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C8CF"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7C377E7E"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u svim bankama, prema OIB-u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77FCAB0B"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 xml:space="preserve">Zakonu izvršila odgovarajuće postupke prestanka postupanja po osnovama za plaćanje za </w:t>
      </w:r>
      <w:proofErr w:type="spellStart"/>
      <w:r w:rsidR="00834631" w:rsidRPr="004A036F">
        <w:rPr>
          <w:rFonts w:ascii="Arial" w:hAnsi="Arial" w:cs="Arial"/>
          <w:i/>
          <w:color w:val="244061"/>
          <w:sz w:val="18"/>
          <w:szCs w:val="18"/>
        </w:rPr>
        <w:t>ovršenike</w:t>
      </w:r>
      <w:proofErr w:type="spellEnd"/>
      <w:r w:rsidR="00834631" w:rsidRPr="004A036F">
        <w:rPr>
          <w:rFonts w:ascii="Arial" w:hAnsi="Arial" w:cs="Arial"/>
          <w:i/>
          <w:color w:val="244061"/>
          <w:sz w:val="18"/>
          <w:szCs w:val="18"/>
        </w:rPr>
        <w:t xml:space="preserv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333ACE31"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 xml:space="preserve">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 xml:space="preserve">322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w:t>
      </w:r>
    </w:p>
    <w:p w14:paraId="7204F7C1"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BA2F01">
        <w:rPr>
          <w:rFonts w:ascii="Arial" w:hAnsi="Arial" w:cs="Arial"/>
          <w:b/>
          <w:color w:val="244061"/>
          <w:sz w:val="21"/>
          <w:szCs w:val="21"/>
        </w:rPr>
        <w:t>1</w:t>
      </w:r>
      <w:r w:rsidR="00081570" w:rsidRPr="002059D0">
        <w:rPr>
          <w:rFonts w:ascii="Arial" w:hAnsi="Arial" w:cs="Arial"/>
          <w:b/>
          <w:color w:val="244061"/>
          <w:sz w:val="21"/>
          <w:szCs w:val="21"/>
        </w:rPr>
        <w:t xml:space="preserve">. </w:t>
      </w:r>
      <w:r w:rsidR="00FC241D">
        <w:rPr>
          <w:rFonts w:ascii="Arial" w:hAnsi="Arial" w:cs="Arial"/>
          <w:b/>
          <w:color w:val="244061"/>
          <w:sz w:val="21"/>
          <w:szCs w:val="21"/>
        </w:rPr>
        <w:t>KOLOVOZA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43A18BAB"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proofErr w:type="spellStart"/>
      <w:r w:rsidRPr="005D08B4">
        <w:rPr>
          <w:rFonts w:ascii="Arial" w:hAnsi="Arial" w:cs="Arial"/>
          <w:bCs/>
          <w:color w:val="244061"/>
          <w:sz w:val="20"/>
        </w:rPr>
        <w:t>ovršenika</w:t>
      </w:r>
      <w:proofErr w:type="spellEnd"/>
      <w:r w:rsidRPr="005D08B4">
        <w:rPr>
          <w:rFonts w:ascii="Arial" w:hAnsi="Arial" w:cs="Arial"/>
          <w:bCs/>
          <w:color w:val="244061"/>
          <w:sz w:val="20"/>
        </w:rPr>
        <w:t xml:space="preserve">,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2777EFF8" w14:textId="4501429D"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D653F3">
        <w:rPr>
          <w:rFonts w:ascii="Arial" w:hAnsi="Arial" w:cs="Arial"/>
          <w:bCs/>
          <w:color w:val="003366"/>
          <w:sz w:val="20"/>
        </w:rPr>
        <w:t>3</w:t>
      </w:r>
      <w:r w:rsidR="00BA2F01">
        <w:rPr>
          <w:rFonts w:ascii="Arial" w:hAnsi="Arial" w:cs="Arial"/>
          <w:bCs/>
          <w:color w:val="003366"/>
          <w:sz w:val="20"/>
        </w:rPr>
        <w:t>1</w:t>
      </w:r>
      <w:r w:rsidRPr="000A42DE">
        <w:rPr>
          <w:rFonts w:ascii="Arial" w:hAnsi="Arial" w:cs="Arial"/>
          <w:bCs/>
          <w:color w:val="003366"/>
          <w:sz w:val="20"/>
        </w:rPr>
        <w:t xml:space="preserve">. </w:t>
      </w:r>
      <w:r w:rsidR="00E76E98">
        <w:rPr>
          <w:rFonts w:ascii="Arial" w:hAnsi="Arial" w:cs="Arial"/>
          <w:bCs/>
          <w:color w:val="003366"/>
          <w:sz w:val="20"/>
        </w:rPr>
        <w:t>kolovoza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BA2F01">
        <w:rPr>
          <w:rFonts w:ascii="Arial" w:hAnsi="Arial" w:cs="Arial"/>
          <w:bCs/>
          <w:color w:val="003366"/>
          <w:sz w:val="20"/>
        </w:rPr>
        <w:t>o je</w:t>
      </w:r>
      <w:r w:rsidR="00EC69F9" w:rsidRPr="000A42DE">
        <w:rPr>
          <w:rFonts w:ascii="Arial" w:hAnsi="Arial" w:cs="Arial"/>
          <w:bCs/>
          <w:color w:val="003366"/>
          <w:sz w:val="20"/>
        </w:rPr>
        <w:t xml:space="preserve"> </w:t>
      </w:r>
      <w:r w:rsidR="00E76E98" w:rsidRPr="00E76E98">
        <w:rPr>
          <w:rFonts w:ascii="Arial" w:hAnsi="Arial" w:cs="Arial"/>
          <w:bCs/>
          <w:color w:val="003366"/>
          <w:sz w:val="20"/>
        </w:rPr>
        <w:t>13.800</w:t>
      </w:r>
      <w:r w:rsidRPr="000A42DE">
        <w:rPr>
          <w:rFonts w:ascii="Arial" w:hAnsi="Arial" w:cs="Arial"/>
          <w:bCs/>
          <w:color w:val="003366"/>
          <w:sz w:val="20"/>
        </w:rPr>
        <w:t xml:space="preserve"> poslovn</w:t>
      </w:r>
      <w:r w:rsidR="00BA2F01">
        <w:rPr>
          <w:rFonts w:ascii="Arial" w:hAnsi="Arial" w:cs="Arial"/>
          <w:bCs/>
          <w:color w:val="003366"/>
          <w:sz w:val="20"/>
        </w:rPr>
        <w:t>ih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BA2F01">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E76E98" w:rsidRPr="00E76E98">
        <w:rPr>
          <w:rFonts w:ascii="Arial" w:hAnsi="Arial" w:cs="Arial"/>
          <w:bCs/>
          <w:color w:val="003366"/>
          <w:sz w:val="20"/>
        </w:rPr>
        <w:t>247</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E76E98" w:rsidRPr="00E76E98">
        <w:rPr>
          <w:rFonts w:ascii="Arial" w:hAnsi="Arial" w:cs="Arial"/>
          <w:bCs/>
          <w:color w:val="003366"/>
          <w:sz w:val="20"/>
        </w:rPr>
        <w:t>1,8</w:t>
      </w:r>
      <w:r w:rsidR="00E02D15" w:rsidRPr="000A42DE">
        <w:rPr>
          <w:rFonts w:ascii="Arial" w:hAnsi="Arial" w:cs="Arial"/>
          <w:bCs/>
          <w:color w:val="003366"/>
          <w:sz w:val="20"/>
        </w:rPr>
        <w:t xml:space="preserve">% </w:t>
      </w:r>
      <w:r w:rsidR="00E76E98">
        <w:rPr>
          <w:rFonts w:ascii="Arial" w:hAnsi="Arial" w:cs="Arial"/>
          <w:bCs/>
          <w:color w:val="003366"/>
          <w:sz w:val="20"/>
        </w:rPr>
        <w:t>manje</w:t>
      </w:r>
      <w:r w:rsidR="00E02D15" w:rsidRPr="000A42DE">
        <w:rPr>
          <w:rFonts w:ascii="Arial" w:hAnsi="Arial" w:cs="Arial"/>
          <w:bCs/>
          <w:color w:val="003366"/>
          <w:sz w:val="20"/>
        </w:rPr>
        <w:t xml:space="preserve"> u odnosu na </w:t>
      </w:r>
      <w:r w:rsidR="00E76E98">
        <w:rPr>
          <w:rFonts w:ascii="Arial" w:hAnsi="Arial" w:cs="Arial"/>
          <w:bCs/>
          <w:color w:val="003366"/>
          <w:sz w:val="20"/>
        </w:rPr>
        <w:t>srpanj</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w:t>
      </w:r>
      <w:r w:rsidR="001B7FDB">
        <w:rPr>
          <w:rFonts w:ascii="Arial" w:hAnsi="Arial" w:cs="Arial"/>
          <w:bCs/>
          <w:color w:val="003366"/>
          <w:sz w:val="20"/>
        </w:rPr>
        <w:t xml:space="preserve"> </w:t>
      </w:r>
      <w:r w:rsidR="006961FA" w:rsidRPr="000A42DE">
        <w:rPr>
          <w:rFonts w:ascii="Arial" w:hAnsi="Arial" w:cs="Arial"/>
          <w:bCs/>
          <w:color w:val="003366"/>
          <w:sz w:val="20"/>
        </w:rPr>
        <w:t>i</w:t>
      </w:r>
      <w:r w:rsidR="001B7FDB">
        <w:rPr>
          <w:rFonts w:ascii="Arial" w:hAnsi="Arial" w:cs="Arial"/>
          <w:bCs/>
          <w:color w:val="003366"/>
          <w:sz w:val="20"/>
        </w:rPr>
        <w:t xml:space="preserve"> </w:t>
      </w:r>
      <w:r w:rsidR="00E76E98" w:rsidRPr="00E76E98">
        <w:rPr>
          <w:rFonts w:ascii="Arial" w:hAnsi="Arial" w:cs="Arial"/>
          <w:bCs/>
          <w:color w:val="003366"/>
          <w:sz w:val="20"/>
        </w:rPr>
        <w:t>550</w:t>
      </w:r>
      <w:r w:rsidR="004C2772" w:rsidRPr="000A42DE">
        <w:rPr>
          <w:rFonts w:ascii="Arial" w:hAnsi="Arial" w:cs="Arial"/>
          <w:bCs/>
          <w:color w:val="003366"/>
          <w:sz w:val="20"/>
        </w:rPr>
        <w:t xml:space="preserve"> poslovn</w:t>
      </w:r>
      <w:r w:rsidR="00BA2F01">
        <w:rPr>
          <w:rFonts w:ascii="Arial" w:hAnsi="Arial" w:cs="Arial"/>
          <w:bCs/>
          <w:color w:val="003366"/>
          <w:sz w:val="20"/>
        </w:rPr>
        <w:t>i</w:t>
      </w:r>
      <w:r w:rsidR="00E76E98">
        <w:rPr>
          <w:rFonts w:ascii="Arial" w:hAnsi="Arial" w:cs="Arial"/>
          <w:bCs/>
          <w:color w:val="003366"/>
          <w:sz w:val="20"/>
        </w:rPr>
        <w:t>h</w:t>
      </w:r>
      <w:r w:rsidR="005D08B4" w:rsidRPr="000A42DE">
        <w:rPr>
          <w:rFonts w:ascii="Arial" w:hAnsi="Arial" w:cs="Arial"/>
          <w:bCs/>
          <w:color w:val="003366"/>
          <w:sz w:val="20"/>
        </w:rPr>
        <w:t xml:space="preserve"> subjek</w:t>
      </w:r>
      <w:r w:rsidR="00E76E98">
        <w:rPr>
          <w:rFonts w:ascii="Arial" w:hAnsi="Arial" w:cs="Arial"/>
          <w:bCs/>
          <w:color w:val="003366"/>
          <w:sz w:val="20"/>
        </w:rPr>
        <w:t>a</w:t>
      </w:r>
      <w:r w:rsidR="004C2772" w:rsidRPr="000A42DE">
        <w:rPr>
          <w:rFonts w:ascii="Arial" w:hAnsi="Arial" w:cs="Arial"/>
          <w:bCs/>
          <w:color w:val="003366"/>
          <w:sz w:val="20"/>
        </w:rPr>
        <w:t>t</w:t>
      </w:r>
      <w:r w:rsidR="00E76E98">
        <w:rPr>
          <w:rFonts w:ascii="Arial" w:hAnsi="Arial" w:cs="Arial"/>
          <w:bCs/>
          <w:color w:val="003366"/>
          <w:sz w:val="20"/>
        </w:rPr>
        <w:t>a</w:t>
      </w:r>
      <w:r w:rsidR="004C2772" w:rsidRPr="000A42DE">
        <w:rPr>
          <w:rFonts w:ascii="Arial" w:hAnsi="Arial" w:cs="Arial"/>
          <w:bCs/>
          <w:color w:val="003366"/>
          <w:sz w:val="20"/>
        </w:rPr>
        <w:t xml:space="preserve"> ili </w:t>
      </w:r>
      <w:r w:rsidR="00E76E98" w:rsidRPr="00E76E98">
        <w:rPr>
          <w:rFonts w:ascii="Arial" w:hAnsi="Arial" w:cs="Arial"/>
          <w:bCs/>
          <w:color w:val="003366"/>
          <w:sz w:val="20"/>
        </w:rPr>
        <w:t>3,8</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E76E98">
        <w:rPr>
          <w:rFonts w:ascii="Arial" w:hAnsi="Arial" w:cs="Arial"/>
          <w:bCs/>
          <w:color w:val="003366"/>
          <w:sz w:val="20"/>
        </w:rPr>
        <w:t>kolovoz</w:t>
      </w:r>
      <w:r w:rsidR="004C2772" w:rsidRPr="000A42DE">
        <w:rPr>
          <w:rFonts w:ascii="Arial" w:hAnsi="Arial" w:cs="Arial"/>
          <w:bCs/>
          <w:color w:val="003366"/>
          <w:sz w:val="20"/>
        </w:rPr>
        <w:t xml:space="preserve"> </w:t>
      </w:r>
      <w:r w:rsidR="001B7FDB">
        <w:rPr>
          <w:rFonts w:ascii="Arial" w:hAnsi="Arial" w:cs="Arial"/>
          <w:bCs/>
          <w:color w:val="003366"/>
          <w:sz w:val="20"/>
        </w:rPr>
        <w:t xml:space="preserve"> </w:t>
      </w:r>
      <w:r w:rsidR="004C2772" w:rsidRPr="000A42DE">
        <w:rPr>
          <w:rFonts w:ascii="Arial" w:hAnsi="Arial" w:cs="Arial"/>
          <w:bCs/>
          <w:color w:val="003366"/>
          <w:sz w:val="20"/>
        </w:rPr>
        <w:t>202</w:t>
      </w:r>
      <w:r w:rsidR="00717EF1">
        <w:rPr>
          <w:rFonts w:ascii="Arial" w:hAnsi="Arial" w:cs="Arial"/>
          <w:bCs/>
          <w:color w:val="003366"/>
          <w:sz w:val="20"/>
        </w:rPr>
        <w:t>2</w:t>
      </w:r>
      <w:r w:rsidR="004C2772" w:rsidRPr="000A42DE">
        <w:rPr>
          <w:rFonts w:ascii="Arial" w:hAnsi="Arial" w:cs="Arial"/>
          <w:bCs/>
          <w:color w:val="003366"/>
          <w:sz w:val="20"/>
        </w:rPr>
        <w:t>.</w:t>
      </w:r>
      <w:r w:rsidR="001B7FDB">
        <w:rPr>
          <w:rFonts w:ascii="Arial" w:hAnsi="Arial" w:cs="Arial"/>
          <w:bCs/>
          <w:color w:val="003366"/>
          <w:sz w:val="20"/>
        </w:rPr>
        <w:t xml:space="preserve"> </w:t>
      </w:r>
      <w:r w:rsidR="004C2772" w:rsidRPr="000A42DE">
        <w:rPr>
          <w:rFonts w:ascii="Arial" w:hAnsi="Arial" w:cs="Arial"/>
          <w:bCs/>
          <w:color w:val="003366"/>
          <w:sz w:val="20"/>
        </w:rPr>
        <w:t xml:space="preserve">godine </w:t>
      </w:r>
      <w:r w:rsidR="00E02D15" w:rsidRPr="000A42DE">
        <w:rPr>
          <w:rFonts w:ascii="Arial" w:hAnsi="Arial" w:cs="Arial"/>
          <w:bCs/>
          <w:color w:val="003366"/>
          <w:sz w:val="20"/>
        </w:rPr>
        <w:t>(tablica 1).</w:t>
      </w:r>
    </w:p>
    <w:p w14:paraId="3F3DD68F"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w:t>
      </w:r>
      <w:proofErr w:type="spellStart"/>
      <w:r w:rsidR="00113C35" w:rsidRPr="00BD09AF">
        <w:rPr>
          <w:rFonts w:ascii="Arial" w:hAnsi="Arial" w:cs="Arial"/>
          <w:bCs/>
          <w:color w:val="244061"/>
          <w:sz w:val="18"/>
          <w:szCs w:val="18"/>
        </w:rPr>
        <w:t>ovršenika</w:t>
      </w:r>
      <w:proofErr w:type="spellEnd"/>
      <w:r w:rsidR="00113C35" w:rsidRPr="00BD09AF">
        <w:rPr>
          <w:rFonts w:ascii="Arial" w:hAnsi="Arial" w:cs="Arial"/>
          <w:bCs/>
          <w:color w:val="244061"/>
          <w:sz w:val="18"/>
          <w:szCs w:val="18"/>
        </w:rPr>
        <w:t xml:space="preserve">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66882F65"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25D0125"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0501B014"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2CCC9541"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3F86BBF9"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2EE625BC"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4E4274D0"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FC241D" w:rsidRPr="0080330F" w14:paraId="6F4865B3"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118F1BBF" w14:textId="77777777" w:rsidR="00FC241D" w:rsidRPr="00DA5942" w:rsidRDefault="00FC241D" w:rsidP="00FC241D">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08</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3A283100" w14:textId="77777777" w:rsidR="00FC241D" w:rsidRPr="00DA5942" w:rsidRDefault="00FC241D"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32EC92D6" w14:textId="77777777" w:rsidR="00FC241D" w:rsidRDefault="00FC241D">
            <w:pPr>
              <w:jc w:val="right"/>
              <w:rPr>
                <w:rFonts w:ascii="Arial" w:hAnsi="Arial" w:cs="Arial"/>
                <w:color w:val="003366"/>
                <w:sz w:val="17"/>
                <w:szCs w:val="17"/>
              </w:rPr>
            </w:pPr>
            <w:r>
              <w:rPr>
                <w:rFonts w:ascii="Arial" w:hAnsi="Arial" w:cs="Arial"/>
                <w:color w:val="003366"/>
                <w:sz w:val="17"/>
                <w:szCs w:val="17"/>
              </w:rPr>
              <w:t>6.104</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38C9DA4F" w14:textId="77777777" w:rsidR="00FC241D" w:rsidRDefault="00FC241D">
            <w:pPr>
              <w:jc w:val="right"/>
              <w:rPr>
                <w:rFonts w:ascii="Arial" w:hAnsi="Arial" w:cs="Arial"/>
                <w:color w:val="003366"/>
                <w:sz w:val="17"/>
                <w:szCs w:val="17"/>
              </w:rPr>
            </w:pPr>
            <w:r>
              <w:rPr>
                <w:rFonts w:ascii="Arial" w:hAnsi="Arial" w:cs="Arial"/>
                <w:color w:val="003366"/>
                <w:sz w:val="17"/>
                <w:szCs w:val="17"/>
              </w:rPr>
              <w:t>428.847.004</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32C8D5E0" w14:textId="77777777" w:rsidR="00FC241D" w:rsidRDefault="00FC241D">
            <w:pPr>
              <w:jc w:val="right"/>
              <w:rPr>
                <w:rFonts w:ascii="Arial" w:hAnsi="Arial" w:cs="Arial"/>
                <w:color w:val="003366"/>
                <w:sz w:val="17"/>
                <w:szCs w:val="17"/>
              </w:rPr>
            </w:pPr>
            <w:r>
              <w:rPr>
                <w:rFonts w:ascii="Arial" w:hAnsi="Arial" w:cs="Arial"/>
                <w:color w:val="003366"/>
                <w:sz w:val="17"/>
                <w:szCs w:val="17"/>
              </w:rPr>
              <w:t>98.525.578</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5DC1CFA9" w14:textId="77777777" w:rsidR="00FC241D" w:rsidRDefault="00FC241D">
            <w:pPr>
              <w:jc w:val="right"/>
              <w:rPr>
                <w:rFonts w:ascii="Arial" w:hAnsi="Arial" w:cs="Arial"/>
                <w:color w:val="003366"/>
                <w:sz w:val="17"/>
                <w:szCs w:val="17"/>
              </w:rPr>
            </w:pPr>
            <w:r>
              <w:rPr>
                <w:rFonts w:ascii="Arial" w:hAnsi="Arial" w:cs="Arial"/>
                <w:color w:val="003366"/>
                <w:sz w:val="17"/>
                <w:szCs w:val="17"/>
              </w:rPr>
              <w:t>527.372.582</w:t>
            </w:r>
          </w:p>
        </w:tc>
      </w:tr>
      <w:tr w:rsidR="00FC241D" w:rsidRPr="0080330F" w14:paraId="3A71289F"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47728607" w14:textId="77777777" w:rsidR="00FC241D" w:rsidRPr="00DA5942" w:rsidRDefault="00FC241D" w:rsidP="00FC241D">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08.</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0F8C9A14" w14:textId="77777777" w:rsidR="00FC241D" w:rsidRPr="00DA5942" w:rsidRDefault="00FC241D"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1FFFBB72" w14:textId="77777777" w:rsidR="00FC241D" w:rsidRDefault="00FC241D">
            <w:pPr>
              <w:jc w:val="right"/>
              <w:rPr>
                <w:rFonts w:ascii="Arial" w:hAnsi="Arial" w:cs="Arial"/>
                <w:color w:val="003366"/>
                <w:sz w:val="17"/>
                <w:szCs w:val="17"/>
              </w:rPr>
            </w:pPr>
            <w:r>
              <w:rPr>
                <w:rFonts w:ascii="Arial" w:hAnsi="Arial" w:cs="Arial"/>
                <w:color w:val="003366"/>
                <w:sz w:val="17"/>
                <w:szCs w:val="17"/>
              </w:rPr>
              <w:t>7.696</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30C6D783" w14:textId="77777777" w:rsidR="00FC241D" w:rsidRDefault="00FC241D">
            <w:pPr>
              <w:jc w:val="right"/>
              <w:rPr>
                <w:rFonts w:ascii="Arial" w:hAnsi="Arial" w:cs="Arial"/>
                <w:color w:val="003366"/>
                <w:sz w:val="17"/>
                <w:szCs w:val="17"/>
              </w:rPr>
            </w:pPr>
            <w:r>
              <w:rPr>
                <w:rFonts w:ascii="Arial" w:hAnsi="Arial" w:cs="Arial"/>
                <w:color w:val="003366"/>
                <w:sz w:val="17"/>
                <w:szCs w:val="17"/>
              </w:rPr>
              <w:t>155.882.758</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574680EC" w14:textId="77777777" w:rsidR="00FC241D" w:rsidRDefault="00FC241D">
            <w:pPr>
              <w:jc w:val="right"/>
              <w:rPr>
                <w:rFonts w:ascii="Arial" w:hAnsi="Arial" w:cs="Arial"/>
                <w:color w:val="003366"/>
                <w:sz w:val="17"/>
                <w:szCs w:val="17"/>
              </w:rPr>
            </w:pPr>
            <w:r>
              <w:rPr>
                <w:rFonts w:ascii="Arial" w:hAnsi="Arial" w:cs="Arial"/>
                <w:color w:val="003366"/>
                <w:sz w:val="17"/>
                <w:szCs w:val="17"/>
              </w:rPr>
              <w:t>52.052.951</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46CCD0C0" w14:textId="77777777" w:rsidR="00FC241D" w:rsidRDefault="00FC241D">
            <w:pPr>
              <w:jc w:val="right"/>
              <w:rPr>
                <w:rFonts w:ascii="Arial" w:hAnsi="Arial" w:cs="Arial"/>
                <w:color w:val="003366"/>
                <w:sz w:val="17"/>
                <w:szCs w:val="17"/>
              </w:rPr>
            </w:pPr>
            <w:r>
              <w:rPr>
                <w:rFonts w:ascii="Arial" w:hAnsi="Arial" w:cs="Arial"/>
                <w:color w:val="003366"/>
                <w:sz w:val="17"/>
                <w:szCs w:val="17"/>
              </w:rPr>
              <w:t>207.935.709</w:t>
            </w:r>
          </w:p>
        </w:tc>
      </w:tr>
      <w:tr w:rsidR="00FC241D" w:rsidRPr="0080330F" w14:paraId="4C295451"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2230318F" w14:textId="77777777" w:rsidR="00FC241D" w:rsidRPr="00DA5942" w:rsidRDefault="00FC241D" w:rsidP="00FC241D">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08</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2DE9ED9A" w14:textId="77777777" w:rsidR="00FC241D" w:rsidRPr="00DA5942" w:rsidRDefault="00FC241D"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024CFEB2"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13.800</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5ED3ACA8"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584.729.762</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7993997F"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150.578.529</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2E74A6A2" w14:textId="77777777" w:rsidR="00FC241D" w:rsidRDefault="00FC241D">
            <w:pPr>
              <w:jc w:val="right"/>
              <w:rPr>
                <w:rFonts w:ascii="Arial" w:hAnsi="Arial" w:cs="Arial"/>
                <w:b/>
                <w:bCs/>
                <w:color w:val="244061"/>
                <w:sz w:val="17"/>
                <w:szCs w:val="17"/>
              </w:rPr>
            </w:pPr>
            <w:r>
              <w:rPr>
                <w:rFonts w:ascii="Arial" w:hAnsi="Arial" w:cs="Arial"/>
                <w:b/>
                <w:bCs/>
                <w:color w:val="244061"/>
                <w:sz w:val="17"/>
                <w:szCs w:val="17"/>
              </w:rPr>
              <w:t>735.308.291</w:t>
            </w:r>
          </w:p>
        </w:tc>
      </w:tr>
    </w:tbl>
    <w:p w14:paraId="68947B7E"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2D533A">
        <w:rPr>
          <w:rFonts w:ascii="Arial" w:eastAsia="Calibri" w:hAnsi="Arial" w:cs="Arial"/>
          <w:i/>
          <w:color w:val="0F243E"/>
          <w:sz w:val="15"/>
          <w:szCs w:val="15"/>
          <w:lang w:eastAsia="hr-HR"/>
        </w:rPr>
        <w:t xml:space="preserve"> </w:t>
      </w:r>
      <w:r w:rsidRPr="00244E82">
        <w:rPr>
          <w:rFonts w:ascii="Arial" w:eastAsia="Calibri" w:hAnsi="Arial" w:cs="Arial"/>
          <w:i/>
          <w:color w:val="0F243E"/>
          <w:sz w:val="15"/>
          <w:szCs w:val="15"/>
          <w:lang w:eastAsia="hr-HR"/>
        </w:rPr>
        <w:t xml:space="preserve">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23528956"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E76E98" w:rsidRPr="00E76E98">
        <w:rPr>
          <w:rFonts w:ascii="Arial" w:hAnsi="Arial" w:cs="Arial"/>
          <w:bCs/>
          <w:color w:val="003366"/>
          <w:sz w:val="20"/>
        </w:rPr>
        <w:t>584,7</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E76E98">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(glavnica), što je za </w:t>
      </w:r>
      <w:r w:rsidR="00E76E98" w:rsidRPr="00E76E98">
        <w:rPr>
          <w:rFonts w:ascii="Arial" w:hAnsi="Arial" w:cs="Arial"/>
          <w:bCs/>
          <w:color w:val="003366"/>
          <w:sz w:val="20"/>
        </w:rPr>
        <w:t>18,4</w:t>
      </w:r>
      <w:r w:rsidRPr="004405A2">
        <w:rPr>
          <w:rFonts w:ascii="Arial" w:hAnsi="Arial" w:cs="Arial"/>
          <w:bCs/>
          <w:color w:val="003366"/>
          <w:sz w:val="20"/>
        </w:rPr>
        <w:t xml:space="preserve"> milijun</w:t>
      </w:r>
      <w:r w:rsidR="00D653F3">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E76E98" w:rsidRPr="00E76E98">
        <w:rPr>
          <w:rFonts w:ascii="Arial" w:hAnsi="Arial" w:cs="Arial"/>
          <w:bCs/>
          <w:color w:val="003366"/>
          <w:sz w:val="20"/>
        </w:rPr>
        <w:t>3</w:t>
      </w:r>
      <w:r w:rsidRPr="004405A2">
        <w:rPr>
          <w:rFonts w:ascii="Arial" w:hAnsi="Arial" w:cs="Arial"/>
          <w:bCs/>
          <w:color w:val="003366"/>
          <w:sz w:val="20"/>
        </w:rPr>
        <w:t xml:space="preserve">%) </w:t>
      </w:r>
      <w:r w:rsidR="00E76E98">
        <w:rPr>
          <w:rFonts w:ascii="Arial" w:hAnsi="Arial" w:cs="Arial"/>
          <w:bCs/>
          <w:color w:val="003366"/>
          <w:sz w:val="20"/>
        </w:rPr>
        <w:t>manje</w:t>
      </w:r>
      <w:r w:rsidRPr="004405A2">
        <w:rPr>
          <w:rFonts w:ascii="Arial" w:hAnsi="Arial" w:cs="Arial"/>
          <w:bCs/>
          <w:color w:val="003366"/>
          <w:sz w:val="20"/>
        </w:rPr>
        <w:t xml:space="preserve"> u odnosu na </w:t>
      </w:r>
      <w:r w:rsidR="00E76E98">
        <w:rPr>
          <w:rFonts w:ascii="Arial" w:hAnsi="Arial" w:cs="Arial"/>
          <w:bCs/>
          <w:color w:val="003366"/>
          <w:sz w:val="20"/>
        </w:rPr>
        <w:t>srpanj</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E76E98" w:rsidRPr="00E76E98">
        <w:rPr>
          <w:rFonts w:ascii="Arial" w:hAnsi="Arial" w:cs="Arial"/>
          <w:bCs/>
          <w:color w:val="003366"/>
          <w:sz w:val="20"/>
        </w:rPr>
        <w:t>52,2</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E76E98" w:rsidRPr="00E76E98">
        <w:rPr>
          <w:rFonts w:ascii="Arial" w:hAnsi="Arial" w:cs="Arial"/>
          <w:bCs/>
          <w:color w:val="003366"/>
          <w:sz w:val="20"/>
        </w:rPr>
        <w:t>9,8</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u odnosu na </w:t>
      </w:r>
      <w:r w:rsidR="00E76E98">
        <w:rPr>
          <w:rFonts w:ascii="Arial" w:hAnsi="Arial" w:cs="Arial"/>
          <w:bCs/>
          <w:color w:val="003366"/>
          <w:sz w:val="20"/>
        </w:rPr>
        <w:t>kolovoz</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g</w:t>
      </w:r>
      <w:r w:rsidR="00C04D2D">
        <w:rPr>
          <w:rFonts w:ascii="Arial" w:hAnsi="Arial" w:cs="Arial"/>
          <w:bCs/>
          <w:color w:val="003366"/>
          <w:sz w:val="20"/>
        </w:rPr>
        <w:t>odine</w:t>
      </w:r>
      <w:r w:rsidRPr="004405A2">
        <w:rPr>
          <w:rFonts w:ascii="Arial" w:hAnsi="Arial" w:cs="Arial"/>
          <w:bCs/>
          <w:color w:val="003366"/>
          <w:sz w:val="20"/>
        </w:rPr>
        <w:t xml:space="preserve">. Kamate su iznosile </w:t>
      </w:r>
      <w:r w:rsidR="00E76E98" w:rsidRPr="00E76E98">
        <w:rPr>
          <w:rFonts w:ascii="Arial" w:hAnsi="Arial" w:cs="Arial"/>
          <w:bCs/>
          <w:color w:val="003366"/>
          <w:sz w:val="20"/>
        </w:rPr>
        <w:t>150,6</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306B65AF" w14:textId="77777777" w:rsidR="00217B7A" w:rsidRPr="00743F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E76E98" w:rsidRPr="00E76E98">
        <w:rPr>
          <w:rFonts w:ascii="Arial" w:hAnsi="Arial" w:cs="Arial"/>
          <w:bCs/>
          <w:color w:val="003366"/>
          <w:sz w:val="20"/>
        </w:rPr>
        <w:t>13.800</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D2216">
        <w:rPr>
          <w:rFonts w:ascii="Arial" w:hAnsi="Arial" w:cs="Arial"/>
          <w:bCs/>
          <w:color w:val="003366"/>
          <w:sz w:val="20"/>
        </w:rPr>
        <w:t>ih</w:t>
      </w:r>
      <w:r w:rsidRPr="007D4204">
        <w:rPr>
          <w:rFonts w:ascii="Arial" w:hAnsi="Arial" w:cs="Arial"/>
          <w:bCs/>
          <w:color w:val="003366"/>
          <w:sz w:val="20"/>
        </w:rPr>
        <w:t xml:space="preserve"> subjek</w:t>
      </w:r>
      <w:r w:rsidR="006D2216">
        <w:rPr>
          <w:rFonts w:ascii="Arial" w:hAnsi="Arial" w:cs="Arial"/>
          <w:bCs/>
          <w:color w:val="003366"/>
          <w:sz w:val="20"/>
        </w:rPr>
        <w:t>a</w:t>
      </w:r>
      <w:r w:rsidRPr="007D4204">
        <w:rPr>
          <w:rFonts w:ascii="Arial" w:hAnsi="Arial" w:cs="Arial"/>
          <w:bCs/>
          <w:color w:val="003366"/>
          <w:sz w:val="20"/>
        </w:rPr>
        <w:t>ta koj</w:t>
      </w:r>
      <w:r w:rsidR="006D2216">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563D52">
        <w:rPr>
          <w:rFonts w:ascii="Arial" w:hAnsi="Arial" w:cs="Arial"/>
          <w:bCs/>
          <w:color w:val="003366"/>
          <w:sz w:val="20"/>
        </w:rPr>
        <w:t>l</w:t>
      </w:r>
      <w:r w:rsidR="006D2216">
        <w:rPr>
          <w:rFonts w:ascii="Arial" w:hAnsi="Arial" w:cs="Arial"/>
          <w:bCs/>
          <w:color w:val="003366"/>
          <w:sz w:val="20"/>
        </w:rPr>
        <w:t>i</w:t>
      </w:r>
      <w:r w:rsidRPr="006A4167">
        <w:rPr>
          <w:rFonts w:ascii="Arial" w:hAnsi="Arial" w:cs="Arial"/>
          <w:bCs/>
          <w:color w:val="003366"/>
          <w:sz w:val="20"/>
        </w:rPr>
        <w:t xml:space="preserve"> dospjele osnove za plaćanje, </w:t>
      </w:r>
      <w:r w:rsidR="00E76E98" w:rsidRPr="00E76E98">
        <w:rPr>
          <w:rFonts w:ascii="Arial" w:hAnsi="Arial" w:cs="Arial"/>
          <w:bCs/>
          <w:color w:val="003366"/>
          <w:sz w:val="20"/>
        </w:rPr>
        <w:t>6.104</w:t>
      </w:r>
      <w:r w:rsidR="00E76E98">
        <w:rPr>
          <w:rFonts w:ascii="Arial" w:hAnsi="Arial" w:cs="Arial"/>
          <w:bCs/>
          <w:color w:val="003366"/>
          <w:sz w:val="20"/>
        </w:rPr>
        <w:t xml:space="preserve"> su</w:t>
      </w:r>
      <w:r w:rsidR="003D3E11" w:rsidRPr="00743F9E">
        <w:rPr>
          <w:rFonts w:ascii="Arial" w:hAnsi="Arial" w:cs="Arial"/>
          <w:bCs/>
          <w:color w:val="003366"/>
          <w:sz w:val="20"/>
        </w:rPr>
        <w:t xml:space="preserve"> </w:t>
      </w:r>
      <w:r w:rsidRPr="00743F9E">
        <w:rPr>
          <w:rFonts w:ascii="Arial" w:hAnsi="Arial" w:cs="Arial"/>
          <w:bCs/>
          <w:color w:val="003366"/>
          <w:sz w:val="20"/>
        </w:rPr>
        <w:t>pravn</w:t>
      </w:r>
      <w:r w:rsidR="00E76E98">
        <w:rPr>
          <w:rFonts w:ascii="Arial" w:hAnsi="Arial" w:cs="Arial"/>
          <w:bCs/>
          <w:color w:val="003366"/>
          <w:sz w:val="20"/>
        </w:rPr>
        <w:t>e</w:t>
      </w:r>
      <w:r w:rsidRPr="00743F9E">
        <w:rPr>
          <w:rFonts w:ascii="Arial" w:hAnsi="Arial" w:cs="Arial"/>
          <w:bCs/>
          <w:color w:val="003366"/>
          <w:sz w:val="20"/>
        </w:rPr>
        <w:t xml:space="preserve"> osob</w:t>
      </w:r>
      <w:r w:rsidR="00E76E98">
        <w:rPr>
          <w:rFonts w:ascii="Arial" w:hAnsi="Arial" w:cs="Arial"/>
          <w:bCs/>
          <w:color w:val="003366"/>
          <w:sz w:val="20"/>
        </w:rPr>
        <w:t>e</w:t>
      </w:r>
      <w:r w:rsidRPr="00743F9E">
        <w:rPr>
          <w:rFonts w:ascii="Arial" w:hAnsi="Arial" w:cs="Arial"/>
          <w:bCs/>
          <w:color w:val="003366"/>
          <w:sz w:val="20"/>
        </w:rPr>
        <w:t xml:space="preserve"> (</w:t>
      </w:r>
      <w:r w:rsidR="00866B44" w:rsidRPr="00866B44">
        <w:rPr>
          <w:rFonts w:ascii="Arial" w:hAnsi="Arial" w:cs="Arial"/>
          <w:bCs/>
          <w:color w:val="003366"/>
          <w:sz w:val="20"/>
        </w:rPr>
        <w:t>44,2</w:t>
      </w:r>
      <w:r w:rsidRPr="00743F9E">
        <w:rPr>
          <w:rFonts w:ascii="Arial" w:hAnsi="Arial" w:cs="Arial"/>
          <w:bCs/>
          <w:color w:val="003366"/>
          <w:sz w:val="20"/>
        </w:rPr>
        <w:t>%)</w:t>
      </w:r>
      <w:r w:rsidR="001A29B3" w:rsidRPr="00743F9E">
        <w:rPr>
          <w:rFonts w:ascii="Arial" w:hAnsi="Arial" w:cs="Arial"/>
          <w:bCs/>
          <w:color w:val="003366"/>
          <w:sz w:val="20"/>
        </w:rPr>
        <w:t>, na koj</w:t>
      </w:r>
      <w:r w:rsidR="00CF670A" w:rsidRPr="00743F9E">
        <w:rPr>
          <w:rFonts w:ascii="Arial" w:hAnsi="Arial" w:cs="Arial"/>
          <w:bCs/>
          <w:color w:val="003366"/>
          <w:sz w:val="20"/>
        </w:rPr>
        <w:t>e</w:t>
      </w:r>
      <w:r w:rsidR="001A29B3" w:rsidRPr="00743F9E">
        <w:rPr>
          <w:rFonts w:ascii="Arial" w:hAnsi="Arial" w:cs="Arial"/>
          <w:bCs/>
          <w:color w:val="003366"/>
          <w:sz w:val="20"/>
        </w:rPr>
        <w:t xml:space="preserve"> </w:t>
      </w:r>
      <w:r w:rsidRPr="00743F9E">
        <w:rPr>
          <w:rFonts w:ascii="Arial" w:hAnsi="Arial" w:cs="Arial"/>
          <w:bCs/>
          <w:color w:val="003366"/>
          <w:sz w:val="20"/>
        </w:rPr>
        <w:t xml:space="preserve">se odnosi </w:t>
      </w:r>
      <w:r w:rsidR="00866B44" w:rsidRPr="00866B44">
        <w:rPr>
          <w:rFonts w:ascii="Arial" w:hAnsi="Arial" w:cs="Arial"/>
          <w:bCs/>
          <w:color w:val="003366"/>
          <w:sz w:val="20"/>
        </w:rPr>
        <w:t>428,8</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 xml:space="preserve"> ili </w:t>
      </w:r>
      <w:r w:rsidR="00866B44" w:rsidRPr="00866B44">
        <w:rPr>
          <w:rFonts w:ascii="Arial" w:hAnsi="Arial" w:cs="Arial"/>
          <w:bCs/>
          <w:color w:val="003366"/>
          <w:sz w:val="20"/>
        </w:rPr>
        <w:t>73,3</w:t>
      </w:r>
      <w:r w:rsidRPr="00743F9E">
        <w:rPr>
          <w:rFonts w:ascii="Arial" w:hAnsi="Arial" w:cs="Arial"/>
          <w:bCs/>
          <w:color w:val="003366"/>
          <w:sz w:val="20"/>
        </w:rPr>
        <w:t xml:space="preserve">% iznosa ukupnih neizvršenih osnova. Preostalih </w:t>
      </w:r>
      <w:r w:rsidR="00866B44" w:rsidRPr="00866B44">
        <w:rPr>
          <w:rFonts w:ascii="Arial" w:hAnsi="Arial" w:cs="Arial"/>
          <w:bCs/>
          <w:color w:val="003366"/>
          <w:sz w:val="20"/>
        </w:rPr>
        <w:t>7.696</w:t>
      </w:r>
      <w:r w:rsidRPr="00743F9E">
        <w:rPr>
          <w:rFonts w:ascii="Arial" w:hAnsi="Arial" w:cs="Arial"/>
          <w:bCs/>
          <w:color w:val="003366"/>
          <w:sz w:val="20"/>
        </w:rPr>
        <w:t xml:space="preserve"> </w:t>
      </w:r>
      <w:r w:rsidR="001A29B3" w:rsidRPr="00743F9E">
        <w:rPr>
          <w:rFonts w:ascii="Arial" w:hAnsi="Arial" w:cs="Arial"/>
          <w:bCs/>
          <w:color w:val="003366"/>
          <w:sz w:val="20"/>
        </w:rPr>
        <w:t>su</w:t>
      </w:r>
      <w:r w:rsidRPr="00743F9E">
        <w:rPr>
          <w:rFonts w:ascii="Arial" w:hAnsi="Arial" w:cs="Arial"/>
          <w:bCs/>
          <w:color w:val="003366"/>
          <w:sz w:val="20"/>
        </w:rPr>
        <w:t xml:space="preserve"> fizičk</w:t>
      </w:r>
      <w:r w:rsidR="001A29B3" w:rsidRPr="00743F9E">
        <w:rPr>
          <w:rFonts w:ascii="Arial" w:hAnsi="Arial" w:cs="Arial"/>
          <w:bCs/>
          <w:color w:val="003366"/>
          <w:sz w:val="20"/>
        </w:rPr>
        <w:t>e</w:t>
      </w:r>
      <w:r w:rsidRPr="00743F9E">
        <w:rPr>
          <w:rFonts w:ascii="Arial" w:hAnsi="Arial" w:cs="Arial"/>
          <w:bCs/>
          <w:color w:val="003366"/>
          <w:sz w:val="20"/>
        </w:rPr>
        <w:t xml:space="preserve"> osob</w:t>
      </w:r>
      <w:r w:rsidR="001A29B3" w:rsidRPr="00743F9E">
        <w:rPr>
          <w:rFonts w:ascii="Arial" w:hAnsi="Arial" w:cs="Arial"/>
          <w:bCs/>
          <w:color w:val="003366"/>
          <w:sz w:val="20"/>
        </w:rPr>
        <w:t>e</w:t>
      </w:r>
      <w:r w:rsidRPr="00743F9E">
        <w:rPr>
          <w:rFonts w:ascii="Arial" w:hAnsi="Arial" w:cs="Arial"/>
          <w:bCs/>
          <w:color w:val="003366"/>
          <w:sz w:val="20"/>
        </w:rPr>
        <w:t xml:space="preserve"> koje obavljaju registriranu djelatnost, a njihov dug iznosi </w:t>
      </w:r>
      <w:r w:rsidR="00866B44" w:rsidRPr="00866B44">
        <w:rPr>
          <w:rFonts w:ascii="Arial" w:hAnsi="Arial" w:cs="Arial"/>
          <w:bCs/>
          <w:color w:val="003366"/>
          <w:sz w:val="20"/>
        </w:rPr>
        <w:t>155,9</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w:t>
      </w:r>
    </w:p>
    <w:p w14:paraId="2328C251" w14:textId="77777777" w:rsidR="00217B7A" w:rsidRPr="007232A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232AE">
        <w:rPr>
          <w:rFonts w:ascii="Arial" w:hAnsi="Arial" w:cs="Arial"/>
          <w:bCs/>
          <w:color w:val="003366"/>
          <w:sz w:val="20"/>
        </w:rPr>
        <w:t xml:space="preserve">U odnosu na stanje u </w:t>
      </w:r>
      <w:r w:rsidR="00E30613">
        <w:rPr>
          <w:rFonts w:ascii="Arial" w:hAnsi="Arial" w:cs="Arial"/>
          <w:bCs/>
          <w:color w:val="003366"/>
          <w:sz w:val="20"/>
        </w:rPr>
        <w:t>srpnju</w:t>
      </w:r>
      <w:r w:rsidRPr="007232AE">
        <w:rPr>
          <w:rFonts w:ascii="Arial" w:hAnsi="Arial" w:cs="Arial"/>
          <w:bCs/>
          <w:color w:val="003366"/>
          <w:sz w:val="20"/>
        </w:rPr>
        <w:t xml:space="preserve"> 202</w:t>
      </w:r>
      <w:r w:rsidR="008B68AD" w:rsidRPr="007232AE">
        <w:rPr>
          <w:rFonts w:ascii="Arial" w:hAnsi="Arial" w:cs="Arial"/>
          <w:bCs/>
          <w:color w:val="003366"/>
          <w:sz w:val="20"/>
        </w:rPr>
        <w:t>3</w:t>
      </w:r>
      <w:r w:rsidRPr="007232AE">
        <w:rPr>
          <w:rFonts w:ascii="Arial" w:hAnsi="Arial" w:cs="Arial"/>
          <w:bCs/>
          <w:color w:val="003366"/>
          <w:sz w:val="20"/>
        </w:rPr>
        <w:t xml:space="preserve">. godine, broj pravnih osoba koje nisu podmirile dospjele osnove za plaćanje </w:t>
      </w:r>
      <w:r w:rsidR="00E30613">
        <w:rPr>
          <w:rFonts w:ascii="Arial" w:hAnsi="Arial" w:cs="Arial"/>
          <w:bCs/>
          <w:color w:val="003366"/>
          <w:sz w:val="20"/>
        </w:rPr>
        <w:t>manji</w:t>
      </w:r>
      <w:r w:rsidR="00811B97" w:rsidRPr="007232AE">
        <w:rPr>
          <w:rFonts w:ascii="Arial" w:hAnsi="Arial" w:cs="Arial"/>
          <w:bCs/>
          <w:color w:val="003366"/>
          <w:sz w:val="20"/>
        </w:rPr>
        <w:t xml:space="preserve"> </w:t>
      </w:r>
      <w:r w:rsidRPr="007232AE">
        <w:rPr>
          <w:rFonts w:ascii="Arial" w:hAnsi="Arial" w:cs="Arial"/>
          <w:bCs/>
          <w:color w:val="003366"/>
          <w:sz w:val="20"/>
        </w:rPr>
        <w:t xml:space="preserve">je za </w:t>
      </w:r>
      <w:r w:rsidR="00E30613" w:rsidRPr="00E30613">
        <w:rPr>
          <w:rFonts w:ascii="Arial" w:hAnsi="Arial" w:cs="Arial"/>
          <w:bCs/>
          <w:color w:val="003366"/>
          <w:sz w:val="20"/>
        </w:rPr>
        <w:t>2,2</w:t>
      </w:r>
      <w:r w:rsidRPr="007232AE">
        <w:rPr>
          <w:rFonts w:ascii="Arial" w:hAnsi="Arial" w:cs="Arial"/>
          <w:bCs/>
          <w:color w:val="003366"/>
          <w:sz w:val="20"/>
        </w:rPr>
        <w:t xml:space="preserve">%, a iznos neizvršenih osnova za </w:t>
      </w:r>
      <w:r w:rsidR="00E30613" w:rsidRPr="00E30613">
        <w:rPr>
          <w:rFonts w:ascii="Arial" w:hAnsi="Arial" w:cs="Arial"/>
          <w:bCs/>
          <w:color w:val="003366"/>
          <w:sz w:val="20"/>
        </w:rPr>
        <w:t>4</w:t>
      </w:r>
      <w:r w:rsidRPr="007232AE">
        <w:rPr>
          <w:rFonts w:ascii="Arial" w:hAnsi="Arial" w:cs="Arial"/>
          <w:bCs/>
          <w:color w:val="003366"/>
          <w:sz w:val="20"/>
        </w:rPr>
        <w:t xml:space="preserve">%. </w:t>
      </w:r>
      <w:r w:rsidR="00ED17FE" w:rsidRPr="007232AE">
        <w:rPr>
          <w:rFonts w:ascii="Arial" w:hAnsi="Arial" w:cs="Arial"/>
          <w:bCs/>
          <w:color w:val="003366"/>
          <w:sz w:val="20"/>
        </w:rPr>
        <w:t xml:space="preserve">Ukupan broj fizičkih osoba </w:t>
      </w:r>
      <w:r w:rsidR="00F65824">
        <w:rPr>
          <w:rFonts w:ascii="Arial" w:hAnsi="Arial" w:cs="Arial"/>
          <w:bCs/>
          <w:color w:val="003366"/>
          <w:sz w:val="20"/>
        </w:rPr>
        <w:t>manji</w:t>
      </w:r>
      <w:r w:rsidR="00ED17FE" w:rsidRPr="007232AE">
        <w:rPr>
          <w:rFonts w:ascii="Arial" w:hAnsi="Arial" w:cs="Arial"/>
          <w:bCs/>
          <w:color w:val="003366"/>
          <w:sz w:val="20"/>
        </w:rPr>
        <w:t xml:space="preserve"> je za </w:t>
      </w:r>
      <w:r w:rsidR="00F65824" w:rsidRPr="00F65824">
        <w:rPr>
          <w:rFonts w:ascii="Arial" w:hAnsi="Arial" w:cs="Arial"/>
          <w:bCs/>
          <w:color w:val="003366"/>
          <w:sz w:val="20"/>
        </w:rPr>
        <w:t>1,4</w:t>
      </w:r>
      <w:r w:rsidR="00ED17FE" w:rsidRPr="007232AE">
        <w:rPr>
          <w:rFonts w:ascii="Arial" w:hAnsi="Arial" w:cs="Arial"/>
          <w:bCs/>
          <w:color w:val="003366"/>
          <w:sz w:val="20"/>
        </w:rPr>
        <w:t xml:space="preserve">%, a iznos </w:t>
      </w:r>
      <w:r w:rsidR="0025609F" w:rsidRPr="007232AE">
        <w:rPr>
          <w:rFonts w:ascii="Arial" w:hAnsi="Arial" w:cs="Arial"/>
          <w:bCs/>
          <w:color w:val="003366"/>
          <w:sz w:val="20"/>
        </w:rPr>
        <w:t xml:space="preserve">njihovih </w:t>
      </w:r>
      <w:r w:rsidR="00ED17FE" w:rsidRPr="007232AE">
        <w:rPr>
          <w:rFonts w:ascii="Arial" w:hAnsi="Arial" w:cs="Arial"/>
          <w:bCs/>
          <w:color w:val="003366"/>
          <w:sz w:val="20"/>
        </w:rPr>
        <w:t xml:space="preserve">neizvršenih osnova za </w:t>
      </w:r>
      <w:r w:rsidR="00F65824" w:rsidRPr="00F65824">
        <w:rPr>
          <w:rFonts w:ascii="Arial" w:hAnsi="Arial" w:cs="Arial"/>
          <w:bCs/>
          <w:color w:val="003366"/>
          <w:sz w:val="20"/>
        </w:rPr>
        <w:t>0,4</w:t>
      </w:r>
      <w:r w:rsidR="00ED17FE" w:rsidRPr="007232AE">
        <w:rPr>
          <w:rFonts w:ascii="Arial" w:hAnsi="Arial" w:cs="Arial"/>
          <w:bCs/>
          <w:color w:val="003366"/>
          <w:sz w:val="20"/>
        </w:rPr>
        <w:t>%.</w:t>
      </w:r>
    </w:p>
    <w:p w14:paraId="6DB36BCC"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173B712A" w14:textId="6E9E3539" w:rsidR="00BA7EF4" w:rsidRDefault="004A5427" w:rsidP="003E05F9">
      <w:pPr>
        <w:widowControl w:val="0"/>
        <w:autoSpaceDE w:val="0"/>
        <w:autoSpaceDN w:val="0"/>
        <w:adjustRightInd w:val="0"/>
        <w:jc w:val="both"/>
        <w:rPr>
          <w:noProof/>
          <w:lang w:eastAsia="hr-HR"/>
        </w:rPr>
      </w:pPr>
      <w:r>
        <w:rPr>
          <w:noProof/>
          <w:lang w:eastAsia="hr-HR"/>
        </w:rPr>
        <w:drawing>
          <wp:inline distT="0" distB="0" distL="0" distR="0" wp14:anchorId="69BD7F6F" wp14:editId="0E36FD40">
            <wp:extent cx="6132830" cy="191389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13890"/>
                    </a:xfrm>
                    <a:prstGeom prst="rect">
                      <a:avLst/>
                    </a:prstGeom>
                    <a:noFill/>
                  </pic:spPr>
                </pic:pic>
              </a:graphicData>
            </a:graphic>
          </wp:inline>
        </w:drawing>
      </w:r>
    </w:p>
    <w:p w14:paraId="5E711C11"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344EA0C7"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E746CB">
        <w:rPr>
          <w:rFonts w:ascii="Arial" w:hAnsi="Arial" w:cs="Arial"/>
          <w:bCs/>
          <w:color w:val="244061"/>
          <w:sz w:val="20"/>
        </w:rPr>
        <w:t>1</w:t>
      </w:r>
      <w:r w:rsidRPr="00C1108F">
        <w:rPr>
          <w:rFonts w:ascii="Arial" w:hAnsi="Arial" w:cs="Arial"/>
          <w:bCs/>
          <w:color w:val="244061"/>
          <w:sz w:val="20"/>
        </w:rPr>
        <w:t xml:space="preserve">. </w:t>
      </w:r>
      <w:r w:rsidR="00B36091">
        <w:rPr>
          <w:rFonts w:ascii="Arial" w:hAnsi="Arial" w:cs="Arial"/>
          <w:bCs/>
          <w:color w:val="244061"/>
          <w:sz w:val="20"/>
        </w:rPr>
        <w:t>kolovoza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C04D2D">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E746CB">
        <w:rPr>
          <w:rFonts w:ascii="Arial" w:hAnsi="Arial" w:cs="Arial"/>
          <w:bCs/>
          <w:color w:val="244061"/>
          <w:sz w:val="20"/>
        </w:rPr>
        <w:t>o je</w:t>
      </w:r>
      <w:r w:rsidR="00E509CB" w:rsidRPr="00F97BC2">
        <w:rPr>
          <w:rFonts w:ascii="Arial" w:hAnsi="Arial" w:cs="Arial"/>
          <w:bCs/>
          <w:color w:val="244061"/>
          <w:sz w:val="20"/>
        </w:rPr>
        <w:t xml:space="preserve"> </w:t>
      </w:r>
      <w:r w:rsidR="00B36091" w:rsidRPr="00B36091">
        <w:rPr>
          <w:rFonts w:ascii="Arial" w:hAnsi="Arial" w:cs="Arial"/>
          <w:bCs/>
          <w:color w:val="244061"/>
          <w:sz w:val="20"/>
        </w:rPr>
        <w:t>217.178</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D75BDF" w:rsidRPr="000A164B">
        <w:rPr>
          <w:rFonts w:ascii="Arial" w:hAnsi="Arial" w:cs="Arial"/>
          <w:bCs/>
          <w:color w:val="244061"/>
          <w:sz w:val="20"/>
        </w:rPr>
        <w:t>a</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B36091" w:rsidRPr="00B36091">
        <w:rPr>
          <w:rFonts w:ascii="Arial" w:hAnsi="Arial" w:cs="Arial"/>
          <w:color w:val="244061"/>
          <w:sz w:val="20"/>
        </w:rPr>
        <w:t>1,2</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B36091" w:rsidRPr="00B36091">
        <w:rPr>
          <w:rFonts w:ascii="Arial" w:hAnsi="Arial" w:cs="Arial"/>
          <w:color w:val="244061"/>
          <w:sz w:val="20"/>
        </w:rPr>
        <w:t>6,5</w:t>
      </w:r>
      <w:r w:rsidR="00343C6F" w:rsidRPr="00C1108F">
        <w:rPr>
          <w:rFonts w:ascii="Arial" w:hAnsi="Arial" w:cs="Arial"/>
          <w:color w:val="244061"/>
          <w:sz w:val="20"/>
        </w:rPr>
        <w:t xml:space="preserve">% </w:t>
      </w:r>
      <w:r w:rsidR="00E746CB">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855F5">
        <w:rPr>
          <w:rFonts w:ascii="Arial" w:hAnsi="Arial" w:cs="Arial"/>
          <w:color w:val="244061"/>
          <w:sz w:val="20"/>
        </w:rPr>
        <w:t>dana</w:t>
      </w:r>
      <w:r w:rsidR="00343C6F" w:rsidRPr="004855F5">
        <w:rPr>
          <w:rFonts w:ascii="Arial" w:hAnsi="Arial" w:cs="Arial"/>
          <w:color w:val="244061"/>
          <w:sz w:val="20"/>
        </w:rPr>
        <w:t xml:space="preserve">. </w:t>
      </w:r>
      <w:r w:rsidR="00FC7AF2" w:rsidRPr="00DF0A63">
        <w:rPr>
          <w:rFonts w:ascii="Arial" w:hAnsi="Arial" w:cs="Arial"/>
          <w:bCs/>
          <w:color w:val="244061"/>
          <w:sz w:val="20"/>
        </w:rPr>
        <w:t xml:space="preserve">Dug </w:t>
      </w:r>
      <w:r w:rsidR="00C65B34" w:rsidRPr="00DF0A63">
        <w:rPr>
          <w:rFonts w:ascii="Arial" w:hAnsi="Arial" w:cs="Arial"/>
          <w:bCs/>
          <w:color w:val="244061"/>
          <w:sz w:val="20"/>
        </w:rPr>
        <w:t>potrošača</w:t>
      </w:r>
      <w:r w:rsidR="00FC7AF2" w:rsidRPr="00DF0A63">
        <w:rPr>
          <w:rFonts w:ascii="Arial" w:hAnsi="Arial" w:cs="Arial"/>
          <w:bCs/>
          <w:color w:val="244061"/>
          <w:sz w:val="20"/>
        </w:rPr>
        <w:t xml:space="preserve"> iz osnova</w:t>
      </w:r>
      <w:r w:rsidR="000A5DBE" w:rsidRPr="00DF0A63">
        <w:rPr>
          <w:rFonts w:ascii="Arial" w:hAnsi="Arial" w:cs="Arial"/>
          <w:bCs/>
          <w:color w:val="244061"/>
          <w:sz w:val="20"/>
        </w:rPr>
        <w:t xml:space="preserve"> evidentiranih</w:t>
      </w:r>
      <w:r w:rsidR="000A5DBE" w:rsidRPr="00DF0A63">
        <w:rPr>
          <w:color w:val="244061"/>
        </w:rPr>
        <w:t xml:space="preserve"> </w:t>
      </w:r>
      <w:r w:rsidR="000A5DBE" w:rsidRPr="00DF0A63">
        <w:rPr>
          <w:rFonts w:ascii="Arial" w:hAnsi="Arial" w:cs="Arial"/>
          <w:bCs/>
          <w:color w:val="244061"/>
          <w:sz w:val="20"/>
        </w:rPr>
        <w:t>u Očevidniku o redoslijedu osnova za plaćanje,</w:t>
      </w:r>
      <w:r w:rsidR="00FC7AF2" w:rsidRPr="00DF0A63">
        <w:rPr>
          <w:rFonts w:ascii="Arial" w:hAnsi="Arial" w:cs="Arial"/>
          <w:bCs/>
          <w:color w:val="244061"/>
          <w:sz w:val="20"/>
        </w:rPr>
        <w:t xml:space="preserve"> iznosio je </w:t>
      </w:r>
      <w:r w:rsidR="00B36091" w:rsidRPr="00DF0A63">
        <w:rPr>
          <w:rFonts w:ascii="Arial" w:hAnsi="Arial" w:cs="Arial"/>
          <w:bCs/>
          <w:color w:val="244061"/>
          <w:sz w:val="20"/>
        </w:rPr>
        <w:t>2,42</w:t>
      </w:r>
      <w:r w:rsidR="00CA39D8" w:rsidRPr="00DF0A63">
        <w:rPr>
          <w:rFonts w:ascii="Arial" w:hAnsi="Arial" w:cs="Arial"/>
          <w:bCs/>
          <w:color w:val="244061"/>
          <w:sz w:val="20"/>
        </w:rPr>
        <w:t xml:space="preserve"> </w:t>
      </w:r>
      <w:r w:rsidR="00A60058" w:rsidRPr="00DF0A63">
        <w:rPr>
          <w:rFonts w:ascii="Arial" w:hAnsi="Arial" w:cs="Arial"/>
          <w:bCs/>
          <w:color w:val="244061"/>
          <w:sz w:val="20"/>
        </w:rPr>
        <w:t>milij</w:t>
      </w:r>
      <w:r w:rsidR="00A602D9" w:rsidRPr="00DF0A63">
        <w:rPr>
          <w:rFonts w:ascii="Arial" w:hAnsi="Arial" w:cs="Arial"/>
          <w:bCs/>
          <w:color w:val="244061"/>
          <w:sz w:val="20"/>
        </w:rPr>
        <w:t>ard</w:t>
      </w:r>
      <w:r w:rsidR="00E746CB" w:rsidRPr="00DF0A63">
        <w:rPr>
          <w:rFonts w:ascii="Arial" w:hAnsi="Arial" w:cs="Arial"/>
          <w:bCs/>
          <w:color w:val="244061"/>
          <w:sz w:val="20"/>
        </w:rPr>
        <w:t>e</w:t>
      </w:r>
      <w:r w:rsidR="00726730" w:rsidRPr="00DF0A63">
        <w:rPr>
          <w:rFonts w:ascii="Arial" w:hAnsi="Arial" w:cs="Arial"/>
          <w:bCs/>
          <w:color w:val="244061"/>
          <w:sz w:val="20"/>
        </w:rPr>
        <w:t xml:space="preserve"> eura</w:t>
      </w:r>
      <w:r w:rsidR="00FC7AF2" w:rsidRPr="00DF0A63">
        <w:rPr>
          <w:rFonts w:ascii="Arial" w:hAnsi="Arial" w:cs="Arial"/>
          <w:bCs/>
          <w:color w:val="244061"/>
          <w:sz w:val="20"/>
        </w:rPr>
        <w:t xml:space="preserve"> (glavnica), </w:t>
      </w:r>
      <w:r w:rsidR="00343C6F" w:rsidRPr="00DF0A63">
        <w:rPr>
          <w:rFonts w:ascii="Arial" w:hAnsi="Arial" w:cs="Arial"/>
          <w:bCs/>
          <w:color w:val="244061"/>
          <w:sz w:val="20"/>
        </w:rPr>
        <w:t>što je za</w:t>
      </w:r>
      <w:r w:rsidR="00343C6F" w:rsidRPr="00C1108F">
        <w:rPr>
          <w:rFonts w:ascii="Arial" w:hAnsi="Arial" w:cs="Arial"/>
          <w:bCs/>
          <w:color w:val="244061"/>
          <w:sz w:val="20"/>
        </w:rPr>
        <w:t xml:space="preserve"> </w:t>
      </w:r>
      <w:r w:rsidR="00B36091" w:rsidRPr="00B36091">
        <w:rPr>
          <w:rFonts w:ascii="Arial" w:hAnsi="Arial" w:cs="Arial"/>
          <w:bCs/>
          <w:color w:val="244061"/>
          <w:sz w:val="20"/>
        </w:rPr>
        <w:t>0,1</w:t>
      </w:r>
      <w:r w:rsidR="00343C6F" w:rsidRPr="00C1108F">
        <w:rPr>
          <w:rFonts w:ascii="Arial" w:hAnsi="Arial" w:cs="Arial"/>
          <w:bCs/>
          <w:color w:val="244061"/>
          <w:sz w:val="20"/>
        </w:rPr>
        <w:t xml:space="preserve">% </w:t>
      </w:r>
      <w:r w:rsidR="00B36091">
        <w:rPr>
          <w:rFonts w:ascii="Arial" w:hAnsi="Arial" w:cs="Arial"/>
          <w:bCs/>
          <w:color w:val="244061"/>
          <w:sz w:val="20"/>
        </w:rPr>
        <w:t>manje</w:t>
      </w:r>
      <w:r w:rsidR="00343C6F" w:rsidRPr="00C1108F">
        <w:rPr>
          <w:rFonts w:ascii="Arial" w:hAnsi="Arial" w:cs="Arial"/>
          <w:bCs/>
          <w:color w:val="244061"/>
          <w:sz w:val="20"/>
        </w:rPr>
        <w:t xml:space="preserve"> u odnosu na </w:t>
      </w:r>
      <w:r w:rsidR="00B36091">
        <w:rPr>
          <w:rFonts w:ascii="Arial" w:hAnsi="Arial" w:cs="Arial"/>
          <w:bCs/>
          <w:color w:val="244061"/>
          <w:sz w:val="20"/>
        </w:rPr>
        <w:t>srpanj</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B36091" w:rsidRPr="00B36091">
        <w:rPr>
          <w:rFonts w:ascii="Arial" w:hAnsi="Arial" w:cs="Arial"/>
          <w:bCs/>
          <w:color w:val="244061"/>
          <w:sz w:val="20"/>
        </w:rPr>
        <w:t>1,2</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B36091">
        <w:rPr>
          <w:rFonts w:ascii="Arial" w:hAnsi="Arial" w:cs="Arial"/>
          <w:bCs/>
          <w:color w:val="244061"/>
          <w:sz w:val="20"/>
        </w:rPr>
        <w:t>kolovoz</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B36091" w:rsidRPr="00B36091">
        <w:rPr>
          <w:rFonts w:ascii="Arial" w:hAnsi="Arial" w:cs="Arial"/>
          <w:bCs/>
          <w:color w:val="244061"/>
          <w:sz w:val="20"/>
        </w:rPr>
        <w:t>0,90</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477ABBA6"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 xml:space="preserve">na teret </w:t>
      </w:r>
      <w:proofErr w:type="spellStart"/>
      <w:r w:rsidR="00113C35" w:rsidRPr="00113C35">
        <w:rPr>
          <w:rFonts w:ascii="Arial" w:hAnsi="Arial" w:cs="Arial"/>
          <w:bCs/>
          <w:color w:val="244061"/>
          <w:sz w:val="18"/>
          <w:szCs w:val="18"/>
        </w:rPr>
        <w:t>ovršenika</w:t>
      </w:r>
      <w:proofErr w:type="spellEnd"/>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4C8175BC"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4A7DA27A"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50CEED9F"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2D7EDBA8"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76BD8F46"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612E6910"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FC241D" w:rsidRPr="0080330F" w14:paraId="4534EBEB"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D8E8EDB" w14:textId="77777777" w:rsidR="00FC241D" w:rsidRDefault="00FC241D" w:rsidP="00FC241D">
            <w:pPr>
              <w:ind w:left="-57"/>
              <w:jc w:val="right"/>
              <w:rPr>
                <w:rFonts w:ascii="Arial" w:hAnsi="Arial" w:cs="Arial"/>
                <w:color w:val="244062"/>
                <w:sz w:val="17"/>
                <w:szCs w:val="17"/>
                <w:lang w:eastAsia="hr-HR"/>
              </w:rPr>
            </w:pPr>
            <w:r>
              <w:rPr>
                <w:rFonts w:ascii="Arial" w:hAnsi="Arial" w:cs="Arial"/>
                <w:color w:val="244062"/>
                <w:sz w:val="17"/>
                <w:szCs w:val="17"/>
                <w:lang w:eastAsia="hr-HR"/>
              </w:rPr>
              <w:t>31.08.2022.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10B2E12" w14:textId="77777777" w:rsidR="00FC241D" w:rsidRDefault="00FC241D">
            <w:pPr>
              <w:jc w:val="center"/>
              <w:rPr>
                <w:rFonts w:ascii="Arial" w:hAnsi="Arial" w:cs="Arial"/>
                <w:color w:val="003366"/>
                <w:sz w:val="17"/>
                <w:szCs w:val="17"/>
              </w:rPr>
            </w:pPr>
            <w:r>
              <w:rPr>
                <w:rFonts w:ascii="Arial" w:hAnsi="Arial" w:cs="Arial"/>
                <w:color w:val="003366"/>
                <w:sz w:val="17"/>
                <w:szCs w:val="17"/>
              </w:rPr>
              <w:t>232.304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4F31918" w14:textId="77777777" w:rsidR="00FC241D" w:rsidRDefault="00FC241D">
            <w:pPr>
              <w:jc w:val="right"/>
              <w:rPr>
                <w:rFonts w:ascii="Arial" w:hAnsi="Arial" w:cs="Arial"/>
                <w:color w:val="003366"/>
                <w:sz w:val="17"/>
                <w:szCs w:val="17"/>
              </w:rPr>
            </w:pPr>
            <w:r>
              <w:rPr>
                <w:rFonts w:ascii="Arial" w:hAnsi="Arial" w:cs="Arial"/>
                <w:color w:val="003366"/>
                <w:sz w:val="17"/>
                <w:szCs w:val="17"/>
              </w:rPr>
              <w:t>2.445.324.422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D167C2C" w14:textId="77777777" w:rsidR="00FC241D" w:rsidRDefault="00FC241D">
            <w:pPr>
              <w:jc w:val="right"/>
              <w:rPr>
                <w:rFonts w:ascii="Arial" w:hAnsi="Arial" w:cs="Arial"/>
                <w:color w:val="003366"/>
                <w:sz w:val="17"/>
                <w:szCs w:val="17"/>
              </w:rPr>
            </w:pPr>
            <w:r>
              <w:rPr>
                <w:rFonts w:ascii="Arial" w:hAnsi="Arial" w:cs="Arial"/>
                <w:color w:val="003366"/>
                <w:sz w:val="17"/>
                <w:szCs w:val="17"/>
              </w:rPr>
              <w:t>883.101.658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2A669C9"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3.328.426.080</w:t>
            </w:r>
          </w:p>
        </w:tc>
      </w:tr>
      <w:tr w:rsidR="00FC241D" w:rsidRPr="0080330F" w14:paraId="679D4661"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A4B78CB" w14:textId="77777777" w:rsidR="00FC241D" w:rsidRDefault="00FC241D"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C65D172" w14:textId="77777777" w:rsidR="00FC241D" w:rsidRDefault="00FC241D">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920EA1D" w14:textId="77777777" w:rsidR="00FC241D" w:rsidRDefault="00FC241D">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EC2435D" w14:textId="77777777" w:rsidR="00FC241D" w:rsidRDefault="00FC241D">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D9EFEAE" w14:textId="77777777" w:rsidR="00FC241D" w:rsidRDefault="00FC241D">
            <w:pPr>
              <w:jc w:val="right"/>
              <w:rPr>
                <w:rFonts w:ascii="Arial" w:hAnsi="Arial" w:cs="Arial"/>
                <w:b/>
                <w:bCs/>
                <w:color w:val="244062"/>
                <w:sz w:val="17"/>
                <w:szCs w:val="17"/>
              </w:rPr>
            </w:pPr>
            <w:r>
              <w:rPr>
                <w:rFonts w:ascii="Arial" w:hAnsi="Arial" w:cs="Arial"/>
                <w:b/>
                <w:bCs/>
                <w:color w:val="244062"/>
                <w:sz w:val="17"/>
                <w:szCs w:val="17"/>
              </w:rPr>
              <w:t>3.258.109.359</w:t>
            </w:r>
          </w:p>
        </w:tc>
      </w:tr>
      <w:tr w:rsidR="00FC241D" w:rsidRPr="0080330F" w14:paraId="70523C5D"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7A1EA08" w14:textId="77777777" w:rsidR="00FC241D" w:rsidRDefault="00FC241D" w:rsidP="00FC241D">
            <w:pPr>
              <w:ind w:left="-57"/>
              <w:jc w:val="right"/>
              <w:rPr>
                <w:rFonts w:ascii="Arial" w:hAnsi="Arial" w:cs="Arial"/>
                <w:color w:val="244062"/>
                <w:sz w:val="17"/>
                <w:szCs w:val="17"/>
                <w:lang w:eastAsia="hr-HR"/>
              </w:rPr>
            </w:pPr>
            <w:r>
              <w:rPr>
                <w:rFonts w:ascii="Arial" w:hAnsi="Arial" w:cs="Arial"/>
                <w:color w:val="244062"/>
                <w:sz w:val="17"/>
                <w:szCs w:val="17"/>
                <w:lang w:eastAsia="hr-HR"/>
              </w:rPr>
              <w:t>31.07.2023.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99BF2DF" w14:textId="77777777" w:rsidR="00FC241D" w:rsidRDefault="00FC241D">
            <w:pPr>
              <w:jc w:val="center"/>
              <w:rPr>
                <w:rFonts w:ascii="Arial" w:hAnsi="Arial" w:cs="Arial"/>
                <w:color w:val="003366"/>
                <w:sz w:val="17"/>
                <w:szCs w:val="17"/>
              </w:rPr>
            </w:pPr>
            <w:r>
              <w:rPr>
                <w:rFonts w:ascii="Arial" w:hAnsi="Arial" w:cs="Arial"/>
                <w:color w:val="003366"/>
                <w:sz w:val="17"/>
                <w:szCs w:val="17"/>
              </w:rPr>
              <w:t>219.918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EC1372B" w14:textId="77777777" w:rsidR="00FC241D" w:rsidRDefault="00FC241D">
            <w:pPr>
              <w:jc w:val="right"/>
              <w:rPr>
                <w:rFonts w:ascii="Arial" w:hAnsi="Arial" w:cs="Arial"/>
                <w:color w:val="003366"/>
                <w:sz w:val="17"/>
                <w:szCs w:val="17"/>
              </w:rPr>
            </w:pPr>
            <w:r>
              <w:rPr>
                <w:rFonts w:ascii="Arial" w:hAnsi="Arial" w:cs="Arial"/>
                <w:color w:val="003366"/>
                <w:sz w:val="17"/>
                <w:szCs w:val="17"/>
              </w:rPr>
              <w:t>2.418.504.418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56E4483" w14:textId="77777777" w:rsidR="00FC241D" w:rsidRDefault="00FC241D">
            <w:pPr>
              <w:jc w:val="right"/>
              <w:rPr>
                <w:rFonts w:ascii="Arial" w:hAnsi="Arial" w:cs="Arial"/>
                <w:color w:val="003366"/>
                <w:sz w:val="17"/>
                <w:szCs w:val="17"/>
              </w:rPr>
            </w:pPr>
            <w:r>
              <w:rPr>
                <w:rFonts w:ascii="Arial" w:hAnsi="Arial" w:cs="Arial"/>
                <w:color w:val="003366"/>
                <w:sz w:val="17"/>
                <w:szCs w:val="17"/>
              </w:rPr>
              <w:t>881.171.434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24731E7"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3.299.675.851</w:t>
            </w:r>
          </w:p>
        </w:tc>
      </w:tr>
      <w:tr w:rsidR="00FC241D" w:rsidRPr="0080330F" w14:paraId="00B0FCA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DE2A6A3" w14:textId="77777777" w:rsidR="00FC241D" w:rsidRDefault="00FC241D" w:rsidP="00FC241D">
            <w:pPr>
              <w:ind w:left="-57"/>
              <w:jc w:val="right"/>
              <w:rPr>
                <w:rFonts w:ascii="Arial" w:hAnsi="Arial" w:cs="Arial"/>
                <w:color w:val="244062"/>
                <w:sz w:val="17"/>
                <w:szCs w:val="17"/>
                <w:lang w:eastAsia="hr-HR"/>
              </w:rPr>
            </w:pPr>
            <w:r>
              <w:rPr>
                <w:rFonts w:ascii="Arial" w:hAnsi="Arial" w:cs="Arial"/>
                <w:color w:val="244062"/>
                <w:sz w:val="17"/>
                <w:szCs w:val="17"/>
                <w:lang w:eastAsia="hr-HR"/>
              </w:rPr>
              <w:t>31.08.2023.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B1F6F98" w14:textId="77777777" w:rsidR="00FC241D" w:rsidRDefault="00FC241D">
            <w:pPr>
              <w:jc w:val="center"/>
              <w:rPr>
                <w:rFonts w:ascii="Arial" w:hAnsi="Arial" w:cs="Arial"/>
                <w:color w:val="003366"/>
                <w:sz w:val="17"/>
                <w:szCs w:val="17"/>
              </w:rPr>
            </w:pPr>
            <w:r>
              <w:rPr>
                <w:rFonts w:ascii="Arial" w:hAnsi="Arial" w:cs="Arial"/>
                <w:color w:val="003366"/>
                <w:sz w:val="17"/>
                <w:szCs w:val="17"/>
              </w:rPr>
              <w:t>217.178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008CC6C" w14:textId="77777777" w:rsidR="00FC241D" w:rsidRDefault="00FC241D">
            <w:pPr>
              <w:jc w:val="right"/>
              <w:rPr>
                <w:rFonts w:ascii="Arial" w:hAnsi="Arial" w:cs="Arial"/>
                <w:color w:val="003366"/>
                <w:sz w:val="17"/>
                <w:szCs w:val="17"/>
              </w:rPr>
            </w:pPr>
            <w:r>
              <w:rPr>
                <w:rFonts w:ascii="Arial" w:hAnsi="Arial" w:cs="Arial"/>
                <w:color w:val="003366"/>
                <w:sz w:val="17"/>
                <w:szCs w:val="17"/>
              </w:rPr>
              <w:t>2.415.575.115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C97198A" w14:textId="77777777" w:rsidR="00FC241D" w:rsidRDefault="00FC241D">
            <w:pPr>
              <w:jc w:val="right"/>
              <w:rPr>
                <w:rFonts w:ascii="Arial" w:hAnsi="Arial" w:cs="Arial"/>
                <w:color w:val="003366"/>
                <w:sz w:val="17"/>
                <w:szCs w:val="17"/>
              </w:rPr>
            </w:pPr>
            <w:r>
              <w:rPr>
                <w:rFonts w:ascii="Arial" w:hAnsi="Arial" w:cs="Arial"/>
                <w:color w:val="003366"/>
                <w:sz w:val="17"/>
                <w:szCs w:val="17"/>
              </w:rPr>
              <w:t>901.900.723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BBB6F7E" w14:textId="77777777" w:rsidR="00FC241D" w:rsidRDefault="00FC241D">
            <w:pPr>
              <w:jc w:val="right"/>
              <w:rPr>
                <w:rFonts w:ascii="Arial" w:hAnsi="Arial" w:cs="Arial"/>
                <w:b/>
                <w:bCs/>
                <w:color w:val="003366"/>
                <w:sz w:val="17"/>
                <w:szCs w:val="17"/>
              </w:rPr>
            </w:pPr>
            <w:r>
              <w:rPr>
                <w:rFonts w:ascii="Arial" w:hAnsi="Arial" w:cs="Arial"/>
                <w:b/>
                <w:bCs/>
                <w:color w:val="003366"/>
                <w:sz w:val="17"/>
                <w:szCs w:val="17"/>
              </w:rPr>
              <w:t>3.317.475.838</w:t>
            </w:r>
          </w:p>
        </w:tc>
      </w:tr>
    </w:tbl>
    <w:p w14:paraId="20D88DBF"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2EC2A963" w14:textId="77777777" w:rsidR="00BA7EF4" w:rsidRPr="00DF0A63"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DF0A63">
        <w:rPr>
          <w:rFonts w:ascii="Arial" w:hAnsi="Arial" w:cs="Arial"/>
          <w:bCs/>
          <w:color w:val="244061"/>
          <w:sz w:val="20"/>
        </w:rPr>
        <w:t xml:space="preserve">Najveći dio duga, u iznosu od </w:t>
      </w:r>
      <w:r w:rsidR="000D67E2" w:rsidRPr="00DF0A63">
        <w:rPr>
          <w:rFonts w:ascii="Arial" w:hAnsi="Arial" w:cs="Arial"/>
          <w:bCs/>
          <w:color w:val="244061"/>
          <w:sz w:val="20"/>
        </w:rPr>
        <w:t>0,</w:t>
      </w:r>
      <w:r w:rsidR="00B51CB5" w:rsidRPr="00DF0A63">
        <w:rPr>
          <w:rFonts w:ascii="Arial" w:hAnsi="Arial" w:cs="Arial"/>
          <w:bCs/>
          <w:color w:val="244061"/>
          <w:sz w:val="20"/>
        </w:rPr>
        <w:t>6</w:t>
      </w:r>
      <w:r w:rsidR="00A02F28" w:rsidRPr="00DF0A63">
        <w:rPr>
          <w:rFonts w:ascii="Arial" w:hAnsi="Arial" w:cs="Arial"/>
          <w:bCs/>
          <w:color w:val="244061"/>
          <w:sz w:val="20"/>
        </w:rPr>
        <w:t>9</w:t>
      </w:r>
      <w:r w:rsidR="000D67E2" w:rsidRPr="00DF0A63">
        <w:rPr>
          <w:rFonts w:ascii="Arial" w:hAnsi="Arial" w:cs="Arial"/>
          <w:bCs/>
          <w:color w:val="244061"/>
          <w:sz w:val="20"/>
        </w:rPr>
        <w:t xml:space="preserve"> milijardi</w:t>
      </w:r>
      <w:r w:rsidR="004F6AA6" w:rsidRPr="00DF0A63">
        <w:rPr>
          <w:rFonts w:ascii="Arial" w:hAnsi="Arial" w:cs="Arial"/>
          <w:bCs/>
          <w:color w:val="244061"/>
          <w:sz w:val="20"/>
        </w:rPr>
        <w:t xml:space="preserve"> eura</w:t>
      </w:r>
      <w:r w:rsidRPr="00DF0A63">
        <w:rPr>
          <w:rFonts w:ascii="Arial" w:hAnsi="Arial" w:cs="Arial"/>
          <w:bCs/>
          <w:color w:val="244061"/>
          <w:sz w:val="20"/>
        </w:rPr>
        <w:t xml:space="preserve"> (bez kamata), odnosio se na dug </w:t>
      </w:r>
      <w:r w:rsidR="00241D66" w:rsidRPr="00DF0A63">
        <w:rPr>
          <w:rFonts w:ascii="Arial" w:hAnsi="Arial" w:cs="Arial"/>
          <w:bCs/>
          <w:color w:val="244061"/>
          <w:sz w:val="20"/>
        </w:rPr>
        <w:t>potrošača</w:t>
      </w:r>
      <w:r w:rsidRPr="00DF0A63">
        <w:rPr>
          <w:rFonts w:ascii="Arial" w:hAnsi="Arial" w:cs="Arial"/>
          <w:bCs/>
          <w:color w:val="244061"/>
          <w:sz w:val="20"/>
        </w:rPr>
        <w:t xml:space="preserve"> prema </w:t>
      </w:r>
      <w:r w:rsidR="00642D98" w:rsidRPr="00DF0A63">
        <w:rPr>
          <w:rFonts w:ascii="Arial" w:hAnsi="Arial" w:cs="Arial"/>
          <w:bCs/>
          <w:color w:val="244061"/>
          <w:sz w:val="20"/>
        </w:rPr>
        <w:t>bankama kao vjerovnicima</w:t>
      </w:r>
      <w:r w:rsidRPr="00DF0A63">
        <w:rPr>
          <w:rFonts w:ascii="Arial" w:hAnsi="Arial" w:cs="Arial"/>
          <w:bCs/>
          <w:color w:val="244061"/>
          <w:sz w:val="20"/>
        </w:rPr>
        <w:t xml:space="preserve">, </w:t>
      </w:r>
      <w:r w:rsidR="00642D98" w:rsidRPr="00DF0A63">
        <w:rPr>
          <w:rFonts w:ascii="Arial" w:hAnsi="Arial" w:cs="Arial"/>
          <w:bCs/>
          <w:color w:val="244061"/>
          <w:sz w:val="20"/>
        </w:rPr>
        <w:t xml:space="preserve">a prema svim financijskim institucijama, dug je iznosio </w:t>
      </w:r>
      <w:r w:rsidR="000D67E2" w:rsidRPr="00DF0A63">
        <w:rPr>
          <w:rFonts w:ascii="Arial" w:hAnsi="Arial" w:cs="Arial"/>
          <w:bCs/>
          <w:color w:val="244061"/>
          <w:sz w:val="20"/>
        </w:rPr>
        <w:t>0,</w:t>
      </w:r>
      <w:r w:rsidR="00B51CB5" w:rsidRPr="00DF0A63">
        <w:rPr>
          <w:rFonts w:ascii="Arial" w:hAnsi="Arial" w:cs="Arial"/>
          <w:bCs/>
          <w:color w:val="244061"/>
          <w:sz w:val="20"/>
        </w:rPr>
        <w:t>7</w:t>
      </w:r>
      <w:r w:rsidR="00A02F28" w:rsidRPr="00DF0A63">
        <w:rPr>
          <w:rFonts w:ascii="Arial" w:hAnsi="Arial" w:cs="Arial"/>
          <w:bCs/>
          <w:color w:val="244061"/>
          <w:sz w:val="20"/>
        </w:rPr>
        <w:t>9</w:t>
      </w:r>
      <w:r w:rsidR="000D67E2" w:rsidRPr="00DF0A63">
        <w:rPr>
          <w:rFonts w:ascii="Arial" w:hAnsi="Arial" w:cs="Arial"/>
          <w:bCs/>
          <w:color w:val="244061"/>
          <w:sz w:val="20"/>
        </w:rPr>
        <w:t xml:space="preserve"> milijardi</w:t>
      </w:r>
      <w:r w:rsidR="004F6AA6" w:rsidRPr="00DF0A63">
        <w:rPr>
          <w:rFonts w:ascii="Arial" w:hAnsi="Arial" w:cs="Arial"/>
          <w:bCs/>
          <w:color w:val="244061"/>
          <w:sz w:val="20"/>
        </w:rPr>
        <w:t xml:space="preserve"> eura</w:t>
      </w:r>
      <w:r w:rsidRPr="00DF0A63">
        <w:rPr>
          <w:rFonts w:ascii="Arial" w:hAnsi="Arial" w:cs="Arial"/>
          <w:bCs/>
          <w:color w:val="244061"/>
          <w:sz w:val="20"/>
        </w:rPr>
        <w:t>.</w:t>
      </w:r>
    </w:p>
    <w:p w14:paraId="7CE90780"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12D1BB77" w14:textId="23C5FB58" w:rsidR="00BA7EF4" w:rsidRDefault="004A5427" w:rsidP="003E05F9">
      <w:pPr>
        <w:widowControl w:val="0"/>
        <w:autoSpaceDE w:val="0"/>
        <w:autoSpaceDN w:val="0"/>
        <w:adjustRightInd w:val="0"/>
        <w:jc w:val="both"/>
        <w:rPr>
          <w:noProof/>
          <w:lang w:eastAsia="hr-HR"/>
        </w:rPr>
      </w:pPr>
      <w:r>
        <w:rPr>
          <w:noProof/>
          <w:lang w:eastAsia="hr-HR"/>
        </w:rPr>
        <w:drawing>
          <wp:inline distT="0" distB="0" distL="0" distR="0" wp14:anchorId="0543AE4D" wp14:editId="32A5F573">
            <wp:extent cx="6132830" cy="1905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05000"/>
                    </a:xfrm>
                    <a:prstGeom prst="rect">
                      <a:avLst/>
                    </a:prstGeom>
                    <a:noFill/>
                  </pic:spPr>
                </pic:pic>
              </a:graphicData>
            </a:graphic>
          </wp:inline>
        </w:drawing>
      </w:r>
    </w:p>
    <w:p w14:paraId="13118D24"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23604771"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28027519"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3FA177B8" w14:textId="77777777" w:rsidR="00D246DE" w:rsidRPr="003E05F9" w:rsidRDefault="00B4304F"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00D246DE" w:rsidRPr="003E05F9">
                <w:rPr>
                  <w:rFonts w:ascii="Calibri" w:hAnsi="Calibri" w:cs="Arial"/>
                  <w:bCs/>
                  <w:i/>
                  <w:color w:val="0000FF"/>
                  <w:sz w:val="18"/>
                  <w:szCs w:val="18"/>
                  <w:u w:val="single"/>
                  <w:shd w:val="clear" w:color="auto" w:fill="FFFFFF"/>
                  <w:lang w:eastAsia="hr-HR"/>
                </w:rPr>
                <w:t>Info.BIZ</w:t>
              </w:r>
            </w:hyperlink>
            <w:r w:rsidR="00D246DE" w:rsidRPr="003E05F9">
              <w:rPr>
                <w:rFonts w:ascii="Calibri" w:hAnsi="Calibri" w:cs="Arial"/>
                <w:i/>
                <w:color w:val="0000FF"/>
                <w:sz w:val="18"/>
                <w:szCs w:val="18"/>
                <w:u w:val="single"/>
                <w:shd w:val="clear" w:color="auto" w:fill="FFFFFF"/>
                <w:lang w:eastAsia="hr-HR"/>
              </w:rPr>
              <w:t xml:space="preserve"> </w:t>
            </w:r>
            <w:r w:rsidR="00D246DE"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00D246DE" w:rsidRPr="00293A82">
              <w:rPr>
                <w:rFonts w:ascii="Calibri" w:hAnsi="Calibri" w:cs="Arial"/>
                <w:i/>
                <w:color w:val="244061"/>
                <w:sz w:val="18"/>
                <w:szCs w:val="18"/>
                <w:shd w:val="clear" w:color="auto" w:fill="FFFFFF"/>
                <w:lang w:eastAsia="hr-HR"/>
              </w:rPr>
              <w:t>najažurnija baza</w:t>
            </w:r>
            <w:r w:rsidR="00D246DE" w:rsidRPr="003E05F9">
              <w:rPr>
                <w:rFonts w:ascii="Calibri" w:hAnsi="Calibri" w:cs="Arial"/>
                <w:i/>
                <w:color w:val="244061"/>
                <w:sz w:val="18"/>
                <w:szCs w:val="18"/>
                <w:shd w:val="clear" w:color="auto" w:fill="FFFFFF"/>
                <w:lang w:eastAsia="hr-HR"/>
              </w:rPr>
              <w:t xml:space="preserve"> poslovnih informacija za više </w:t>
            </w:r>
            <w:r w:rsidR="00D246DE" w:rsidRPr="00293A82">
              <w:rPr>
                <w:rFonts w:ascii="Calibri" w:hAnsi="Calibri" w:cs="Arial"/>
                <w:i/>
                <w:color w:val="244061"/>
                <w:sz w:val="18"/>
                <w:szCs w:val="18"/>
                <w:shd w:val="clear" w:color="auto" w:fill="FFFFFF"/>
                <w:lang w:eastAsia="hr-HR"/>
              </w:rPr>
              <w:t xml:space="preserve">od </w:t>
            </w:r>
            <w:r w:rsidR="00D246DE"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00D246DE" w:rsidRPr="00293A82">
              <w:rPr>
                <w:rFonts w:ascii="Calibri" w:hAnsi="Calibri" w:cs="Arial"/>
                <w:b/>
                <w:i/>
                <w:color w:val="244061"/>
                <w:sz w:val="18"/>
                <w:szCs w:val="18"/>
                <w:shd w:val="clear" w:color="auto" w:fill="FFFFFF"/>
                <w:lang w:eastAsia="hr-HR"/>
              </w:rPr>
              <w:t>.000 poslovnih subjekata iz više od 30 izvora.</w:t>
            </w:r>
            <w:r w:rsidR="00D246DE" w:rsidRPr="00293A82">
              <w:rPr>
                <w:rFonts w:ascii="Calibri" w:hAnsi="Calibri" w:cs="Arial"/>
                <w:i/>
                <w:color w:val="244061"/>
                <w:sz w:val="18"/>
                <w:szCs w:val="18"/>
                <w:shd w:val="clear" w:color="auto" w:fill="FFFFFF"/>
                <w:lang w:eastAsia="hr-HR"/>
              </w:rPr>
              <w:t xml:space="preserve"> Omogućuje</w:t>
            </w:r>
            <w:r w:rsidR="00D246DE"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307A9421"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699177FF"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0CB572D1" w14:textId="2E6E33AA" w:rsidR="00D246DE" w:rsidRPr="00D246DE" w:rsidRDefault="004A5427"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7554EE50" wp14:editId="239BE35D">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01530A44"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6C3F" w14:textId="77777777" w:rsidR="00B4304F" w:rsidRDefault="00B4304F">
      <w:r>
        <w:separator/>
      </w:r>
    </w:p>
  </w:endnote>
  <w:endnote w:type="continuationSeparator" w:id="0">
    <w:p w14:paraId="780CEA4F" w14:textId="77777777" w:rsidR="00B4304F" w:rsidRDefault="00B4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30C4"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B511A0">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B511A0">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0247" w14:textId="77777777" w:rsidR="00B4304F" w:rsidRDefault="00B4304F">
      <w:r>
        <w:separator/>
      </w:r>
    </w:p>
  </w:footnote>
  <w:footnote w:type="continuationSeparator" w:id="0">
    <w:p w14:paraId="756DFEE7" w14:textId="77777777" w:rsidR="00B4304F" w:rsidRDefault="00B4304F">
      <w:r>
        <w:continuationSeparator/>
      </w:r>
    </w:p>
  </w:footnote>
  <w:footnote w:id="1">
    <w:p w14:paraId="060209E6"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51D8" w14:textId="44C15271" w:rsidR="00FD474A" w:rsidRPr="00CB565F" w:rsidRDefault="004A5427"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4A6D4E10" wp14:editId="13A1E455">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B511A0">
      <w:rPr>
        <w:rFonts w:ascii="Arial" w:hAnsi="Arial" w:cs="Arial"/>
        <w:color w:val="244061"/>
        <w:sz w:val="18"/>
        <w:szCs w:val="18"/>
      </w:rPr>
      <w:t>11. rujna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95E"/>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472"/>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B7FDB"/>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33A"/>
    <w:rsid w:val="002D544F"/>
    <w:rsid w:val="002D59D2"/>
    <w:rsid w:val="002D5B6C"/>
    <w:rsid w:val="002D69E1"/>
    <w:rsid w:val="002D7ABA"/>
    <w:rsid w:val="002D7DE4"/>
    <w:rsid w:val="002E0655"/>
    <w:rsid w:val="002E1617"/>
    <w:rsid w:val="002E1B66"/>
    <w:rsid w:val="002E29B4"/>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B92"/>
    <w:rsid w:val="00320E3B"/>
    <w:rsid w:val="0032130D"/>
    <w:rsid w:val="003224B5"/>
    <w:rsid w:val="00322B7F"/>
    <w:rsid w:val="00322CEB"/>
    <w:rsid w:val="00322D74"/>
    <w:rsid w:val="00322DF3"/>
    <w:rsid w:val="00323015"/>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5FB0"/>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248"/>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17CD"/>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55F5"/>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5427"/>
    <w:rsid w:val="004A64AB"/>
    <w:rsid w:val="004A6811"/>
    <w:rsid w:val="004A6AD9"/>
    <w:rsid w:val="004A7D44"/>
    <w:rsid w:val="004B03DB"/>
    <w:rsid w:val="004B0436"/>
    <w:rsid w:val="004B0534"/>
    <w:rsid w:val="004B0AF9"/>
    <w:rsid w:val="004B11A7"/>
    <w:rsid w:val="004B2A06"/>
    <w:rsid w:val="004B2D94"/>
    <w:rsid w:val="004B2EB4"/>
    <w:rsid w:val="004B34CA"/>
    <w:rsid w:val="004B3A63"/>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3FC"/>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249"/>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7B1"/>
    <w:rsid w:val="006D2216"/>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CFE"/>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4D3"/>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5AA2"/>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6B44"/>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4663"/>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2F28"/>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3A07"/>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4B6"/>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36091"/>
    <w:rsid w:val="00B4102C"/>
    <w:rsid w:val="00B4157F"/>
    <w:rsid w:val="00B42F60"/>
    <w:rsid w:val="00B4304F"/>
    <w:rsid w:val="00B44382"/>
    <w:rsid w:val="00B45B71"/>
    <w:rsid w:val="00B45B94"/>
    <w:rsid w:val="00B45C77"/>
    <w:rsid w:val="00B45E2D"/>
    <w:rsid w:val="00B46441"/>
    <w:rsid w:val="00B46632"/>
    <w:rsid w:val="00B47AC8"/>
    <w:rsid w:val="00B47DD2"/>
    <w:rsid w:val="00B47EEB"/>
    <w:rsid w:val="00B506FA"/>
    <w:rsid w:val="00B50BA4"/>
    <w:rsid w:val="00B511A0"/>
    <w:rsid w:val="00B51CB5"/>
    <w:rsid w:val="00B521FD"/>
    <w:rsid w:val="00B5239B"/>
    <w:rsid w:val="00B5259A"/>
    <w:rsid w:val="00B52F4F"/>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9717B"/>
    <w:rsid w:val="00BA1325"/>
    <w:rsid w:val="00BA1471"/>
    <w:rsid w:val="00BA16D7"/>
    <w:rsid w:val="00BA191A"/>
    <w:rsid w:val="00BA1AA1"/>
    <w:rsid w:val="00BA2F01"/>
    <w:rsid w:val="00BA4870"/>
    <w:rsid w:val="00BA489E"/>
    <w:rsid w:val="00BA4EA2"/>
    <w:rsid w:val="00BA531B"/>
    <w:rsid w:val="00BA58E5"/>
    <w:rsid w:val="00BA597E"/>
    <w:rsid w:val="00BA5C8A"/>
    <w:rsid w:val="00BA65F1"/>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B7C3C"/>
    <w:rsid w:val="00BC11BA"/>
    <w:rsid w:val="00BC2638"/>
    <w:rsid w:val="00BC303F"/>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4D2D"/>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E1D"/>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5CF"/>
    <w:rsid w:val="00D04A51"/>
    <w:rsid w:val="00D05868"/>
    <w:rsid w:val="00D05E0A"/>
    <w:rsid w:val="00D069D4"/>
    <w:rsid w:val="00D06E04"/>
    <w:rsid w:val="00D06FF9"/>
    <w:rsid w:val="00D10693"/>
    <w:rsid w:val="00D11A25"/>
    <w:rsid w:val="00D125B3"/>
    <w:rsid w:val="00D126E6"/>
    <w:rsid w:val="00D1276C"/>
    <w:rsid w:val="00D12918"/>
    <w:rsid w:val="00D13C66"/>
    <w:rsid w:val="00D140E5"/>
    <w:rsid w:val="00D1461B"/>
    <w:rsid w:val="00D15947"/>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3B1B"/>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A63"/>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613"/>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158"/>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46CB"/>
    <w:rsid w:val="00E75047"/>
    <w:rsid w:val="00E764F2"/>
    <w:rsid w:val="00E76A8B"/>
    <w:rsid w:val="00E76E98"/>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321"/>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824"/>
    <w:rsid w:val="00F65C09"/>
    <w:rsid w:val="00F65FCE"/>
    <w:rsid w:val="00F678CB"/>
    <w:rsid w:val="00F7051C"/>
    <w:rsid w:val="00F70660"/>
    <w:rsid w:val="00F706F3"/>
    <w:rsid w:val="00F70AC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2A4"/>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41D"/>
    <w:rsid w:val="00FC2D26"/>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FDCF"/>
  <w15:chartTrackingRefBased/>
  <w15:docId w15:val="{055B5C2B-1FBA-4CE0-A510-9E76B1E6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00C2-AA8C-4CDC-8DA8-DB6FE3CE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6481</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7602</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2023-09-07T06:38:00Z</cp:lastPrinted>
  <dcterms:created xsi:type="dcterms:W3CDTF">2023-09-11T11:17:00Z</dcterms:created>
  <dcterms:modified xsi:type="dcterms:W3CDTF">2023-09-11T11:17:00Z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18248-9eb2-405f-9462-498831db6fe7_Enabled">
    <vt:lpwstr>true</vt:lpwstr>
  </property>
  <property fmtid="{D5CDD505-2E9C-101B-9397-08002B2CF9AE}" pid="3" name="MSIP_Label_af918248-9eb2-405f-9462-498831db6fe7_SetDate">
    <vt:lpwstr>2023-09-11T11:16:46Z</vt:lpwstr>
  </property>
  <property fmtid="{D5CDD505-2E9C-101B-9397-08002B2CF9AE}" pid="4" name="MSIP_Label_af918248-9eb2-405f-9462-498831db6fe7_Method">
    <vt:lpwstr>Privileged</vt:lpwstr>
  </property>
  <property fmtid="{D5CDD505-2E9C-101B-9397-08002B2CF9AE}" pid="5" name="MSIP_Label_af918248-9eb2-405f-9462-498831db6fe7_Name">
    <vt:lpwstr>Javno</vt:lpwstr>
  </property>
  <property fmtid="{D5CDD505-2E9C-101B-9397-08002B2CF9AE}" pid="6" name="MSIP_Label_af918248-9eb2-405f-9462-498831db6fe7_SiteId">
    <vt:lpwstr>f48894ec-930b-40d5-9326-43383e17b59f</vt:lpwstr>
  </property>
  <property fmtid="{D5CDD505-2E9C-101B-9397-08002B2CF9AE}" pid="7" name="MSIP_Label_af918248-9eb2-405f-9462-498831db6fe7_ActionId">
    <vt:lpwstr>a23e63d9-27f7-4705-9897-c50e7badfcb4</vt:lpwstr>
  </property>
  <property fmtid="{D5CDD505-2E9C-101B-9397-08002B2CF9AE}" pid="8" name="MSIP_Label_af918248-9eb2-405f-9462-498831db6fe7_ContentBits">
    <vt:lpwstr>0</vt:lpwstr>
  </property>
</Properties>
</file>