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1773" w14:textId="77777777" w:rsidR="00615C3D" w:rsidRPr="007F4894" w:rsidRDefault="00E80E54" w:rsidP="00E80E54">
      <w:pPr>
        <w:pStyle w:val="Heading2"/>
      </w:pPr>
      <w:bookmarkStart w:id="0" w:name="_Toc436912535"/>
      <w:bookmarkStart w:id="1" w:name="_Toc452702033"/>
      <w:bookmarkStart w:id="2" w:name="_Toc15462552"/>
      <w:bookmarkStart w:id="3" w:name="_Toc89760728"/>
      <w:r w:rsidRPr="00615C3D">
        <w:t>USPOREDBA REZULTATA POSLOVANJA PODUZETNIKA 10 NAJVEĆIH GRADOVA PREMA KRITERIJU NETO DOBITI S REZULTATIMA SVIH PODUZETNIKA RH U 202</w:t>
      </w:r>
      <w:r>
        <w:t>2</w:t>
      </w:r>
      <w:r w:rsidRPr="00615C3D">
        <w:t>.</w:t>
      </w:r>
      <w:bookmarkEnd w:id="0"/>
      <w:bookmarkEnd w:id="1"/>
      <w:r w:rsidRPr="00615C3D">
        <w:t xml:space="preserve"> GODINI</w:t>
      </w:r>
      <w:bookmarkEnd w:id="2"/>
      <w:bookmarkEnd w:id="3"/>
    </w:p>
    <w:p w14:paraId="355F534F" w14:textId="58F1122B" w:rsidR="00A73255" w:rsidRPr="00A73255" w:rsidRDefault="00A73255" w:rsidP="00A73255">
      <w:pPr>
        <w:widowControl w:val="0"/>
        <w:tabs>
          <w:tab w:val="left" w:pos="0"/>
          <w:tab w:val="left" w:pos="8080"/>
        </w:tabs>
        <w:spacing w:before="240" w:after="80" w:line="240" w:lineRule="auto"/>
        <w:jc w:val="left"/>
        <w:rPr>
          <w:bCs/>
          <w:color w:val="17365D" w:themeColor="text2" w:themeShade="BF"/>
          <w:sz w:val="20"/>
        </w:rPr>
      </w:pPr>
      <w:r w:rsidRPr="00A73255">
        <w:rPr>
          <w:bCs/>
          <w:color w:val="17365D" w:themeColor="text2" w:themeShade="BF"/>
          <w:sz w:val="20"/>
        </w:rPr>
        <w:t>Top 10 gradova po visini ostvarene neto dobiti poduzetnika u 2022. godini su: Zagreb, Zadar, Rijeka, Poreč, Velika</w:t>
      </w:r>
      <w:r w:rsidRPr="00A73255">
        <w:rPr>
          <w:bCs/>
          <w:color w:val="17365D" w:themeColor="text2" w:themeShade="BF"/>
          <w:sz w:val="20"/>
        </w:rPr>
        <w:t xml:space="preserve"> </w:t>
      </w:r>
      <w:r w:rsidRPr="00A73255">
        <w:rPr>
          <w:bCs/>
          <w:color w:val="17365D" w:themeColor="text2" w:themeShade="BF"/>
          <w:sz w:val="20"/>
        </w:rPr>
        <w:t>Gorica, Osijek, Dubrovnik, Karlovac, Varaždin i Vukovar.</w:t>
      </w:r>
    </w:p>
    <w:p w14:paraId="1B7BC677" w14:textId="5276DF3F" w:rsidR="00615C3D" w:rsidRPr="00923DDA" w:rsidRDefault="00615C3D" w:rsidP="005F0EC1">
      <w:pPr>
        <w:widowControl w:val="0"/>
        <w:tabs>
          <w:tab w:val="left" w:pos="1134"/>
          <w:tab w:val="left" w:pos="8080"/>
        </w:tabs>
        <w:spacing w:before="240" w:after="80" w:line="240" w:lineRule="auto"/>
        <w:ind w:left="1134" w:hanging="1134"/>
        <w:rPr>
          <w:i/>
          <w:color w:val="17365D" w:themeColor="text2" w:themeShade="BF"/>
          <w:sz w:val="20"/>
        </w:rPr>
      </w:pPr>
      <w:r w:rsidRPr="00E80E54">
        <w:rPr>
          <w:b/>
          <w:color w:val="17365D" w:themeColor="text2" w:themeShade="BF"/>
          <w:sz w:val="18"/>
          <w:szCs w:val="18"/>
        </w:rPr>
        <w:t xml:space="preserve">Tablica </w:t>
      </w:r>
      <w:r w:rsidR="00FE6D7F">
        <w:rPr>
          <w:b/>
          <w:color w:val="17365D" w:themeColor="text2" w:themeShade="BF"/>
          <w:sz w:val="18"/>
          <w:szCs w:val="18"/>
        </w:rPr>
        <w:t>1</w:t>
      </w:r>
      <w:r w:rsidRPr="00E80E54">
        <w:rPr>
          <w:b/>
          <w:color w:val="17365D" w:themeColor="text2" w:themeShade="BF"/>
          <w:sz w:val="18"/>
          <w:szCs w:val="18"/>
        </w:rPr>
        <w:t>.</w:t>
      </w:r>
      <w:r w:rsidRPr="00E80E54">
        <w:rPr>
          <w:b/>
          <w:color w:val="17365D" w:themeColor="text2" w:themeShade="BF"/>
          <w:sz w:val="18"/>
          <w:szCs w:val="18"/>
        </w:rPr>
        <w:tab/>
        <w:t xml:space="preserve">Rezultati poduzetnika u 10 gradova prema </w:t>
      </w:r>
      <w:r w:rsidRPr="00E80E54">
        <w:rPr>
          <w:b/>
          <w:color w:val="17365D" w:themeColor="text2" w:themeShade="BF"/>
          <w:sz w:val="18"/>
          <w:szCs w:val="18"/>
          <w:u w:val="single"/>
        </w:rPr>
        <w:t>NAJVEĆOJ NETO DOBITI</w:t>
      </w:r>
      <w:r w:rsidRPr="00E80E54">
        <w:rPr>
          <w:b/>
          <w:color w:val="17365D" w:themeColor="text2" w:themeShade="BF"/>
          <w:sz w:val="18"/>
          <w:szCs w:val="18"/>
        </w:rPr>
        <w:t xml:space="preserve"> - usporedba s rezultatima svih poduzetnika RH u 202</w:t>
      </w:r>
      <w:r w:rsidR="0061518A" w:rsidRPr="00E80E54">
        <w:rPr>
          <w:b/>
          <w:color w:val="17365D" w:themeColor="text2" w:themeShade="BF"/>
          <w:sz w:val="18"/>
          <w:szCs w:val="18"/>
        </w:rPr>
        <w:t>2</w:t>
      </w:r>
      <w:r w:rsidRPr="00E80E54">
        <w:rPr>
          <w:b/>
          <w:color w:val="17365D" w:themeColor="text2" w:themeShade="BF"/>
          <w:sz w:val="18"/>
          <w:szCs w:val="18"/>
        </w:rPr>
        <w:t xml:space="preserve">. godini                                                                     </w:t>
      </w:r>
      <w:r w:rsidRPr="00923DDA">
        <w:rPr>
          <w:i/>
          <w:color w:val="17365D" w:themeColor="text2" w:themeShade="BF"/>
          <w:sz w:val="18"/>
          <w:szCs w:val="18"/>
        </w:rPr>
        <w:t>(i</w:t>
      </w:r>
      <w:r w:rsidRPr="00923DDA">
        <w:rPr>
          <w:rFonts w:cs="Arial"/>
          <w:bCs/>
          <w:i/>
          <w:color w:val="17365D" w:themeColor="text2" w:themeShade="BF"/>
          <w:sz w:val="16"/>
          <w:szCs w:val="16"/>
        </w:rPr>
        <w:t>znosi u tisućama kuna)</w:t>
      </w:r>
    </w:p>
    <w:tbl>
      <w:tblPr>
        <w:tblW w:w="93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3"/>
        <w:gridCol w:w="709"/>
        <w:gridCol w:w="425"/>
        <w:gridCol w:w="1134"/>
        <w:gridCol w:w="425"/>
        <w:gridCol w:w="993"/>
        <w:gridCol w:w="425"/>
        <w:gridCol w:w="992"/>
        <w:gridCol w:w="425"/>
        <w:gridCol w:w="993"/>
        <w:gridCol w:w="425"/>
        <w:gridCol w:w="709"/>
        <w:gridCol w:w="462"/>
      </w:tblGrid>
      <w:tr w:rsidR="005F0EC1" w:rsidRPr="000522D0" w14:paraId="0574478E" w14:textId="77777777" w:rsidTr="00FE6D7F">
        <w:trPr>
          <w:tblHeader/>
          <w:jc w:val="center"/>
        </w:trPr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98098" w14:textId="77777777" w:rsidR="00615C3D" w:rsidRPr="005F0EC1" w:rsidRDefault="00267C6C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Grad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73E5B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Broj </w:t>
            </w:r>
            <w:proofErr w:type="spellStart"/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poduz</w:t>
            </w:r>
            <w:proofErr w:type="spellEnd"/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FFBB3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Rang</w:t>
            </w:r>
          </w:p>
          <w:p w14:paraId="11D80FA5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 u RH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CEC1C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Ukupni</w:t>
            </w:r>
          </w:p>
          <w:p w14:paraId="3E5AA65E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prihodi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D46D4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Rang </w:t>
            </w:r>
          </w:p>
          <w:p w14:paraId="30831553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u RH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5D09E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11178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Rang </w:t>
            </w:r>
          </w:p>
          <w:p w14:paraId="7BF7FAC9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u RH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CFB2F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Gubitak razdoblja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D382E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Rang </w:t>
            </w:r>
          </w:p>
          <w:p w14:paraId="69010B29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u RH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6048D" w14:textId="77777777" w:rsidR="00615C3D" w:rsidRPr="005F0EC1" w:rsidRDefault="00820F11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Neto dobit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97B34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Rang</w:t>
            </w:r>
          </w:p>
          <w:p w14:paraId="79B83588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 u RH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A92BA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Broj </w:t>
            </w:r>
            <w:proofErr w:type="spellStart"/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zaposl</w:t>
            </w:r>
            <w:proofErr w:type="spellEnd"/>
            <w:r w:rsidRPr="005F0EC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BA7D7" w14:textId="77777777" w:rsidR="00FE6D7F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 xml:space="preserve">Rang </w:t>
            </w:r>
          </w:p>
          <w:p w14:paraId="4E329468" w14:textId="77777777" w:rsidR="00615C3D" w:rsidRPr="005F0EC1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E6D7F">
              <w:rPr>
                <w:rFonts w:cs="Arial"/>
                <w:b/>
                <w:bCs/>
                <w:color w:val="FFFFFF" w:themeColor="background1"/>
                <w:sz w:val="12"/>
                <w:szCs w:val="16"/>
              </w:rPr>
              <w:t>u RH</w:t>
            </w:r>
          </w:p>
        </w:tc>
      </w:tr>
      <w:tr w:rsidR="005F0EC1" w:rsidRPr="000522D0" w14:paraId="3B503049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8E9CA08" w14:textId="77777777" w:rsidR="00082640" w:rsidRPr="005F0EC1" w:rsidRDefault="00082640" w:rsidP="00615C3D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Zagreb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BF87EA2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50.012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71ECBA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37734A8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409.493.375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F2C0851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747EBDD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35.676.428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D302811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B7E098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17.473.769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D3FD1D0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460EFB4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18.202.658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5D8AFBF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4DB06D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379.000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1A1E80F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</w:t>
            </w:r>
          </w:p>
        </w:tc>
      </w:tr>
      <w:tr w:rsidR="005F0EC1" w:rsidRPr="000522D0" w14:paraId="7DF37FBD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E593A23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Zadar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01818F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3.469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781D9A7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B87981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9.383.536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BE160B9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0487AEA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1.955.326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7A0377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87C2BD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321.390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EA9C020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3C653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1.633.936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504B84A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11ED4A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16.260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6D03E5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</w:t>
            </w:r>
          </w:p>
        </w:tc>
      </w:tr>
      <w:tr w:rsidR="005F0EC1" w:rsidRPr="000522D0" w14:paraId="7CDADD96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1787F75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Rijeka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6BE607B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5.401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088124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F31C044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22.936.407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2A9AEBF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2A19826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2.129.539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C56BD9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6B3A418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526.811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4AAF19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D0291D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1.602.728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6A174C3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B095B9F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31.699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10CA321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</w:t>
            </w:r>
          </w:p>
        </w:tc>
      </w:tr>
      <w:tr w:rsidR="005F0EC1" w:rsidRPr="000522D0" w14:paraId="384BFF79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373B0F6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Poreč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858B5B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1.654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E4114E9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1CC152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5.969.485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D5418DC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E4AA9C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1.437.650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15F3871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D050D08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89.831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5D1DEC6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F5C16DC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1.347.819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AE5FA53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3C0F42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10.058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C6275C0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14</w:t>
            </w:r>
          </w:p>
        </w:tc>
      </w:tr>
      <w:tr w:rsidR="005F0EC1" w:rsidRPr="000522D0" w14:paraId="322F3022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6948BB0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Velika Gorica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BBFCAC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2.019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7D25CEE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C43D1E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15.258.863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D78026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65C22B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1.133.136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7ACE2C8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E84E8C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83.310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BE1DC46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2CC510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1.049.825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34E680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1F94ACD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13.650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3B78327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7</w:t>
            </w:r>
          </w:p>
        </w:tc>
      </w:tr>
      <w:tr w:rsidR="005F0EC1" w:rsidRPr="000522D0" w14:paraId="2F76BC16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7564E55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Osijek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50805BF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3.579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FD1355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7F768D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17.479.889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97D3EEB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4E3962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1.242.351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A04861A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A9959CD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206.408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816FCD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4EDB49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1.035.943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E36F14E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CD42A5B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23.545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269C9FE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4</w:t>
            </w:r>
          </w:p>
        </w:tc>
      </w:tr>
      <w:tr w:rsidR="005F0EC1" w:rsidRPr="000522D0" w14:paraId="2064BC46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91A7547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Dubrovnik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7121B1C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2.429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CA6AD7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159226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6.540.962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3893BB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2C45F6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1.111.099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28BDC43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A8DCFE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169.389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D6CC6E7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174F6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941.710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64EFBB1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1A68C6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11.436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3326BF7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11</w:t>
            </w:r>
          </w:p>
        </w:tc>
      </w:tr>
      <w:tr w:rsidR="005F0EC1" w:rsidRPr="000522D0" w14:paraId="7D460DD0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3977F3A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Karlovac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5F8BDF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1.374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29BB9A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B2DA26C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8.308.130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0BCB48A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26711E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914.421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725FFC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7D1D4ED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126.674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7E24FF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02224E7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787.747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8EE5C8E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B6174A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11.331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C3F976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12</w:t>
            </w:r>
          </w:p>
        </w:tc>
      </w:tr>
      <w:tr w:rsidR="005F0EC1" w:rsidRPr="000522D0" w14:paraId="31B83C8B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38CDEA0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Varaždin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E454F8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2.304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09D39A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8078CB2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15.533.340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4AD42A8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5E3178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914.543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40955B3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529A9D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146.532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A647F15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C6C1F6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768.010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AFD4C9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26F3F94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21.641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0E6CFA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</w:t>
            </w:r>
          </w:p>
        </w:tc>
      </w:tr>
      <w:tr w:rsidR="005F0EC1" w:rsidRPr="000522D0" w14:paraId="32EA51EF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3F75DEF" w14:textId="77777777" w:rsidR="00082640" w:rsidRPr="005F0EC1" w:rsidRDefault="00082640" w:rsidP="00082640">
            <w:pPr>
              <w:spacing w:before="0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Vukovar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3DB5E6C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665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1C22718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629B6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24.444.946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1EFEC60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C4BD652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831.964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469F184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F632ABF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122.963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A6BBA66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DAD32B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709.001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2E3D2B2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b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color w:val="16365C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916A15F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5.260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439A7E3" w14:textId="77777777" w:rsidR="00082640" w:rsidRPr="005F0EC1" w:rsidRDefault="00082640" w:rsidP="00FE6D7F">
            <w:pPr>
              <w:spacing w:before="0"/>
              <w:jc w:val="center"/>
              <w:rPr>
                <w:rFonts w:cs="Arial"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color w:val="16365C"/>
                <w:sz w:val="16"/>
                <w:szCs w:val="16"/>
              </w:rPr>
              <w:t>25</w:t>
            </w:r>
          </w:p>
        </w:tc>
      </w:tr>
      <w:tr w:rsidR="005F0EC1" w:rsidRPr="000522D0" w14:paraId="1014F0A8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60694" w14:textId="77777777" w:rsidR="00082640" w:rsidRPr="005F0EC1" w:rsidRDefault="00082640" w:rsidP="00615C3D">
            <w:pPr>
              <w:spacing w:before="0" w:line="240" w:lineRule="auto"/>
              <w:rPr>
                <w:rFonts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7365D" w:themeColor="text2" w:themeShade="BF"/>
                <w:sz w:val="16"/>
                <w:szCs w:val="16"/>
              </w:rPr>
              <w:t>10 gradova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94743EB" w14:textId="77777777" w:rsidR="00082640" w:rsidRPr="005F0EC1" w:rsidRDefault="00082640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72.906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5E055447" w14:textId="77777777" w:rsidR="00082640" w:rsidRPr="005F0EC1" w:rsidRDefault="00082640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0D7F13B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535.348.934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5F23365B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64E91EB8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47.346.457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5E4C54A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315791E3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19.267.078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07846C70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E40B64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28.079.379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39E182A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3311D0A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523.880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D7EAF3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</w:tr>
      <w:tr w:rsidR="005F0EC1" w:rsidRPr="000522D0" w14:paraId="56123F30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E61136F" w14:textId="77777777" w:rsidR="00082640" w:rsidRPr="005F0EC1" w:rsidRDefault="00082640" w:rsidP="00615C3D">
            <w:pPr>
              <w:spacing w:before="0" w:line="240" w:lineRule="auto"/>
              <w:rPr>
                <w:rFonts w:cs="Arial"/>
                <w:b/>
                <w:color w:val="17365D" w:themeColor="text2" w:themeShade="BF"/>
                <w:sz w:val="16"/>
                <w:szCs w:val="16"/>
              </w:rPr>
            </w:pPr>
            <w:r w:rsidRPr="005F0EC1">
              <w:rPr>
                <w:rFonts w:cs="Arial"/>
                <w:b/>
                <w:color w:val="17365D" w:themeColor="text2" w:themeShade="BF"/>
                <w:sz w:val="16"/>
                <w:szCs w:val="16"/>
              </w:rPr>
              <w:t>RH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D3337DB" w14:textId="77777777" w:rsidR="00082640" w:rsidRPr="005F0EC1" w:rsidRDefault="00082640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150.846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0F29EAD" w14:textId="77777777" w:rsidR="00082640" w:rsidRPr="005F0EC1" w:rsidRDefault="00082640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6BE560D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1.098.830.934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EF7E64B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74AC694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74.972.463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AB0F501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1B40E05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28.088.667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38A8372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3E19E02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46.883.795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1778B5E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22A6A6C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16365C"/>
                <w:sz w:val="16"/>
                <w:szCs w:val="16"/>
              </w:rPr>
              <w:t>996.213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0415979" w14:textId="77777777" w:rsidR="00082640" w:rsidRPr="005F0EC1" w:rsidRDefault="00082640" w:rsidP="00082640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6"/>
                <w:szCs w:val="16"/>
              </w:rPr>
            </w:pPr>
          </w:p>
        </w:tc>
      </w:tr>
      <w:tr w:rsidR="005F0EC1" w:rsidRPr="000522D0" w14:paraId="2C55F3FC" w14:textId="77777777" w:rsidTr="00FE6D7F">
        <w:trPr>
          <w:jc w:val="center"/>
        </w:trPr>
        <w:tc>
          <w:tcPr>
            <w:tcW w:w="1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150F092E" w14:textId="77777777" w:rsidR="00082640" w:rsidRPr="005F0EC1" w:rsidRDefault="00082640" w:rsidP="00615C3D">
            <w:pPr>
              <w:spacing w:before="0" w:line="240" w:lineRule="auto"/>
              <w:rPr>
                <w:rFonts w:cs="Arial"/>
                <w:b/>
                <w:color w:val="17365D" w:themeColor="text2" w:themeShade="BF"/>
                <w:sz w:val="16"/>
                <w:szCs w:val="16"/>
              </w:rPr>
            </w:pPr>
            <w:r w:rsidRPr="005F0EC1">
              <w:rPr>
                <w:rFonts w:cs="Arial"/>
                <w:b/>
                <w:color w:val="17365D" w:themeColor="text2" w:themeShade="BF"/>
                <w:sz w:val="16"/>
                <w:szCs w:val="16"/>
              </w:rPr>
              <w:t>Udjeli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CDFDD09" w14:textId="77777777" w:rsidR="00082640" w:rsidRPr="005F0EC1" w:rsidRDefault="00082640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48,3%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32F8C5E" w14:textId="77777777" w:rsidR="00082640" w:rsidRPr="005F0EC1" w:rsidRDefault="00082640" w:rsidP="00615C3D">
            <w:pPr>
              <w:spacing w:before="0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4228D3C8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48,7%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3516D22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5D48425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63,2%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4DE74A1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52D219F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68,6%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F6FC87F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E6B942A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59,9%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01FFBE7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460FB54B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F0EC1">
              <w:rPr>
                <w:rFonts w:cs="Arial"/>
                <w:b/>
                <w:bCs/>
                <w:color w:val="FFFFFF"/>
                <w:sz w:val="16"/>
                <w:szCs w:val="16"/>
              </w:rPr>
              <w:t>52,6%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3AAD90F" w14:textId="77777777" w:rsidR="00082640" w:rsidRPr="005F0EC1" w:rsidRDefault="00082640" w:rsidP="00E80E54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787DD4B9" w14:textId="77777777" w:rsidR="00615C3D" w:rsidRPr="00923DDA" w:rsidRDefault="00615C3D" w:rsidP="00615C3D">
      <w:pPr>
        <w:spacing w:before="40" w:line="264" w:lineRule="auto"/>
        <w:rPr>
          <w:bCs/>
          <w:i/>
          <w:color w:val="17365D" w:themeColor="text2" w:themeShade="BF"/>
          <w:sz w:val="16"/>
          <w:szCs w:val="16"/>
        </w:rPr>
      </w:pPr>
      <w:r w:rsidRPr="00923DDA">
        <w:rPr>
          <w:bCs/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267C6C">
        <w:rPr>
          <w:bCs/>
          <w:i/>
          <w:color w:val="17365D" w:themeColor="text2" w:themeShade="BF"/>
          <w:sz w:val="16"/>
          <w:szCs w:val="16"/>
        </w:rPr>
        <w:t xml:space="preserve">, 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obrada GFI-a za 202</w:t>
      </w:r>
      <w:r w:rsidR="0061518A">
        <w:rPr>
          <w:bCs/>
          <w:i/>
          <w:color w:val="17365D" w:themeColor="text2" w:themeShade="BF"/>
          <w:sz w:val="16"/>
          <w:szCs w:val="16"/>
        </w:rPr>
        <w:t>2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. godinu</w:t>
      </w:r>
    </w:p>
    <w:p w14:paraId="0E56B6AB" w14:textId="0B2607A5" w:rsidR="000D5728" w:rsidRDefault="00061A7D" w:rsidP="00E80E54">
      <w:pPr>
        <w:widowControl w:val="0"/>
        <w:tabs>
          <w:tab w:val="left" w:pos="0"/>
        </w:tabs>
        <w:spacing w:before="240"/>
        <w:rPr>
          <w:color w:val="17365D" w:themeColor="text2" w:themeShade="BF"/>
          <w:sz w:val="20"/>
        </w:rPr>
      </w:pPr>
      <w:r w:rsidRPr="00061A7D">
        <w:rPr>
          <w:color w:val="17365D" w:themeColor="text2" w:themeShade="BF"/>
          <w:sz w:val="20"/>
        </w:rPr>
        <w:t>Analiza podataka po gradovima potvrđuje veliku koncentraciju poslovanja poduzetnika i obveznika poreza na dobit, a 10 najvećih gradova su, od ukupnog poduzetništva u 2022. godini, imali 48,3% broja poduzetnika, 52,6% broja zaposlenih, 48,7% ukupnih prihoda, 63,2% dobiti razdoblja, 68,6% gubitka razdoblja te 59,9% neto dobiti.</w:t>
      </w:r>
      <w:r w:rsidR="00615C3D" w:rsidRPr="00E80E54">
        <w:rPr>
          <w:color w:val="17365D" w:themeColor="text2" w:themeShade="BF"/>
          <w:sz w:val="20"/>
        </w:rPr>
        <w:t xml:space="preserve">. </w:t>
      </w:r>
    </w:p>
    <w:p w14:paraId="2FAA8288" w14:textId="77777777" w:rsidR="00615C3D" w:rsidRPr="00E80E54" w:rsidRDefault="00615C3D" w:rsidP="000D5728">
      <w:pPr>
        <w:widowControl w:val="0"/>
        <w:tabs>
          <w:tab w:val="left" w:pos="0"/>
        </w:tabs>
        <w:rPr>
          <w:color w:val="17365D" w:themeColor="text2" w:themeShade="BF"/>
          <w:sz w:val="20"/>
        </w:rPr>
      </w:pPr>
      <w:r w:rsidRPr="00E80E54">
        <w:rPr>
          <w:color w:val="17365D" w:themeColor="text2" w:themeShade="BF"/>
          <w:sz w:val="20"/>
        </w:rPr>
        <w:t xml:space="preserve">Tome je tako prvenstveno zbog udjela poduzetnika sa sjedištem u Zagrebu koji su, očekivano, ostvarili najveću neto dobit u iznosu od </w:t>
      </w:r>
      <w:r w:rsidR="00E80E54" w:rsidRPr="00E80E54">
        <w:rPr>
          <w:color w:val="17365D" w:themeColor="text2" w:themeShade="BF"/>
          <w:sz w:val="20"/>
        </w:rPr>
        <w:t>18,2</w:t>
      </w:r>
      <w:r w:rsidRPr="00E80E54">
        <w:rPr>
          <w:color w:val="17365D" w:themeColor="text2" w:themeShade="BF"/>
          <w:sz w:val="20"/>
        </w:rPr>
        <w:t xml:space="preserve"> milijard</w:t>
      </w:r>
      <w:r w:rsidR="00E80E54" w:rsidRPr="00E80E54">
        <w:rPr>
          <w:color w:val="17365D" w:themeColor="text2" w:themeShade="BF"/>
          <w:sz w:val="20"/>
        </w:rPr>
        <w:t>e</w:t>
      </w:r>
      <w:r w:rsidRPr="00E80E54">
        <w:rPr>
          <w:color w:val="17365D" w:themeColor="text2" w:themeShade="BF"/>
          <w:sz w:val="20"/>
        </w:rPr>
        <w:t xml:space="preserve"> kuna (udio od </w:t>
      </w:r>
      <w:r w:rsidR="00E80E54" w:rsidRPr="00E80E54">
        <w:rPr>
          <w:color w:val="17365D" w:themeColor="text2" w:themeShade="BF"/>
          <w:sz w:val="20"/>
        </w:rPr>
        <w:t>64,8</w:t>
      </w:r>
      <w:r w:rsidRPr="00E80E54">
        <w:rPr>
          <w:color w:val="17365D" w:themeColor="text2" w:themeShade="BF"/>
          <w:sz w:val="20"/>
        </w:rPr>
        <w:t>% u neto dobiti poduzetnika sa sjedištem u jednom od 10 spomenutih gradova). Iza Zagreba, prema iskazanom konsolidiranom financijskom rezultatu (ostvarenoj neto dobiti)</w:t>
      </w:r>
      <w:r w:rsidR="00E80E54">
        <w:rPr>
          <w:color w:val="17365D" w:themeColor="text2" w:themeShade="BF"/>
          <w:sz w:val="20"/>
        </w:rPr>
        <w:t xml:space="preserve"> u 2022. godini</w:t>
      </w:r>
      <w:r w:rsidRPr="00E80E54">
        <w:rPr>
          <w:color w:val="17365D" w:themeColor="text2" w:themeShade="BF"/>
          <w:sz w:val="20"/>
        </w:rPr>
        <w:t xml:space="preserve">, su gradovi </w:t>
      </w:r>
      <w:r w:rsidR="00E80E54" w:rsidRPr="00E80E54">
        <w:rPr>
          <w:color w:val="17365D" w:themeColor="text2" w:themeShade="BF"/>
          <w:sz w:val="20"/>
        </w:rPr>
        <w:t>Zadar i Rijeka</w:t>
      </w:r>
      <w:r w:rsidRPr="00E80E54">
        <w:rPr>
          <w:color w:val="17365D" w:themeColor="text2" w:themeShade="BF"/>
          <w:sz w:val="20"/>
        </w:rPr>
        <w:t>.</w:t>
      </w:r>
    </w:p>
    <w:p w14:paraId="3B5E6F07" w14:textId="77777777" w:rsidR="00615C3D" w:rsidRPr="00E80E54" w:rsidRDefault="00615C3D" w:rsidP="00E80E54">
      <w:pPr>
        <w:widowControl w:val="0"/>
        <w:tabs>
          <w:tab w:val="left" w:pos="1134"/>
        </w:tabs>
        <w:spacing w:before="240" w:line="240" w:lineRule="auto"/>
        <w:ind w:left="1134" w:hanging="1134"/>
        <w:rPr>
          <w:b/>
          <w:color w:val="17365D" w:themeColor="text2" w:themeShade="BF"/>
          <w:sz w:val="18"/>
          <w:szCs w:val="18"/>
        </w:rPr>
      </w:pPr>
      <w:r w:rsidRPr="00E80E54">
        <w:rPr>
          <w:b/>
          <w:color w:val="17365D" w:themeColor="text2" w:themeShade="BF"/>
          <w:sz w:val="18"/>
          <w:szCs w:val="18"/>
        </w:rPr>
        <w:t xml:space="preserve">Grafikon </w:t>
      </w:r>
      <w:r w:rsidR="00FE6D7F">
        <w:rPr>
          <w:b/>
          <w:color w:val="17365D" w:themeColor="text2" w:themeShade="BF"/>
          <w:sz w:val="18"/>
          <w:szCs w:val="18"/>
        </w:rPr>
        <w:t>1</w:t>
      </w:r>
      <w:r w:rsidRPr="00E80E54">
        <w:rPr>
          <w:b/>
          <w:color w:val="17365D" w:themeColor="text2" w:themeShade="BF"/>
          <w:sz w:val="18"/>
          <w:szCs w:val="18"/>
        </w:rPr>
        <w:t>.</w:t>
      </w:r>
      <w:r w:rsidRPr="00E80E54">
        <w:rPr>
          <w:b/>
          <w:color w:val="17365D" w:themeColor="text2" w:themeShade="BF"/>
          <w:sz w:val="18"/>
          <w:szCs w:val="18"/>
        </w:rPr>
        <w:tab/>
        <w:t xml:space="preserve">Udio poduzetnika u </w:t>
      </w:r>
      <w:r w:rsidRPr="00E80E54">
        <w:rPr>
          <w:b/>
          <w:color w:val="17365D" w:themeColor="text2" w:themeShade="BF"/>
          <w:sz w:val="18"/>
          <w:szCs w:val="18"/>
          <w:u w:val="single"/>
        </w:rPr>
        <w:t>TOP 10 gradova po NETO DOBITI</w:t>
      </w:r>
      <w:r w:rsidRPr="00E80E54">
        <w:rPr>
          <w:b/>
          <w:color w:val="17365D" w:themeColor="text2" w:themeShade="BF"/>
          <w:sz w:val="18"/>
          <w:szCs w:val="18"/>
        </w:rPr>
        <w:t xml:space="preserve"> u ukupnim rezultatima poduzetnika na razini RH u 202</w:t>
      </w:r>
      <w:r w:rsidR="0061518A" w:rsidRPr="00E80E54">
        <w:rPr>
          <w:b/>
          <w:color w:val="17365D" w:themeColor="text2" w:themeShade="BF"/>
          <w:sz w:val="18"/>
          <w:szCs w:val="18"/>
        </w:rPr>
        <w:t>2</w:t>
      </w:r>
      <w:r w:rsidRPr="00E80E54">
        <w:rPr>
          <w:b/>
          <w:color w:val="17365D" w:themeColor="text2" w:themeShade="BF"/>
          <w:sz w:val="18"/>
          <w:szCs w:val="18"/>
        </w:rPr>
        <w:t xml:space="preserve">. godini </w:t>
      </w:r>
    </w:p>
    <w:p w14:paraId="30D62E4B" w14:textId="77777777" w:rsidR="00615C3D" w:rsidRPr="00F41749" w:rsidRDefault="00E80E54" w:rsidP="00615C3D">
      <w:pPr>
        <w:widowControl w:val="0"/>
        <w:tabs>
          <w:tab w:val="left" w:pos="1134"/>
        </w:tabs>
        <w:ind w:left="1134" w:hanging="1134"/>
        <w:jc w:val="center"/>
        <w:rPr>
          <w:color w:val="17365D" w:themeColor="text2" w:themeShade="BF"/>
          <w:sz w:val="18"/>
          <w:szCs w:val="18"/>
        </w:rPr>
      </w:pPr>
      <w:r>
        <w:rPr>
          <w:noProof/>
        </w:rPr>
        <w:drawing>
          <wp:inline distT="0" distB="0" distL="0" distR="0" wp14:anchorId="4FCDBD00" wp14:editId="22D88C82">
            <wp:extent cx="5746750" cy="2108200"/>
            <wp:effectExtent l="0" t="19050" r="25400" b="2540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BAC96A" w14:textId="77777777" w:rsidR="00615C3D" w:rsidRPr="00B25A0D" w:rsidRDefault="00615C3D" w:rsidP="00615C3D">
      <w:pPr>
        <w:spacing w:before="0" w:line="264" w:lineRule="auto"/>
        <w:rPr>
          <w:bCs/>
          <w:i/>
          <w:color w:val="17365D" w:themeColor="text2" w:themeShade="BF"/>
          <w:sz w:val="16"/>
          <w:szCs w:val="16"/>
        </w:rPr>
      </w:pPr>
      <w:r w:rsidRPr="00B25A0D">
        <w:rPr>
          <w:bCs/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267C6C">
        <w:rPr>
          <w:bCs/>
          <w:i/>
          <w:color w:val="17365D" w:themeColor="text2" w:themeShade="BF"/>
          <w:sz w:val="16"/>
          <w:szCs w:val="16"/>
        </w:rPr>
        <w:t xml:space="preserve">, 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obrada GFI-a za 202</w:t>
      </w:r>
      <w:r w:rsidR="0061518A">
        <w:rPr>
          <w:bCs/>
          <w:i/>
          <w:color w:val="17365D" w:themeColor="text2" w:themeShade="BF"/>
          <w:sz w:val="16"/>
          <w:szCs w:val="16"/>
        </w:rPr>
        <w:t>2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. godinu</w:t>
      </w:r>
    </w:p>
    <w:sectPr w:rsidR="00615C3D" w:rsidRPr="00B25A0D" w:rsidSect="000D5728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D"/>
    <w:rsid w:val="00061A7D"/>
    <w:rsid w:val="00082640"/>
    <w:rsid w:val="000D5728"/>
    <w:rsid w:val="00181083"/>
    <w:rsid w:val="001E4820"/>
    <w:rsid w:val="00267C6C"/>
    <w:rsid w:val="003A0982"/>
    <w:rsid w:val="00422393"/>
    <w:rsid w:val="005C59A9"/>
    <w:rsid w:val="005F0EC1"/>
    <w:rsid w:val="0061518A"/>
    <w:rsid w:val="00615C3D"/>
    <w:rsid w:val="006A0B5B"/>
    <w:rsid w:val="00820F11"/>
    <w:rsid w:val="009B3915"/>
    <w:rsid w:val="00A73255"/>
    <w:rsid w:val="00D62939"/>
    <w:rsid w:val="00DA49AB"/>
    <w:rsid w:val="00DE2314"/>
    <w:rsid w:val="00E80E54"/>
    <w:rsid w:val="00F21789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F4B3"/>
  <w15:docId w15:val="{C853E192-FEC8-49C9-BA65-A36DF73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3D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Cs w:val="20"/>
      <w:lang w:val="hr-HR" w:eastAsia="hr-H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80E54"/>
    <w:pPr>
      <w:widowControl w:val="0"/>
      <w:tabs>
        <w:tab w:val="left" w:pos="0"/>
        <w:tab w:val="right" w:pos="15309"/>
      </w:tabs>
      <w:spacing w:before="100" w:beforeAutospacing="1" w:line="240" w:lineRule="auto"/>
      <w:jc w:val="center"/>
      <w:outlineLvl w:val="1"/>
    </w:pPr>
    <w:rPr>
      <w:rFonts w:cs="Arial"/>
      <w:b/>
      <w:iCs/>
      <w:color w:val="17365D" w:themeColor="text2" w:themeShade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80E54"/>
    <w:rPr>
      <w:rFonts w:ascii="Arial" w:eastAsia="Times New Roman" w:hAnsi="Arial" w:cs="Arial"/>
      <w:b/>
      <w:iCs/>
      <w:color w:val="17365D" w:themeColor="text2" w:themeShade="BF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3D"/>
    <w:rPr>
      <w:rFonts w:ascii="Tahoma" w:eastAsia="Times New Roman" w:hAnsi="Tahoma" w:cs="Tahoma"/>
      <w:color w:val="003366"/>
      <w:sz w:val="16"/>
      <w:szCs w:val="16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E6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7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7F"/>
    <w:rPr>
      <w:rFonts w:ascii="Arial" w:eastAsia="Times New Roman" w:hAnsi="Arial" w:cs="Times New Roman"/>
      <w:color w:val="003366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D7F"/>
    <w:rPr>
      <w:rFonts w:ascii="Arial" w:eastAsia="Times New Roman" w:hAnsi="Arial" w:cs="Times New Roman"/>
      <w:b/>
      <w:bCs/>
      <w:color w:val="003366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40"/>
      <c:rAngAx val="1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0.19924839743589742"/>
          <c:y val="2.5793650793650793E-3"/>
          <c:w val="0.76103026170964627"/>
          <c:h val="0.82219189342403631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'Grafikon 2'!$A$13</c:f>
              <c:strCache>
                <c:ptCount val="1"/>
                <c:pt idx="0">
                  <c:v>10 naj gradova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'Grafikon 2'!$B$12:$F$12</c:f>
              <c:strCache>
                <c:ptCount val="5"/>
                <c:pt idx="0">
                  <c:v>Gubitak razdoblja</c:v>
                </c:pt>
                <c:pt idx="1">
                  <c:v>Dobit razdoblja</c:v>
                </c:pt>
                <c:pt idx="2">
                  <c:v>Ukupan prihod</c:v>
                </c:pt>
                <c:pt idx="3">
                  <c:v>Broj zaposlenih</c:v>
                </c:pt>
                <c:pt idx="4">
                  <c:v>Broj poduzetnika</c:v>
                </c:pt>
              </c:strCache>
            </c:strRef>
          </c:cat>
          <c:val>
            <c:numRef>
              <c:f>'Grafikon 2'!$B$13:$F$13</c:f>
              <c:numCache>
                <c:formatCode>0.0%</c:formatCode>
                <c:ptCount val="5"/>
                <c:pt idx="0">
                  <c:v>0.68593777650775534</c:v>
                </c:pt>
                <c:pt idx="1">
                  <c:v>0.63151796217319911</c:v>
                </c:pt>
                <c:pt idx="2">
                  <c:v>0.4871986373712458</c:v>
                </c:pt>
                <c:pt idx="3">
                  <c:v>0.5258714752768735</c:v>
                </c:pt>
                <c:pt idx="4">
                  <c:v>0.48331410842846345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D4-4807-8A47-1D89569012F2}"/>
            </c:ext>
          </c:extLst>
        </c:ser>
        <c:ser>
          <c:idx val="1"/>
          <c:order val="1"/>
          <c:tx>
            <c:strRef>
              <c:f>'Grafikon 2'!$A$14</c:f>
              <c:strCache>
                <c:ptCount val="1"/>
                <c:pt idx="0">
                  <c:v>Ostali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D4-4807-8A47-1D89569012F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D4-4807-8A47-1D89569012F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D4-4807-8A47-1D89569012F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D4-4807-8A47-1D89569012F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D4-4807-8A47-1D8956901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tx2">
                        <a:lumMod val="75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'Grafikon 2'!$B$12:$F$12</c:f>
              <c:strCache>
                <c:ptCount val="5"/>
                <c:pt idx="0">
                  <c:v>Gubitak razdoblja</c:v>
                </c:pt>
                <c:pt idx="1">
                  <c:v>Dobit razdoblja</c:v>
                </c:pt>
                <c:pt idx="2">
                  <c:v>Ukupan prihod</c:v>
                </c:pt>
                <c:pt idx="3">
                  <c:v>Broj zaposlenih</c:v>
                </c:pt>
                <c:pt idx="4">
                  <c:v>Broj poduzetnika</c:v>
                </c:pt>
              </c:strCache>
            </c:strRef>
          </c:cat>
          <c:val>
            <c:numRef>
              <c:f>'Grafikon 2'!$B$14:$F$14</c:f>
              <c:numCache>
                <c:formatCode>0.0%</c:formatCode>
                <c:ptCount val="5"/>
                <c:pt idx="0">
                  <c:v>0.31406222349224466</c:v>
                </c:pt>
                <c:pt idx="1">
                  <c:v>0.36848203782680089</c:v>
                </c:pt>
                <c:pt idx="2">
                  <c:v>0.5128013626287542</c:v>
                </c:pt>
                <c:pt idx="3">
                  <c:v>0.4741285247231265</c:v>
                </c:pt>
                <c:pt idx="4">
                  <c:v>0.51668589157153655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D4-4807-8A47-1D8956901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1511296"/>
        <c:axId val="161512832"/>
        <c:axId val="0"/>
      </c:bar3DChart>
      <c:catAx>
        <c:axId val="161511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solidFill>
                  <a:schemeClr val="tx2">
                    <a:lumMod val="7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61512832"/>
        <c:crosses val="autoZero"/>
        <c:auto val="1"/>
        <c:lblAlgn val="ctr"/>
        <c:lblOffset val="100"/>
        <c:noMultiLvlLbl val="0"/>
      </c:catAx>
      <c:valAx>
        <c:axId val="1615128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solidFill>
                  <a:schemeClr val="tx2">
                    <a:lumMod val="7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61511296"/>
        <c:crosses val="autoZero"/>
        <c:crossBetween val="between"/>
        <c:majorUnit val="0.2"/>
        <c:minorUnit val="0.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2135306516227068"/>
          <c:y val="0.91437872597221426"/>
          <c:w val="0.81008266156883191"/>
          <c:h val="5.8748883187995371E-2"/>
        </c:manualLayout>
      </c:layout>
      <c:overlay val="0"/>
      <c:txPr>
        <a:bodyPr/>
        <a:lstStyle/>
        <a:p>
          <a:pPr>
            <a:defRPr sz="900" b="1">
              <a:solidFill>
                <a:schemeClr val="tx2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>
      <a:solidFill>
        <a:schemeClr val="bg1">
          <a:lumMod val="65000"/>
        </a:schemeClr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Usporedba rezultata poslovanja poduzetnika 10 najvećih gradova prema kriteriju n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Stojanović</cp:lastModifiedBy>
  <cp:revision>5</cp:revision>
  <dcterms:created xsi:type="dcterms:W3CDTF">2023-09-18T06:17:00Z</dcterms:created>
  <dcterms:modified xsi:type="dcterms:W3CDTF">2023-09-18T07:04:00Z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2023-09-18T06:17:02Z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76ef136f-3ba4-4a73-a871-c5ca48d7d7ef</vt:lpwstr>
  </property>
  <property fmtid="{D5CDD505-2E9C-101B-9397-08002B2CF9AE}" pid="8" name="MSIP_Label_d1ab742f-39a8-4a62-9744-1e8791e01e71_ContentBits">
    <vt:lpwstr>0</vt:lpwstr>
  </property>
</Properties>
</file>