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5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BD2048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 w:rsidRPr="006650A8">
        <w:rPr>
          <w:noProof/>
          <w:color w:val="0F243E"/>
          <w:sz w:val="24"/>
          <w:szCs w:val="24"/>
          <w:lang w:eastAsia="hr-HR"/>
        </w:rPr>
        <w:drawing>
          <wp:inline distT="0" distB="0" distL="0" distR="0" wp14:anchorId="7FEF46FC" wp14:editId="19832F81">
            <wp:extent cx="2952000" cy="2815200"/>
            <wp:effectExtent l="0" t="0" r="20320" b="234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D34D5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908" cy="2846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5.778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2016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6.559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godini otvoren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181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>osnovano 1.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958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3.639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>6. godini otvoreno 197 obrta te je osnovano 2.266 d.o.o.-a i 4.096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250D4C">
        <w:rPr>
          <w:rFonts w:ascii="Arial" w:hAnsi="Arial" w:cs="Arial"/>
          <w:color w:val="244061" w:themeColor="accent1" w:themeShade="80"/>
          <w:sz w:val="19"/>
          <w:szCs w:val="19"/>
        </w:rPr>
        <w:t>30. lipnja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250D4C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3ACB4CE8" wp14:editId="037532F4">
            <wp:extent cx="5781674" cy="3090862"/>
            <wp:effectExtent l="0" t="0" r="10160" b="1460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Pr="009A7F59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U razdoblju od 1. siječnja do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30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lipnja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3.842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146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1.410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 xml:space="preserve"> 2.286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374BDB" w:rsidRDefault="006C712A" w:rsidP="00186861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>U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koliko se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osnivanja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nastave istim intenzitetom kao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>promatranih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prvih tri mjeseca</w:t>
      </w:r>
      <w:r w:rsidR="0018686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ove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6C712A">
        <w:rPr>
          <w:rFonts w:ascii="Arial" w:hAnsi="Arial" w:cs="Arial"/>
          <w:color w:val="244061" w:themeColor="accent1" w:themeShade="80"/>
          <w:sz w:val="20"/>
          <w:szCs w:val="20"/>
        </w:rPr>
        <w:t>redviđanja 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da će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do kraja 2017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biti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osnovano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 xml:space="preserve"> približno 7.680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društava i obrta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bi predstavljalo povećanje od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ukupno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njih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1.121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odnosno </w:t>
      </w:r>
      <w:r w:rsidR="00250D4C">
        <w:rPr>
          <w:rFonts w:ascii="Arial" w:hAnsi="Arial" w:cs="Arial"/>
          <w:color w:val="244061" w:themeColor="accent1" w:themeShade="80"/>
          <w:sz w:val="20"/>
          <w:szCs w:val="20"/>
        </w:rPr>
        <w:t>17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više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osnovanih 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društava i obrta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2017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odnosu na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sectPr w:rsidR="00374BDB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8B" w:rsidRDefault="00AE168B" w:rsidP="006650A8">
      <w:pPr>
        <w:spacing w:after="0" w:line="240" w:lineRule="auto"/>
      </w:pPr>
      <w:r>
        <w:separator/>
      </w:r>
    </w:p>
  </w:endnote>
  <w:endnote w:type="continuationSeparator" w:id="0">
    <w:p w:rsidR="00AE168B" w:rsidRDefault="00AE168B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8B" w:rsidRDefault="00AE168B" w:rsidP="006650A8">
      <w:pPr>
        <w:spacing w:after="0" w:line="240" w:lineRule="auto"/>
      </w:pPr>
      <w:r>
        <w:separator/>
      </w:r>
    </w:p>
  </w:footnote>
  <w:footnote w:type="continuationSeparator" w:id="0">
    <w:p w:rsidR="00AE168B" w:rsidRDefault="00AE168B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2BEC98C" wp14:editId="7C46DC51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40B1"/>
    <w:rsid w:val="0010782E"/>
    <w:rsid w:val="001136B9"/>
    <w:rsid w:val="00144152"/>
    <w:rsid w:val="00150BFA"/>
    <w:rsid w:val="00186861"/>
    <w:rsid w:val="001B4BAF"/>
    <w:rsid w:val="001B7E93"/>
    <w:rsid w:val="001D34D5"/>
    <w:rsid w:val="00234DBC"/>
    <w:rsid w:val="00243857"/>
    <w:rsid w:val="00243A37"/>
    <w:rsid w:val="00250D4C"/>
    <w:rsid w:val="0025224B"/>
    <w:rsid w:val="00270E84"/>
    <w:rsid w:val="00296334"/>
    <w:rsid w:val="00297562"/>
    <w:rsid w:val="002B5F77"/>
    <w:rsid w:val="002D2CF2"/>
    <w:rsid w:val="00305B5D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803090"/>
    <w:rsid w:val="00851EE0"/>
    <w:rsid w:val="008558B3"/>
    <w:rsid w:val="0090195F"/>
    <w:rsid w:val="00971C91"/>
    <w:rsid w:val="00985A21"/>
    <w:rsid w:val="0099612D"/>
    <w:rsid w:val="009A7F59"/>
    <w:rsid w:val="009B261A"/>
    <w:rsid w:val="009E2AD6"/>
    <w:rsid w:val="00AC4756"/>
    <w:rsid w:val="00AC5ABF"/>
    <w:rsid w:val="00AE168B"/>
    <w:rsid w:val="00AF7387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F3B51"/>
    <w:rsid w:val="00E30434"/>
    <w:rsid w:val="00E35CFC"/>
    <w:rsid w:val="00E44C76"/>
    <w:rsid w:val="00E72494"/>
    <w:rsid w:val="00E777BC"/>
    <w:rsid w:val="00E94360"/>
    <w:rsid w:val="00E9549B"/>
    <w:rsid w:val="00EA10EE"/>
    <w:rsid w:val="00F0246D"/>
    <w:rsid w:val="00F45271"/>
    <w:rsid w:val="00F61D12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050">
                <a:solidFill>
                  <a:schemeClr val="accent1">
                    <a:lumMod val="50000"/>
                  </a:schemeClr>
                </a:solidFill>
              </a:defRPr>
            </a:pP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Broj 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osnovanih društava i obrta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 u 201</a:t>
            </a:r>
            <a:r>
              <a:rPr lang="hr-HR" sz="1050">
                <a:solidFill>
                  <a:schemeClr val="accent1">
                    <a:lumMod val="50000"/>
                  </a:schemeClr>
                </a:solidFill>
              </a:rPr>
              <a:t>5</a:t>
            </a:r>
            <a:r>
              <a:rPr lang="en-US" sz="1050">
                <a:solidFill>
                  <a:schemeClr val="accent1">
                    <a:lumMod val="50000"/>
                  </a:schemeClr>
                </a:solidFill>
              </a:rPr>
              <a:t>. godini</a:t>
            </a:r>
          </a:p>
        </c:rich>
      </c:tx>
      <c:layout>
        <c:manualLayout>
          <c:xMode val="edge"/>
          <c:yMode val="edge"/>
          <c:x val="0.10343973816944327"/>
          <c:y val="1.78491744756805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05740331817593E-2"/>
          <c:y val="0.30216241626513102"/>
          <c:w val="0.56007528426416564"/>
          <c:h val="0.5872388723798426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Broj osnovanih društava i obrta u 2015. godini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1</a:t>
                    </a:r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.958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hr-HR">
                        <a:solidFill>
                          <a:schemeClr val="tx2">
                            <a:lumMod val="50000"/>
                          </a:schemeClr>
                        </a:solidFill>
                      </a:rPr>
                      <a:t>3.639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hr-HR"/>
                      <a:t>181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1958</c:v>
                </c:pt>
                <c:pt idx="1">
                  <c:v>3639</c:v>
                </c:pt>
                <c:pt idx="2">
                  <c:v>181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7932528765229636"/>
          <c:y val="0.39260378940338303"/>
          <c:w val="0.19485715640966567"/>
          <c:h val="0.24474956082779298"/>
        </c:manualLayout>
      </c:layout>
      <c:overlay val="0"/>
      <c:txPr>
        <a:bodyPr/>
        <a:lstStyle/>
        <a:p>
          <a:pPr>
            <a:defRPr>
              <a:solidFill>
                <a:schemeClr val="tx2">
                  <a:lumMod val="50000"/>
                </a:schemeClr>
              </a:solidFill>
            </a:defRPr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hr-HR" sz="1200" baseline="0"/>
              <a:t>Broj osnovanih društava i obrta od 01.01.-30.06.2017. godine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List1!$A$9:$C$9</c:f>
              <c:strCache>
                <c:ptCount val="3"/>
                <c:pt idx="0">
                  <c:v>d.o.o.</c:v>
                </c:pt>
                <c:pt idx="1">
                  <c:v>j.d.o.o.</c:v>
                </c:pt>
                <c:pt idx="2">
                  <c:v>obrti</c:v>
                </c:pt>
              </c:strCache>
            </c:strRef>
          </c:cat>
          <c:val>
            <c:numRef>
              <c:f>List1!$A$10:$C$10</c:f>
              <c:numCache>
                <c:formatCode>General</c:formatCode>
                <c:ptCount val="3"/>
                <c:pt idx="0">
                  <c:v>1410</c:v>
                </c:pt>
                <c:pt idx="1">
                  <c:v>2286</c:v>
                </c:pt>
                <c:pt idx="2">
                  <c:v>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9937-566A-49F2-B443-7EBC6CF3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5</cp:revision>
  <cp:lastPrinted>2016-04-12T07:16:00Z</cp:lastPrinted>
  <dcterms:created xsi:type="dcterms:W3CDTF">2016-07-07T10:25:00Z</dcterms:created>
  <dcterms:modified xsi:type="dcterms:W3CDTF">2017-07-10T07:50:00Z</dcterms:modified>
</cp:coreProperties>
</file>