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7255" w14:textId="77777777" w:rsidR="00B55C65" w:rsidRPr="00F82D51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F82D51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REZULTATI POSLOVANJA PODUZETNIKA U DJELATNOSTI OSTALOG KOPNENOG</w:t>
      </w:r>
    </w:p>
    <w:p w14:paraId="5E0910E7" w14:textId="77777777" w:rsidR="00E97781" w:rsidRPr="00F82D51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F82D51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PRIJEVOZA PUTNIKA</w:t>
      </w:r>
      <w:r w:rsidR="00C733B9" w:rsidRPr="00F82D51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 U </w:t>
      </w:r>
      <w:r w:rsidR="00DC7C63" w:rsidRPr="00F82D51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2021</w:t>
      </w:r>
      <w:r w:rsidR="0007629D" w:rsidRPr="00F82D51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.</w:t>
      </w:r>
      <w:r w:rsidRPr="00F82D51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 GODINI</w:t>
      </w:r>
    </w:p>
    <w:p w14:paraId="1CDA4895" w14:textId="77777777" w:rsidR="00E97781" w:rsidRPr="00F82D51" w:rsidRDefault="00E97781" w:rsidP="003746FD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Prema podacima iz obrađenih godišnjih</w:t>
      </w:r>
      <w:r w:rsidR="00265B9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financijskih izvještaja, u </w:t>
      </w:r>
      <w:r w:rsidR="0079187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202</w:t>
      </w:r>
      <w:r w:rsidR="002D5221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1</w:t>
      </w:r>
      <w:r w:rsidR="0007629D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godini, u području djelatnosti H – </w:t>
      </w:r>
      <w:r w:rsidR="00CE13AE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 i skladištenje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poslovalo je ukupno </w:t>
      </w:r>
      <w:r w:rsidR="002D5BB8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6.</w:t>
      </w:r>
      <w:r w:rsidR="002A7CC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760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poduzetnika, od čega je njih </w:t>
      </w:r>
      <w:r w:rsidR="002A7CC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5.016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kao pretežitu djelatnost, registriralo djelatnost kopnenog prijevoza i cjevovodnog transporta (NKD 49). Kod poduzetnika u području djelatnosti </w:t>
      </w:r>
      <w:r w:rsidR="00BD5E37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prijevoza i skladištenja,</w:t>
      </w:r>
      <w:r w:rsidR="00620104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</w:t>
      </w:r>
      <w:r w:rsidR="002A7CC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2021</w:t>
      </w:r>
      <w:r w:rsidR="0007629D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="00620104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 bilo je </w:t>
      </w:r>
      <w:r w:rsidR="0023211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69.</w:t>
      </w:r>
      <w:r w:rsidR="002A7CC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845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zaposlenih, od kojih je </w:t>
      </w:r>
      <w:r w:rsidR="0023211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36.</w:t>
      </w:r>
      <w:r w:rsidR="002A7CC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861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</w:t>
      </w:r>
      <w:r w:rsidR="002A7CC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52,8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%) bilo zaposleno u odjeljku djelatnosti kopnenog prijevoza i </w:t>
      </w:r>
      <w:r w:rsidR="003F0DD4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cjevovodnog transporta (NKD 49)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6D2202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 predstavlja porast 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broja zaposlenih od </w:t>
      </w:r>
      <w:r w:rsidR="002A7CC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3,7</w:t>
      </w:r>
      <w:r w:rsidR="00620104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%</w:t>
      </w:r>
      <w:r w:rsidR="00B646C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="00620104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odnosu na </w:t>
      </w:r>
      <w:r w:rsidR="002A7CC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2020</w:t>
      </w:r>
      <w:r w:rsidR="0007629D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BD5E37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odinu</w:t>
      </w:r>
      <w:r w:rsidR="00BD5E37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14:paraId="7D1F4DB9" w14:textId="77777777" w:rsidR="00E97781" w:rsidRPr="00F82D51" w:rsidRDefault="00E97781" w:rsidP="00E97781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Poduzetnici u djelatnosti kopnenog prijevoza i cjevov</w:t>
      </w:r>
      <w:r w:rsidR="00AE351A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odnog transporta (NKD 49) u </w:t>
      </w:r>
      <w:r w:rsidR="007E58B4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202</w:t>
      </w:r>
      <w:r w:rsidR="00D972E6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1</w:t>
      </w:r>
      <w:r w:rsidR="0007629D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 ostvarili su neto dobit u iznosu od</w:t>
      </w:r>
      <w:r w:rsidR="00671EA1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D972E6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947,2</w:t>
      </w:r>
      <w:r w:rsidR="006D2202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671EA1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milijuna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 (</w:t>
      </w:r>
      <w:r w:rsidR="00D3555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povećanje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od </w:t>
      </w:r>
      <w:r w:rsidR="00D972E6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46,2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%)</w:t>
      </w:r>
      <w:r w:rsidR="00CA7214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83469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dok je na razini djelatnosti prijevoza i skladištenja iskazan</w:t>
      </w:r>
      <w:r w:rsidR="00D972E6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="0083469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neto </w:t>
      </w:r>
      <w:r w:rsidR="00D972E6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dobit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83469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iznosu od </w:t>
      </w:r>
      <w:r w:rsidR="00E55E7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1,4</w:t>
      </w:r>
      <w:r w:rsidR="0083469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E55E7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milijarde</w:t>
      </w:r>
      <w:r w:rsidR="00834693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14:paraId="34F5AAFE" w14:textId="77777777" w:rsidR="00E97781" w:rsidRPr="002D5221" w:rsidRDefault="00E97781" w:rsidP="00E9254A">
      <w:pPr>
        <w:widowControl w:val="0"/>
        <w:tabs>
          <w:tab w:val="left" w:pos="1276"/>
          <w:tab w:val="right" w:pos="9781"/>
        </w:tabs>
        <w:spacing w:before="180" w:after="0" w:line="240" w:lineRule="auto"/>
        <w:ind w:left="1140" w:hanging="1140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Broj poduzetnika, broj zaposlenih te osnovni financijski rezultati poslovanja poduzetnika u području djelatnosti H i od</w:t>
      </w:r>
      <w:r w:rsidR="00DD4AEE"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jeljku djelatnosti NKD 49 u </w:t>
      </w:r>
      <w:r w:rsidR="002D5221"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2021</w:t>
      </w:r>
      <w:r w:rsidR="0007629D"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C73187"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</w:t>
      </w:r>
      <w:r w:rsidRPr="002D522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dini</w:t>
      </w:r>
      <w:r w:rsidR="00C73187" w:rsidRPr="002D522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2D522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kuna, prosječne plaće u kn)</w:t>
      </w:r>
    </w:p>
    <w:p w14:paraId="4FADA49E" w14:textId="77777777" w:rsidR="00E97781" w:rsidRPr="00DC7C63" w:rsidRDefault="00E97781" w:rsidP="00E97781">
      <w:pPr>
        <w:widowControl w:val="0"/>
        <w:tabs>
          <w:tab w:val="left" w:pos="1276"/>
          <w:tab w:val="right" w:pos="9639"/>
        </w:tabs>
        <w:spacing w:before="40" w:after="0" w:line="240" w:lineRule="auto"/>
        <w:ind w:left="1140" w:hanging="1140"/>
        <w:jc w:val="right"/>
        <w:rPr>
          <w:rFonts w:ascii="Arial" w:eastAsia="Times New Roman" w:hAnsi="Arial" w:cs="Arial"/>
          <w:color w:val="FF0000"/>
          <w:sz w:val="2"/>
          <w:szCs w:val="16"/>
          <w:lang w:eastAsia="hr-HR"/>
        </w:rPr>
      </w:pPr>
    </w:p>
    <w:tbl>
      <w:tblPr>
        <w:tblW w:w="992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2"/>
        <w:gridCol w:w="1134"/>
        <w:gridCol w:w="1134"/>
        <w:gridCol w:w="737"/>
        <w:gridCol w:w="1134"/>
        <w:gridCol w:w="1134"/>
        <w:gridCol w:w="737"/>
      </w:tblGrid>
      <w:tr w:rsidR="002D5221" w:rsidRPr="002D5221" w14:paraId="40A95C79" w14:textId="77777777" w:rsidTr="002E2F80">
        <w:trPr>
          <w:trHeight w:val="397"/>
          <w:jc w:val="center"/>
        </w:trPr>
        <w:tc>
          <w:tcPr>
            <w:tcW w:w="3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3913324" w14:textId="77777777" w:rsidR="00E97781" w:rsidRPr="002D5221" w:rsidRDefault="00E97781" w:rsidP="00D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463BB95" w14:textId="77777777" w:rsidR="00E97781" w:rsidRPr="002D5221" w:rsidRDefault="0097749B" w:rsidP="009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P</w:t>
            </w:r>
            <w:r w:rsidR="00E97781" w:rsidRPr="002D522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odručje djelatnosti H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11FEBE5" w14:textId="77777777" w:rsidR="00E97781" w:rsidRPr="002D5221" w:rsidRDefault="00E97781" w:rsidP="00D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NKD 49 Kopneni prijevoz i cjevovodni transport</w:t>
            </w:r>
          </w:p>
        </w:tc>
      </w:tr>
      <w:tr w:rsidR="002D5221" w:rsidRPr="002D5221" w14:paraId="41329442" w14:textId="77777777" w:rsidTr="002E2F80">
        <w:trPr>
          <w:trHeight w:val="283"/>
          <w:jc w:val="center"/>
        </w:trPr>
        <w:tc>
          <w:tcPr>
            <w:tcW w:w="391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C4D7536" w14:textId="77777777" w:rsidR="002D5221" w:rsidRPr="002D5221" w:rsidRDefault="002D5221" w:rsidP="00DB7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296631A" w14:textId="77777777" w:rsidR="002D5221" w:rsidRPr="002D5221" w:rsidRDefault="002D5221" w:rsidP="00D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2020.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E647EB0" w14:textId="77777777" w:rsidR="002D5221" w:rsidRPr="002D5221" w:rsidRDefault="002D5221" w:rsidP="00D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2021.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05D0027" w14:textId="77777777" w:rsidR="002D5221" w:rsidRPr="002D5221" w:rsidRDefault="002D5221" w:rsidP="00D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ADBBD53" w14:textId="77777777" w:rsidR="002D5221" w:rsidRPr="002D5221" w:rsidRDefault="002D5221" w:rsidP="00D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2020.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AFAD4DE" w14:textId="77777777" w:rsidR="002D5221" w:rsidRPr="002D5221" w:rsidRDefault="002D5221" w:rsidP="00D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2021.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3C53FF0" w14:textId="77777777" w:rsidR="002D5221" w:rsidRPr="002D5221" w:rsidRDefault="002D5221" w:rsidP="00D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Index</w:t>
            </w:r>
          </w:p>
        </w:tc>
      </w:tr>
      <w:tr w:rsidR="00DB7983" w:rsidRPr="002D5221" w14:paraId="3DF904CA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14:paraId="4C6E790C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4526AFBB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783061C3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6.760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732364F5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2FE4F33B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7D53EB62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5.016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1779FD59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-</w:t>
            </w:r>
          </w:p>
        </w:tc>
      </w:tr>
      <w:tr w:rsidR="00DB7983" w:rsidRPr="002D5221" w14:paraId="49D4E05D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14:paraId="1539A1D6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dobitaša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5F024A29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3.499 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75E3E24E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4.324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426DBB41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06B57C44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2.722 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7B6CF366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3.255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1DC280D3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119,6</w:t>
            </w:r>
          </w:p>
        </w:tc>
      </w:tr>
      <w:tr w:rsidR="00DB7983" w:rsidRPr="002D5221" w14:paraId="0F9D30A4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14:paraId="06B03518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gubitaša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30F17D03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2.586 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3B55A4C5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2.436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5F9EFABF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710661C7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1.749 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1CE1FAD1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1.761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245FF094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100,7</w:t>
            </w:r>
          </w:p>
        </w:tc>
      </w:tr>
      <w:tr w:rsidR="00DB7983" w:rsidRPr="002D5221" w14:paraId="28B245DB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FB303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632CBE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68.225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B846C5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69.845 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7FD3EE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F1F534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35.554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589805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36.861 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CCCBC7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103,7</w:t>
            </w:r>
          </w:p>
        </w:tc>
      </w:tr>
      <w:tr w:rsidR="00DB7983" w:rsidRPr="002D5221" w14:paraId="5306B121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EB95D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8A12F7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34.689.392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067EB9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41.068.088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3855C0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3E78B8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19.078.063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AA201B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22.112.841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9E8FFC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115,9</w:t>
            </w:r>
          </w:p>
        </w:tc>
      </w:tr>
      <w:tr w:rsidR="00DB7983" w:rsidRPr="002D5221" w14:paraId="74FE6056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61F1F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A4C3D3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34.537.391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F94E24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39.351.644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37A8C5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528AC5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18.266.374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A2956A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20.956.122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4AC1EC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114,7</w:t>
            </w:r>
          </w:p>
        </w:tc>
      </w:tr>
      <w:tr w:rsidR="00DB7983" w:rsidRPr="002D5221" w14:paraId="3CCEFB7E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2A8C5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D16C34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2.165.945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30CA2C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2.816.336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C8FE89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D98DAF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1.264.895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1D4A17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1.422.505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B03431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112,5</w:t>
            </w:r>
          </w:p>
        </w:tc>
      </w:tr>
      <w:tr w:rsidR="00DB7983" w:rsidRPr="002D5221" w14:paraId="7AD202D0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2D362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C459CC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2.013.944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B5E969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1.099.892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C83630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D3AF7F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453.206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006FBB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265.785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CB358B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58,6</w:t>
            </w:r>
          </w:p>
        </w:tc>
      </w:tr>
      <w:tr w:rsidR="00DB7983" w:rsidRPr="002D5221" w14:paraId="1A07AC48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2E64A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Porez na dobit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098120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207.488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AB4CBD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290.255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ABDDA2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624F2A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163.813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83EAC1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209.508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D1C88D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127,9</w:t>
            </w:r>
          </w:p>
        </w:tc>
      </w:tr>
      <w:tr w:rsidR="00DB7983" w:rsidRPr="002D5221" w14:paraId="13A03A9F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8FE94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FB44FD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1.907.140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9273DB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2.487.800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735926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2FD04F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1.092.702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5747CF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1.213.244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6A9344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111,0</w:t>
            </w:r>
          </w:p>
        </w:tc>
      </w:tr>
      <w:tr w:rsidR="00DB7983" w:rsidRPr="002D5221" w14:paraId="02561E82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5B1F8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B92BA7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1.962.627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CCA2D6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1.061.610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8FC2F5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371B54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444.826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2035B0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266.032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8886A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59,8</w:t>
            </w:r>
          </w:p>
        </w:tc>
      </w:tr>
      <w:tr w:rsidR="00DB7983" w:rsidRPr="002D5221" w14:paraId="6527F071" w14:textId="77777777" w:rsidTr="002E2F80">
        <w:trPr>
          <w:trHeight w:val="454"/>
          <w:jc w:val="center"/>
        </w:trPr>
        <w:tc>
          <w:tcPr>
            <w:tcW w:w="3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DD0618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063F884A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-55.487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4E5C2086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1.426.189 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F58A3E0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46939121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647.876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6338724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947.212 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1D435FD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146,2</w:t>
            </w:r>
          </w:p>
        </w:tc>
      </w:tr>
      <w:tr w:rsidR="00DB7983" w:rsidRPr="002D5221" w14:paraId="216FE8F9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single" w:sz="4" w:space="0" w:color="D9D9D9" w:themeColor="background1" w:themeShade="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00E78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77EF41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9.972.705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226C68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12.494.819 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A57273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24871C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4.820.720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602386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5.703.023 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3FAA2A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118,3</w:t>
            </w:r>
          </w:p>
        </w:tc>
      </w:tr>
      <w:tr w:rsidR="00DB7983" w:rsidRPr="002D5221" w14:paraId="203163D6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95885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D5CBC4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2.002.093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F71C28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2.464.989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001155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A5CBCF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992.699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88AD8C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1.306.472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76BCB0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131,6</w:t>
            </w:r>
          </w:p>
        </w:tc>
      </w:tr>
      <w:tr w:rsidR="00DB7983" w:rsidRPr="002D5221" w14:paraId="120AEBC9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FCF8E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Trgovinski saldo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5A37A7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7.970.611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15DCEE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10.029.830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C97972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44BBF1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3.828.021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EAE8DD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4.396.551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F437BB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114,9</w:t>
            </w:r>
          </w:p>
        </w:tc>
      </w:tr>
      <w:tr w:rsidR="00DB7983" w:rsidRPr="002D5221" w14:paraId="1710F2CB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43265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Bruto investicije samo u novu dugotrajnu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0E2541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2.063.006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B82348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1.422.135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2E2D83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94E8CF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1.468.749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B42E87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865.432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69EF5F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58,9</w:t>
            </w:r>
          </w:p>
        </w:tc>
      </w:tr>
      <w:tr w:rsidR="00DB7983" w:rsidRPr="002D5221" w14:paraId="1060F59C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F2314" w14:textId="77777777" w:rsidR="00DB7983" w:rsidRPr="002D5221" w:rsidRDefault="00DB7983" w:rsidP="00DB798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D5221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Prosječna mjesečna neto plaća po zaposlen.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3154C4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6.397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8D93E9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6.524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701609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0A32C2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5.461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4A0E00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5.565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07E173" w14:textId="77777777" w:rsidR="00DB7983" w:rsidRDefault="00DB7983" w:rsidP="00DB7983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101,9</w:t>
            </w:r>
          </w:p>
        </w:tc>
      </w:tr>
    </w:tbl>
    <w:p w14:paraId="72BB2CD2" w14:textId="77777777" w:rsidR="00E97781" w:rsidRPr="002D5221" w:rsidRDefault="00E97781" w:rsidP="000D2C1A">
      <w:pPr>
        <w:tabs>
          <w:tab w:val="left" w:pos="601"/>
        </w:tabs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2D522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DD4AEE" w:rsidRPr="002D522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izvještaja, obrada GFI-a za </w:t>
      </w:r>
      <w:r w:rsidR="002C0A6E" w:rsidRPr="002D522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202</w:t>
      </w:r>
      <w:r w:rsidR="002D5221" w:rsidRPr="002D522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1</w:t>
      </w:r>
      <w:r w:rsidR="0007629D" w:rsidRPr="002D522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.</w:t>
      </w:r>
      <w:r w:rsidRPr="002D522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godinu</w:t>
      </w:r>
    </w:p>
    <w:p w14:paraId="11B37B9D" w14:textId="77777777" w:rsidR="00420047" w:rsidRPr="00F82D51" w:rsidRDefault="00420047" w:rsidP="00420047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Predmet ove kratke analize je 1.6</w:t>
      </w:r>
      <w:r w:rsidR="00F948ED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59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u skupini djelatnosti 49.3 - Ostali kopneni prijevoz putnika i tri razreda djelatnosti unutar te skupine djelatnosti:</w:t>
      </w:r>
    </w:p>
    <w:p w14:paraId="2D99EB50" w14:textId="77777777" w:rsidR="00420047" w:rsidRPr="00F82D51" w:rsidRDefault="00420047" w:rsidP="00420047">
      <w:pPr>
        <w:pStyle w:val="ListParagraph"/>
        <w:widowControl w:val="0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49.31 - Gradski i prigradski kopneni prijevoz putnika;</w:t>
      </w:r>
    </w:p>
    <w:p w14:paraId="04E51529" w14:textId="77777777" w:rsidR="00420047" w:rsidRPr="00F82D51" w:rsidRDefault="00420047" w:rsidP="00420047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49.32 - Taksi služba;</w:t>
      </w:r>
    </w:p>
    <w:p w14:paraId="6369891A" w14:textId="77777777" w:rsidR="00420047" w:rsidRPr="00F82D51" w:rsidRDefault="00420047" w:rsidP="00420047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49.39 - Ostali kopneni prijevoz putnika, d. n</w:t>
      </w:r>
      <w:r w:rsidRPr="00F82D51">
        <w:rPr>
          <w:rFonts w:ascii="Arial" w:eastAsia="Times New Roman" w:hAnsi="Arial" w:cs="Arial"/>
          <w:i/>
          <w:color w:val="17365D" w:themeColor="text2" w:themeShade="BF"/>
          <w:sz w:val="20"/>
          <w:szCs w:val="20"/>
          <w:lang w:eastAsia="hr-HR"/>
        </w:rPr>
        <w:t>. (skraćeno od drugdje nespomenuto)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62BDA806" w14:textId="3C5F963E" w:rsidR="001B0F1F" w:rsidRPr="00F82D51" w:rsidRDefault="00365A73" w:rsidP="001B0F1F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djelatnosti ostalog kopnenog prijevoza putnika (NKD 49.3), u 20</w:t>
      </w:r>
      <w:r w:rsidR="00DD3D9D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21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poslovalo je 1.6</w:t>
      </w:r>
      <w:r w:rsidR="00DD3D9D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59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</w:t>
      </w:r>
      <w:r w:rsidR="00B646C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kod kojih je bilo </w:t>
      </w:r>
      <w:r w:rsidR="00DD3D9D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12.869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zaposlenih. Navedena skupina poduzetnika ostvarila je u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kupn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prihod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iznosu od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5E31C3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</w:t>
      </w:r>
      <w:r w:rsidR="005C5B25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milijarde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što je za </w:t>
      </w:r>
      <w:r w:rsidR="005E31C3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13,3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5E31C3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viš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e nego u prethodnom razdoblju. </w:t>
      </w:r>
      <w:r w:rsidR="00864F02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Povećani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 i ukupni rashodi</w:t>
      </w:r>
      <w:r w:rsidR="00B646C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to za </w:t>
      </w:r>
      <w:r w:rsidR="00851FD0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9,3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(s </w:t>
      </w:r>
      <w:r w:rsidR="00851FD0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3,6 milijardi kuna u 2020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godini, na </w:t>
      </w:r>
      <w:r w:rsidR="004E0393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gotovo </w:t>
      </w:r>
      <w:r w:rsidR="00851FD0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 milijarde kuna u 2021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godini). U 202</w:t>
      </w:r>
      <w:r w:rsidR="00851FD0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godini, poduzetnici skupine djelatnosti NKD 49.3 - Ostali kopneni prijevoz putnika iskazali su </w:t>
      </w:r>
      <w:r w:rsidR="00851FD0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pozitivan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financijski rezultat (</w:t>
      </w:r>
      <w:r w:rsidR="00851FD0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65,5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kuna), dok je u prethodnoj godini iskazan </w:t>
      </w:r>
      <w:r w:rsidR="00851FD0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neto gubitak 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</w:t>
      </w:r>
      <w:r w:rsidR="00851FD0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73,6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 Zaposlenima kod poduzetnika u djelatnosti </w:t>
      </w:r>
      <w:r w:rsidR="002A6D4A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NKD 49.3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obračuna</w:t>
      </w:r>
      <w:r w:rsidR="00500B19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je prosječna mjesečna neto plaća</w:t>
      </w:r>
      <w:r w:rsidR="005C5B25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iznosu od 5.7</w:t>
      </w:r>
      <w:r w:rsidR="00851FD0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75 </w:t>
      </w:r>
      <w:r w:rsidR="001B0F1F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kuna.</w:t>
      </w:r>
    </w:p>
    <w:p w14:paraId="20E3D881" w14:textId="1F5C8F0B" w:rsidR="00420047" w:rsidRPr="00F82D51" w:rsidRDefault="00420047" w:rsidP="00420047">
      <w:pPr>
        <w:widowControl w:val="0"/>
        <w:spacing w:before="18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Unutar skupine </w:t>
      </w:r>
      <w:r w:rsidR="002A6D4A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ostalog kopnenog prijevoza putnika</w:t>
      </w:r>
      <w:r w:rsidRPr="00F82D51">
        <w:rPr>
          <w:rFonts w:ascii="Arial" w:hAnsi="Arial" w:cs="Arial"/>
          <w:color w:val="17365D" w:themeColor="text2" w:themeShade="BF"/>
          <w:sz w:val="20"/>
          <w:szCs w:val="20"/>
        </w:rPr>
        <w:t xml:space="preserve"> (NKD 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49.3), </w:t>
      </w:r>
      <w:r w:rsidR="001B0F1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u 202</w:t>
      </w:r>
      <w:r w:rsidR="0019158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1</w:t>
      </w:r>
      <w:r w:rsidR="001B0F1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godini, 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najviše je</w:t>
      </w:r>
      <w:r w:rsidR="001B0F1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bilo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 čija je pretežita djelatnost taksi služba (NKD 49.32), ukupno 9</w:t>
      </w:r>
      <w:r w:rsidR="00D43F9A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70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. Na drugom mjestu nalazi se nešto manji skup poduzetnika (</w:t>
      </w:r>
      <w:r w:rsidR="00D43F9A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626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poduzetnika) iz </w:t>
      </w:r>
      <w:r w:rsidR="001B0F1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razreda 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djelatnosti ostal</w:t>
      </w:r>
      <w:r w:rsidR="001B0F1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 w:rsidR="001B0F1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 w:rsidR="001B0F1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putnika, d.n</w:t>
      </w:r>
      <w:r w:rsidR="00500B19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(NKD 49.39). Taj </w:t>
      </w:r>
      <w:r w:rsidR="00D43F9A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je skup poduzetnika ostvario 1,9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milijardi kuna prihoda ili </w:t>
      </w:r>
      <w:r w:rsidR="00271401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46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 ukupnih prihoda </w:t>
      </w:r>
      <w:r w:rsidR="001B0F1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skupine 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lastRenderedPageBreak/>
        <w:t>ostalog kopnenog prijevoza putnika. Ovaj razred djelatnosti ostvario je najveću dobit razdoblja</w:t>
      </w:r>
      <w:r w:rsidR="00B646CF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 to u iznosu od </w:t>
      </w:r>
      <w:r w:rsidR="00271401"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109,1 milijun</w:t>
      </w:r>
      <w:r w:rsidRP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kuna.</w:t>
      </w:r>
    </w:p>
    <w:p w14:paraId="5FF59D09" w14:textId="77777777" w:rsidR="00BB4B9D" w:rsidRPr="00363E11" w:rsidRDefault="00BB4B9D" w:rsidP="00BB4B9D">
      <w:pPr>
        <w:widowControl w:val="0"/>
        <w:tabs>
          <w:tab w:val="left" w:pos="6096"/>
        </w:tabs>
        <w:spacing w:before="180" w:after="0" w:line="240" w:lineRule="auto"/>
        <w:ind w:left="1134" w:hanging="1134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F82D5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Tablica 2.</w:t>
      </w:r>
      <w:r w:rsidRPr="00F82D51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F82D5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Broj poduzetnika, broj zaposlenih te osnovni financijski rezultati poslovanja poduzetnika u skupini djelatnosti NKD 49.3 i razredima djelatnosti NKD 49</w:t>
      </w:r>
      <w:r w:rsidR="00363E11" w:rsidRPr="00F82D5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.31, NKD 49.32, NKD 49.39 u 2021</w:t>
      </w:r>
      <w:r w:rsidRPr="00F82D51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 godini</w:t>
      </w:r>
    </w:p>
    <w:p w14:paraId="6C9649BE" w14:textId="77777777" w:rsidR="00BB4B9D" w:rsidRPr="00363E11" w:rsidRDefault="00BB4B9D" w:rsidP="00BB4B9D">
      <w:pPr>
        <w:tabs>
          <w:tab w:val="left" w:pos="6096"/>
        </w:tabs>
        <w:spacing w:after="0" w:line="240" w:lineRule="auto"/>
        <w:ind w:left="1134" w:hanging="1134"/>
        <w:jc w:val="right"/>
        <w:rPr>
          <w:rFonts w:ascii="Arial" w:eastAsia="Calibri" w:hAnsi="Arial" w:cs="Arial"/>
          <w:color w:val="17365D" w:themeColor="text2" w:themeShade="BF"/>
          <w:sz w:val="18"/>
          <w:szCs w:val="16"/>
        </w:rPr>
      </w:pPr>
      <w:r w:rsidRPr="00363E11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363E11">
        <w:rPr>
          <w:rFonts w:ascii="Arial" w:eastAsia="Calibri" w:hAnsi="Arial" w:cs="Arial"/>
          <w:color w:val="17365D" w:themeColor="text2" w:themeShade="BF"/>
          <w:sz w:val="16"/>
          <w:szCs w:val="16"/>
        </w:rPr>
        <w:t>(iznosi u tisućama kuna, prosječne plaće u kunama)</w:t>
      </w:r>
    </w:p>
    <w:tbl>
      <w:tblPr>
        <w:tblW w:w="10046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1134"/>
        <w:gridCol w:w="1128"/>
        <w:gridCol w:w="1134"/>
        <w:gridCol w:w="1134"/>
        <w:gridCol w:w="992"/>
        <w:gridCol w:w="998"/>
        <w:gridCol w:w="1134"/>
        <w:gridCol w:w="1036"/>
      </w:tblGrid>
      <w:tr w:rsidR="00363E11" w:rsidRPr="00363E11" w14:paraId="62A24317" w14:textId="77777777" w:rsidTr="0097749B">
        <w:trPr>
          <w:trHeight w:val="624"/>
          <w:tblHeader/>
          <w:jc w:val="center"/>
        </w:trPr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C97F84E" w14:textId="77777777" w:rsidR="00BB4B9D" w:rsidRPr="00363E11" w:rsidRDefault="00BB4B9D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26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D1DB2F5" w14:textId="77777777" w:rsidR="00BB4B9D" w:rsidRPr="00363E11" w:rsidRDefault="00BB4B9D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 Ostali kopneni prijevoz putnika</w:t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07674D0E" w14:textId="77777777" w:rsidR="00BB4B9D" w:rsidRPr="00363E11" w:rsidRDefault="00BB4B9D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49.31 Gradski i prigradski kopneni prijevoz putnika</w:t>
            </w:r>
          </w:p>
        </w:tc>
        <w:tc>
          <w:tcPr>
            <w:tcW w:w="19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2103C2B7" w14:textId="77777777" w:rsidR="00BB4B9D" w:rsidRPr="00363E11" w:rsidRDefault="00BB4B9D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49.32 Taksi služba</w:t>
            </w:r>
          </w:p>
        </w:tc>
        <w:tc>
          <w:tcPr>
            <w:tcW w:w="217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2851BBE7" w14:textId="77777777" w:rsidR="00BB4B9D" w:rsidRPr="00363E11" w:rsidRDefault="00BB4B9D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49.39 Ostali kopneni prijevoz putnika, d. n.</w:t>
            </w:r>
          </w:p>
        </w:tc>
      </w:tr>
      <w:tr w:rsidR="00363E11" w:rsidRPr="00363E11" w14:paraId="49CC67B0" w14:textId="77777777" w:rsidTr="0097749B">
        <w:trPr>
          <w:trHeight w:val="255"/>
          <w:tblHeader/>
          <w:jc w:val="center"/>
        </w:trPr>
        <w:tc>
          <w:tcPr>
            <w:tcW w:w="1356" w:type="dxa"/>
            <w:vMerge/>
            <w:tcBorders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5F4AFB6" w14:textId="77777777" w:rsidR="00363E11" w:rsidRPr="00363E11" w:rsidRDefault="00363E11" w:rsidP="00AA2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705913E" w14:textId="77777777" w:rsidR="00363E11" w:rsidRPr="00363E11" w:rsidRDefault="00363E11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2020.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BA1ACDF" w14:textId="77777777" w:rsidR="00363E11" w:rsidRPr="00363E11" w:rsidRDefault="00363E11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1471CD71" w14:textId="77777777" w:rsidR="00363E11" w:rsidRPr="00363E11" w:rsidRDefault="00363E11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6CE32723" w14:textId="77777777" w:rsidR="00363E11" w:rsidRPr="00363E11" w:rsidRDefault="00363E11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2021.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616167AB" w14:textId="77777777" w:rsidR="00363E11" w:rsidRPr="00363E11" w:rsidRDefault="00363E11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2020.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70D2F1FF" w14:textId="77777777" w:rsidR="00363E11" w:rsidRPr="00363E11" w:rsidRDefault="00363E11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679AAC89" w14:textId="77777777" w:rsidR="00363E11" w:rsidRPr="00363E11" w:rsidRDefault="00363E11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2020.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33D9E900" w14:textId="77777777" w:rsidR="00363E11" w:rsidRPr="00363E11" w:rsidRDefault="00363E11" w:rsidP="00AA2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2021. </w:t>
            </w:r>
          </w:p>
        </w:tc>
      </w:tr>
      <w:tr w:rsidR="00AA2118" w:rsidRPr="00363E11" w14:paraId="68ABB746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14:paraId="41B297BD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B740E77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2E5BDF25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1.659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8C6849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68963D4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63 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C7956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6BB8502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970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2EA697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DD5FA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626 </w:t>
            </w:r>
          </w:p>
        </w:tc>
      </w:tr>
      <w:tr w:rsidR="00AA2118" w:rsidRPr="00363E11" w14:paraId="29480689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14:paraId="1EA2F350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dobitaša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6C5D19B4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493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4AAFFFD5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818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CF66884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29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4147D7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36 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11F606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272 </w:t>
            </w:r>
          </w:p>
        </w:tc>
        <w:tc>
          <w:tcPr>
            <w:tcW w:w="9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BC24595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466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F429C4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192 </w:t>
            </w:r>
          </w:p>
        </w:tc>
        <w:tc>
          <w:tcPr>
            <w:tcW w:w="1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F3065C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316 </w:t>
            </w:r>
          </w:p>
        </w:tc>
      </w:tr>
      <w:tr w:rsidR="00AA2118" w:rsidRPr="00363E11" w14:paraId="1A781893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14:paraId="4B2F8D36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gubitaša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A49297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983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63C93DD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841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A56E33C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29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58451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27 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60854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556 </w:t>
            </w:r>
          </w:p>
        </w:tc>
        <w:tc>
          <w:tcPr>
            <w:tcW w:w="9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4E719BE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504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D3532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398 </w:t>
            </w:r>
          </w:p>
        </w:tc>
        <w:tc>
          <w:tcPr>
            <w:tcW w:w="1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62AFEA6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310 </w:t>
            </w:r>
          </w:p>
        </w:tc>
      </w:tr>
      <w:tr w:rsidR="00AA2118" w:rsidRPr="00363E11" w14:paraId="0A83517A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C5372F5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86DD347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12.906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284F466D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12.869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4D925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5.976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F43680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6.020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DBA1FE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1.523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E270C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1.958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0D6485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5.407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D64789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4.891 </w:t>
            </w:r>
          </w:p>
        </w:tc>
      </w:tr>
      <w:tr w:rsidR="00AA2118" w:rsidRPr="00363E11" w14:paraId="4112E02A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AD96ECA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327C2170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3.563.086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F1B8872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4.037.822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4E778C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1.771.729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4D128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1.875.544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CD52C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205.999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EDBF43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305.781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CF49CD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1.585.359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4F1CD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1.856.496 </w:t>
            </w:r>
          </w:p>
        </w:tc>
      </w:tr>
      <w:tr w:rsidR="00AA2118" w:rsidRPr="00363E11" w14:paraId="23EFE38C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C2E8699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6FEE5F2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3.628.819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26C5C851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3.965.359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A2A139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1.766.831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0FBA5C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1.866.236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6D2D2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223.923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6AAAF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311.868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2E294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1.638.065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F2C802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1.787.255 </w:t>
            </w:r>
          </w:p>
        </w:tc>
      </w:tr>
      <w:tr w:rsidR="00AA2118" w:rsidRPr="00363E11" w14:paraId="6BC67953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4F93E23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28D19B1C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109.439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0C384536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145.030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C3D965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9.707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77DB0C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11.440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B2FA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8.822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0000C4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18.553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2A5D02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90.910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3F059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115.037 </w:t>
            </w:r>
          </w:p>
        </w:tc>
      </w:tr>
      <w:tr w:rsidR="00AA2118" w:rsidRPr="00363E11" w14:paraId="1C6C324B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8294E94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23B84D1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175.171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073716E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72.567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D37AA1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4.809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143B1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2.131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2BE1E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26.746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875BF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24.640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E04A9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143.616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9AEC6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45.796 </w:t>
            </w:r>
          </w:p>
        </w:tc>
      </w:tr>
      <w:tr w:rsidR="00AA2118" w:rsidRPr="00363E11" w14:paraId="024A7E3C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DD218EC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Porez na dobit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0012FFFD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7.894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3F32FE6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6.988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818417" w14:textId="77777777" w:rsidR="00AA2118" w:rsidRPr="0097749B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97749B">
              <w:rPr>
                <w:rFonts w:ascii="Arial" w:hAnsi="Arial" w:cs="Arial"/>
                <w:color w:val="003366"/>
                <w:sz w:val="18"/>
                <w:szCs w:val="18"/>
              </w:rPr>
              <w:t xml:space="preserve">-383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B53F72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4FD122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543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16BB3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196A8C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7.735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196BD3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5.891 </w:t>
            </w:r>
          </w:p>
        </w:tc>
      </w:tr>
      <w:tr w:rsidR="00AA2118" w:rsidRPr="00363E11" w14:paraId="5AF3641B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ED96B95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6011E47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99.283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23F370F9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138.021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41B894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10.089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52E17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11.253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A0EBC0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8.280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80E3E9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17.643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B46692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80.914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CFAB82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109.125 </w:t>
            </w:r>
          </w:p>
        </w:tc>
      </w:tr>
      <w:tr w:rsidR="00AA2118" w:rsidRPr="00363E11" w14:paraId="3BA9D1DF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6543D65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28C42083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172.910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07200CB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72.546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95B5F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4.809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7339AC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2.131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784D15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26.747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31F10D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24.640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F95212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141.354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CE47E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45.775 </w:t>
            </w:r>
          </w:p>
        </w:tc>
      </w:tr>
      <w:tr w:rsidR="00AA2118" w:rsidRPr="00363E11" w14:paraId="5842941F" w14:textId="77777777" w:rsidTr="0097749B">
        <w:trPr>
          <w:trHeight w:val="397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CE52722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Konsolidir. finan. rezultat – dobit (+) ili gubitak (-) razd.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E1B3C5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-73.626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5E77CB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65.475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A997C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5.281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31B3B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9.122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C96E2C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-18.467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9441E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-6.997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B15CC4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-60.441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408BDE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63.351 </w:t>
            </w:r>
          </w:p>
        </w:tc>
      </w:tr>
      <w:tr w:rsidR="00AA2118" w:rsidRPr="00363E11" w14:paraId="04991458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D394640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6948C8A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69.596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2847CDB3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100.082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AB039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1.285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B6E26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192625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4.824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D93C46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20.699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EA1350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63.488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F39B4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79.383 </w:t>
            </w:r>
          </w:p>
        </w:tc>
      </w:tr>
      <w:tr w:rsidR="00AA2118" w:rsidRPr="00363E11" w14:paraId="38D01402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FAE18C1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4F8AB6F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103.811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62D59CF6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86.153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F368D4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33.137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09503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7.348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579849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4.609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7A12D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29.323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31B8A5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66.066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85530D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49.482 </w:t>
            </w:r>
          </w:p>
        </w:tc>
      </w:tr>
      <w:tr w:rsidR="00AA2118" w:rsidRPr="00363E11" w14:paraId="69796CA2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19C54FD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Trgovinski saldo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05753399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97749B">
              <w:rPr>
                <w:rFonts w:ascii="Arial" w:hAnsi="Arial" w:cs="Arial"/>
                <w:color w:val="003366"/>
                <w:sz w:val="18"/>
                <w:szCs w:val="18"/>
              </w:rPr>
              <w:t xml:space="preserve">-34.215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C492535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13.929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255E0A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97749B">
              <w:rPr>
                <w:rFonts w:ascii="Arial" w:hAnsi="Arial" w:cs="Arial"/>
                <w:color w:val="003366"/>
                <w:sz w:val="18"/>
                <w:szCs w:val="18"/>
              </w:rPr>
              <w:t xml:space="preserve">-31.852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955BCE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97749B">
              <w:rPr>
                <w:rFonts w:ascii="Arial" w:hAnsi="Arial" w:cs="Arial"/>
                <w:color w:val="003366"/>
                <w:sz w:val="18"/>
                <w:szCs w:val="18"/>
              </w:rPr>
              <w:t xml:space="preserve">-7.348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EFD431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215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AC13E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97749B">
              <w:rPr>
                <w:rFonts w:ascii="Arial" w:hAnsi="Arial" w:cs="Arial"/>
                <w:color w:val="003366"/>
                <w:sz w:val="18"/>
                <w:szCs w:val="18"/>
              </w:rPr>
              <w:t xml:space="preserve">-8.624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852072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97749B">
              <w:rPr>
                <w:rFonts w:ascii="Arial" w:hAnsi="Arial" w:cs="Arial"/>
                <w:color w:val="003366"/>
                <w:sz w:val="18"/>
                <w:szCs w:val="18"/>
              </w:rPr>
              <w:t xml:space="preserve">-2.578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3A9BD7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29.901 </w:t>
            </w:r>
          </w:p>
        </w:tc>
      </w:tr>
      <w:tr w:rsidR="00AA2118" w:rsidRPr="00363E11" w14:paraId="127BADFB" w14:textId="77777777" w:rsidTr="0097749B">
        <w:trPr>
          <w:trHeight w:val="397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2496169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Bruto investicije samo u novu dugotrajnu imovinu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042ADBD4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443.657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B40100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199.399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B3EFB3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404.646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FF9C5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181.272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1D882D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801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FE06A1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5137FD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38.210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DDB52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17.165 </w:t>
            </w:r>
          </w:p>
        </w:tc>
      </w:tr>
      <w:tr w:rsidR="00AA2118" w:rsidRPr="00363E11" w14:paraId="5BA287A5" w14:textId="77777777" w:rsidTr="0097749B">
        <w:trPr>
          <w:trHeight w:val="397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DCE1F9F" w14:textId="77777777" w:rsidR="00AA2118" w:rsidRPr="00363E11" w:rsidRDefault="00AA2118" w:rsidP="00AA2118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363E11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Prosječna mjesečna neto plaća po zaposlenom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79FDB65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5.584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2AB09A38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5.775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1918BB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D69539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7.558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279D01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2.954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BED50E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2.815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003B93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4.428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FA552D" w14:textId="77777777" w:rsidR="00AA2118" w:rsidRDefault="00AA2118" w:rsidP="00AA211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4.764 </w:t>
            </w:r>
          </w:p>
        </w:tc>
      </w:tr>
    </w:tbl>
    <w:p w14:paraId="053ABF27" w14:textId="77777777" w:rsidR="00BB4B9D" w:rsidRPr="00DC7C63" w:rsidRDefault="00BB4B9D" w:rsidP="00BB4B9D">
      <w:pPr>
        <w:tabs>
          <w:tab w:val="left" w:pos="601"/>
        </w:tabs>
        <w:spacing w:after="0" w:line="288" w:lineRule="auto"/>
        <w:jc w:val="both"/>
        <w:rPr>
          <w:rFonts w:ascii="Arial" w:eastAsia="Times New Roman" w:hAnsi="Arial" w:cs="Arial"/>
          <w:i/>
          <w:color w:val="FF0000"/>
          <w:sz w:val="2"/>
          <w:szCs w:val="16"/>
          <w:lang w:eastAsia="hr-HR"/>
        </w:rPr>
      </w:pPr>
    </w:p>
    <w:p w14:paraId="39C3F876" w14:textId="77777777" w:rsidR="00BB4B9D" w:rsidRPr="00363E11" w:rsidRDefault="00BB4B9D" w:rsidP="00BB4B9D">
      <w:pPr>
        <w:tabs>
          <w:tab w:val="left" w:pos="601"/>
        </w:tabs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363E1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363E11" w:rsidRPr="00363E1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izvještaja, obrada GFI-a za 2021</w:t>
      </w:r>
      <w:r w:rsidRPr="00363E1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. godinu</w:t>
      </w:r>
    </w:p>
    <w:p w14:paraId="2E1F90AC" w14:textId="77777777" w:rsidR="0028563C" w:rsidRPr="00F166D0" w:rsidRDefault="0028563C" w:rsidP="0028563C">
      <w:pPr>
        <w:widowControl w:val="0"/>
        <w:spacing w:before="18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Najveći broj zaposlenih u 202</w:t>
      </w:r>
      <w:r w:rsidR="00F166D0"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1</w:t>
      </w:r>
      <w:r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godini bio je kod poduzetnika u razredu djelatnosti gradskog i prigradskog kopnenog prijevoza putnika (NKD 49.31), njih </w:t>
      </w:r>
      <w:r w:rsidR="00F166D0"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6.020</w:t>
      </w:r>
      <w:r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što je </w:t>
      </w:r>
      <w:r w:rsidR="00F166D0"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povećanje</w:t>
      </w:r>
      <w:r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od </w:t>
      </w:r>
      <w:r w:rsidR="00F166D0"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0,7</w:t>
      </w:r>
      <w:r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%</w:t>
      </w:r>
      <w:r w:rsidR="00B646CF"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</w:t>
      </w:r>
      <w:r w:rsidR="00F166D0"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odnosu na broj zaposlenih u 2020</w:t>
      </w:r>
      <w:r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. godini.</w:t>
      </w:r>
    </w:p>
    <w:p w14:paraId="0BFDED1B" w14:textId="77777777" w:rsidR="00BB4B9D" w:rsidRPr="008906FF" w:rsidRDefault="00BB4B9D" w:rsidP="00BB4B9D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Najveća prosječna mjesečna neto plaća obračuna</w:t>
      </w:r>
      <w:r w:rsid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t</w:t>
      </w:r>
      <w:r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a je zaposlenima kod poduzetnika u djelatnosti NKD 49.31, u iznosu od 7.</w:t>
      </w:r>
      <w:r w:rsidR="00F166D0"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>558</w:t>
      </w:r>
      <w:r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</w:t>
      </w:r>
      <w:r w:rsid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F166D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</w:t>
      </w:r>
      <w:r w:rsidRPr="0036768D">
        <w:rPr>
          <w:rFonts w:ascii="Arial" w:eastAsia="Calibri" w:hAnsi="Arial" w:cs="Arial"/>
          <w:color w:val="17365D" w:themeColor="text2" w:themeShade="BF"/>
          <w:sz w:val="20"/>
          <w:szCs w:val="20"/>
        </w:rPr>
        <w:t>dok je zaposlenima kod poduzetnika u razredu djelatnosti ostalog kopnenog prijevoza putnika</w:t>
      </w:r>
      <w:r w:rsid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, d.n.</w:t>
      </w:r>
      <w:r w:rsidRPr="0036768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(NKD 49.39) obračuna</w:t>
      </w:r>
      <w:r w:rsid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t</w:t>
      </w:r>
      <w:r w:rsidRPr="0036768D">
        <w:rPr>
          <w:rFonts w:ascii="Arial" w:eastAsia="Calibri" w:hAnsi="Arial" w:cs="Arial"/>
          <w:color w:val="17365D" w:themeColor="text2" w:themeShade="BF"/>
          <w:sz w:val="20"/>
          <w:szCs w:val="20"/>
        </w:rPr>
        <w:t>a plaća u iznosu od 4.</w:t>
      </w:r>
      <w:r w:rsidR="0036768D" w:rsidRPr="0036768D">
        <w:rPr>
          <w:rFonts w:ascii="Arial" w:eastAsia="Calibri" w:hAnsi="Arial" w:cs="Arial"/>
          <w:color w:val="17365D" w:themeColor="text2" w:themeShade="BF"/>
          <w:sz w:val="20"/>
          <w:szCs w:val="20"/>
        </w:rPr>
        <w:t>764 kune</w:t>
      </w:r>
      <w:r w:rsidR="00B646CF" w:rsidRPr="008906FF">
        <w:rPr>
          <w:rFonts w:ascii="Arial" w:eastAsia="Calibri" w:hAnsi="Arial" w:cs="Arial"/>
          <w:color w:val="17365D" w:themeColor="text2" w:themeShade="BF"/>
          <w:sz w:val="20"/>
          <w:szCs w:val="20"/>
        </w:rPr>
        <w:t>. Z</w:t>
      </w:r>
      <w:r w:rsidRPr="008906FF">
        <w:rPr>
          <w:rFonts w:ascii="Arial" w:eastAsia="Calibri" w:hAnsi="Arial" w:cs="Arial"/>
          <w:color w:val="17365D" w:themeColor="text2" w:themeShade="BF"/>
          <w:sz w:val="20"/>
          <w:szCs w:val="20"/>
        </w:rPr>
        <w:t>aposlenima kod p</w:t>
      </w:r>
      <w:r w:rsidRPr="008906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oduzetnika u djelatnosti taksi službe (NKD 49.32) obračuna</w:t>
      </w:r>
      <w:r w:rsid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</w:t>
      </w:r>
      <w:r w:rsidRPr="008906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je prosječna mjesečna neto plaća u iznosu od samo 2.81</w:t>
      </w:r>
      <w:r w:rsidR="008906FF" w:rsidRPr="008906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</w:t>
      </w:r>
      <w:r w:rsidR="008906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</w:t>
      </w:r>
    </w:p>
    <w:p w14:paraId="277DD763" w14:textId="77777777" w:rsidR="004E366D" w:rsidRPr="00F82D51" w:rsidRDefault="004E366D" w:rsidP="004E366D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skupini </w:t>
      </w:r>
      <w:r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djelatnosti ostalog kopnenog prijevoza putnika (NKD 49.3), </w:t>
      </w:r>
      <w:r w:rsidR="008906FF"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2021</w:t>
      </w:r>
      <w:r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godini, ZAGREBAČKI ELEKTRIČNI TRAMVAJ d.o.o. iz Zagreba ostvario je najveće ukupne prihode</w:t>
      </w:r>
      <w:r w:rsidR="00B646CF"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to u iznosu od 1,</w:t>
      </w:r>
      <w:r w:rsidR="008C2251"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</w:t>
      </w:r>
      <w:r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milijarde 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kuna, a drugi je ČAZMATRANS PROMET</w:t>
      </w:r>
      <w:r w:rsidRPr="00F82D51">
        <w:rPr>
          <w:rFonts w:ascii="Arial" w:hAnsi="Arial" w:cs="Arial"/>
          <w:color w:val="17365D" w:themeColor="text2" w:themeShade="BF"/>
          <w:sz w:val="20"/>
          <w:szCs w:val="18"/>
        </w:rPr>
        <w:t xml:space="preserve"> d.o.o.</w:t>
      </w:r>
      <w:r w:rsidRPr="00F82D51">
        <w:rPr>
          <w:rFonts w:ascii="Arial" w:eastAsia="Times New Roman" w:hAnsi="Arial" w:cs="Arial"/>
          <w:color w:val="17365D" w:themeColor="text2" w:themeShade="BF"/>
          <w:szCs w:val="20"/>
          <w:lang w:eastAsia="hr-HR"/>
        </w:rPr>
        <w:t xml:space="preserve"> 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 Čazme sa </w:t>
      </w:r>
      <w:r w:rsidR="008C2251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198,3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ukupnih prihoda.</w:t>
      </w:r>
    </w:p>
    <w:p w14:paraId="21BCBBBF" w14:textId="77777777" w:rsidR="004C4A8C" w:rsidRDefault="004C4A8C" w:rsidP="00BB4B9D">
      <w:pPr>
        <w:widowControl w:val="0"/>
        <w:tabs>
          <w:tab w:val="left" w:pos="1134"/>
          <w:tab w:val="right" w:pos="9743"/>
        </w:tabs>
        <w:spacing w:before="180" w:after="0" w:line="240" w:lineRule="auto"/>
        <w:ind w:left="1140" w:hanging="1140"/>
        <w:rPr>
          <w:rFonts w:ascii="Arial" w:hAnsi="Arial" w:cs="Arial"/>
          <w:color w:val="17365D" w:themeColor="text2" w:themeShade="BF"/>
          <w:sz w:val="16"/>
          <w:szCs w:val="16"/>
        </w:rPr>
      </w:pPr>
      <w:r w:rsidRPr="00F82D51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Tablica </w:t>
      </w:r>
      <w:r w:rsidR="00BB4B9D" w:rsidRPr="00F82D51">
        <w:rPr>
          <w:rFonts w:ascii="Arial" w:hAnsi="Arial" w:cs="Arial"/>
          <w:b/>
          <w:color w:val="17365D" w:themeColor="text2" w:themeShade="BF"/>
          <w:sz w:val="18"/>
          <w:szCs w:val="18"/>
        </w:rPr>
        <w:t>3</w:t>
      </w:r>
      <w:r w:rsidRPr="00F82D51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Pr="00F82D51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>TOP 10 poduzetnika u djelatnosti NKD 49.3</w:t>
      </w:r>
      <w:r w:rsidR="008906FF" w:rsidRPr="00F82D51">
        <w:rPr>
          <w:rFonts w:ascii="Arial" w:hAnsi="Arial" w:cs="Arial"/>
          <w:b/>
          <w:color w:val="17365D" w:themeColor="text2" w:themeShade="BF"/>
          <w:sz w:val="18"/>
          <w:szCs w:val="18"/>
        </w:rPr>
        <w:t>, prema ukupnim prihodima u 2021</w:t>
      </w:r>
      <w:r w:rsidRPr="00F82D51">
        <w:rPr>
          <w:rFonts w:ascii="Arial" w:hAnsi="Arial" w:cs="Arial"/>
          <w:b/>
          <w:color w:val="17365D" w:themeColor="text2" w:themeShade="BF"/>
          <w:sz w:val="18"/>
          <w:szCs w:val="18"/>
        </w:rPr>
        <w:t>. g</w:t>
      </w:r>
      <w:r w:rsidR="002E2F80" w:rsidRPr="00F82D51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Pr="00F82D51">
        <w:rPr>
          <w:rFonts w:ascii="Arial" w:hAnsi="Arial" w:cs="Arial"/>
          <w:color w:val="FF0000"/>
          <w:sz w:val="19"/>
          <w:szCs w:val="19"/>
        </w:rPr>
        <w:tab/>
      </w:r>
      <w:r w:rsidRPr="00F82D51">
        <w:rPr>
          <w:rFonts w:ascii="Arial" w:hAnsi="Arial" w:cs="Arial"/>
          <w:color w:val="17365D" w:themeColor="text2" w:themeShade="BF"/>
          <w:sz w:val="19"/>
          <w:szCs w:val="19"/>
        </w:rPr>
        <w:t xml:space="preserve"> </w:t>
      </w:r>
      <w:r w:rsidRPr="00F82D51">
        <w:rPr>
          <w:rFonts w:ascii="Arial" w:hAnsi="Arial" w:cs="Arial"/>
          <w:color w:val="17365D" w:themeColor="text2" w:themeShade="BF"/>
          <w:sz w:val="16"/>
          <w:szCs w:val="16"/>
        </w:rPr>
        <w:t>(iznosi u tis</w:t>
      </w:r>
      <w:r w:rsidR="002E2F80" w:rsidRPr="00F82D51">
        <w:rPr>
          <w:rFonts w:ascii="Arial" w:hAnsi="Arial" w:cs="Arial"/>
          <w:color w:val="17365D" w:themeColor="text2" w:themeShade="BF"/>
          <w:sz w:val="16"/>
          <w:szCs w:val="16"/>
        </w:rPr>
        <w:t>u</w:t>
      </w:r>
      <w:r w:rsidR="002E2F80">
        <w:rPr>
          <w:rFonts w:ascii="Arial" w:hAnsi="Arial" w:cs="Arial"/>
          <w:color w:val="17365D" w:themeColor="text2" w:themeShade="BF"/>
          <w:sz w:val="16"/>
          <w:szCs w:val="16"/>
        </w:rPr>
        <w:t>ćama</w:t>
      </w:r>
      <w:r w:rsidRPr="002E2F80">
        <w:rPr>
          <w:rFonts w:ascii="Arial" w:hAnsi="Arial" w:cs="Arial"/>
          <w:color w:val="17365D" w:themeColor="text2" w:themeShade="BF"/>
          <w:sz w:val="16"/>
          <w:szCs w:val="16"/>
        </w:rPr>
        <w:t xml:space="preserve"> kuna)</w:t>
      </w:r>
    </w:p>
    <w:tbl>
      <w:tblPr>
        <w:tblW w:w="989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1172"/>
        <w:gridCol w:w="3370"/>
        <w:gridCol w:w="1733"/>
        <w:gridCol w:w="1032"/>
        <w:gridCol w:w="669"/>
        <w:gridCol w:w="1430"/>
      </w:tblGrid>
      <w:tr w:rsidR="002E2F80" w:rsidRPr="002E2F80" w14:paraId="26BF5DC5" w14:textId="77777777" w:rsidTr="002E2F80">
        <w:trPr>
          <w:trHeight w:hRule="exact" w:val="431"/>
          <w:tblHeader/>
          <w:jc w:val="center"/>
        </w:trPr>
        <w:tc>
          <w:tcPr>
            <w:tcW w:w="4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607B4C80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5"/>
              </w:rPr>
              <w:t>Rang</w:t>
            </w:r>
          </w:p>
        </w:tc>
        <w:tc>
          <w:tcPr>
            <w:tcW w:w="117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7532BA97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OIB</w:t>
            </w:r>
          </w:p>
        </w:tc>
        <w:tc>
          <w:tcPr>
            <w:tcW w:w="337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362D28DE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Naziv</w:t>
            </w:r>
          </w:p>
        </w:tc>
        <w:tc>
          <w:tcPr>
            <w:tcW w:w="173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7D85A9C8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Sjedište</w:t>
            </w:r>
          </w:p>
        </w:tc>
        <w:tc>
          <w:tcPr>
            <w:tcW w:w="1032" w:type="dxa"/>
            <w:tcBorders>
              <w:top w:val="single" w:sz="4" w:space="0" w:color="FFFFFF"/>
              <w:left w:val="double" w:sz="6" w:space="0" w:color="BFBFBF"/>
              <w:bottom w:val="nil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0BCF5565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Ukupni prihodi</w:t>
            </w:r>
          </w:p>
        </w:tc>
        <w:tc>
          <w:tcPr>
            <w:tcW w:w="669" w:type="dxa"/>
            <w:tcBorders>
              <w:top w:val="single" w:sz="4" w:space="0" w:color="FFFFFF"/>
              <w:left w:val="nil"/>
              <w:bottom w:val="nil"/>
              <w:right w:val="double" w:sz="6" w:space="0" w:color="BFBFBF"/>
            </w:tcBorders>
            <w:shd w:val="clear" w:color="000000" w:fill="244062"/>
            <w:vAlign w:val="center"/>
            <w:hideMark/>
          </w:tcPr>
          <w:p w14:paraId="2C0BC15C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Udio</w:t>
            </w:r>
          </w:p>
        </w:tc>
        <w:tc>
          <w:tcPr>
            <w:tcW w:w="143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5A05ACB4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Dobit ili gubitak razdoblja</w:t>
            </w:r>
          </w:p>
        </w:tc>
      </w:tr>
      <w:tr w:rsidR="002E2F80" w:rsidRPr="002E2F80" w14:paraId="5E21652D" w14:textId="77777777" w:rsidTr="002E2F80">
        <w:trPr>
          <w:trHeight w:hRule="exact" w:val="301"/>
          <w:jc w:val="center"/>
        </w:trPr>
        <w:tc>
          <w:tcPr>
            <w:tcW w:w="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7D0305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1.</w:t>
            </w: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E98FFC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82031999604</w:t>
            </w:r>
          </w:p>
        </w:tc>
        <w:tc>
          <w:tcPr>
            <w:tcW w:w="33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5A717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ZAGREBAČKI ELEKTRIČNI TRAMVAJ d.o.o.</w:t>
            </w:r>
          </w:p>
        </w:tc>
        <w:tc>
          <w:tcPr>
            <w:tcW w:w="173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27F073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Zagreb</w:t>
            </w:r>
          </w:p>
        </w:tc>
        <w:tc>
          <w:tcPr>
            <w:tcW w:w="1032" w:type="dxa"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05679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1.253.498</w:t>
            </w:r>
          </w:p>
        </w:tc>
        <w:tc>
          <w:tcPr>
            <w:tcW w:w="669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584252F9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31,0%</w:t>
            </w:r>
          </w:p>
        </w:tc>
        <w:tc>
          <w:tcPr>
            <w:tcW w:w="14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75ED68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 xml:space="preserve">693 </w:t>
            </w:r>
          </w:p>
        </w:tc>
      </w:tr>
      <w:tr w:rsidR="002E2F80" w:rsidRPr="002E2F80" w14:paraId="290A420D" w14:textId="77777777" w:rsidTr="002E2F80">
        <w:trPr>
          <w:trHeight w:hRule="exact" w:val="301"/>
          <w:jc w:val="center"/>
        </w:trPr>
        <w:tc>
          <w:tcPr>
            <w:tcW w:w="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336A9B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2.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D8E6E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96107776452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9DEECC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ČAZMATRANS PROMET 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DEE3FA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Čazma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C9576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198.256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615E86B7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4,9%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2F2D3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 xml:space="preserve">8.128 </w:t>
            </w:r>
          </w:p>
        </w:tc>
      </w:tr>
      <w:tr w:rsidR="002E2F80" w:rsidRPr="002E2F80" w14:paraId="653FA692" w14:textId="77777777" w:rsidTr="002E2F80">
        <w:trPr>
          <w:trHeight w:hRule="exact" w:val="301"/>
          <w:jc w:val="center"/>
        </w:trPr>
        <w:tc>
          <w:tcPr>
            <w:tcW w:w="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94A573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3.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9BE427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19819724166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C688F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AUTOTRANS d.d.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941F39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Cres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EAF69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183.003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761C49F3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4,5%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DE464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 xml:space="preserve">6.432 </w:t>
            </w:r>
          </w:p>
        </w:tc>
      </w:tr>
      <w:tr w:rsidR="002E2F80" w:rsidRPr="002E2F80" w14:paraId="1F30FB2C" w14:textId="77777777" w:rsidTr="002E2F80">
        <w:trPr>
          <w:trHeight w:hRule="exact" w:val="301"/>
          <w:jc w:val="center"/>
        </w:trPr>
        <w:tc>
          <w:tcPr>
            <w:tcW w:w="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E60B80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4.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540CE1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13421314997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F1CB5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PROMET 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7D2718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Split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1874D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157.073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61C08F07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3,9%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3BFBA0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 xml:space="preserve">518 </w:t>
            </w:r>
          </w:p>
        </w:tc>
      </w:tr>
      <w:tr w:rsidR="002E2F80" w:rsidRPr="002E2F80" w14:paraId="74CBFEFD" w14:textId="77777777" w:rsidTr="002E2F80">
        <w:trPr>
          <w:trHeight w:hRule="exact" w:val="301"/>
          <w:jc w:val="center"/>
        </w:trPr>
        <w:tc>
          <w:tcPr>
            <w:tcW w:w="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09CDA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5.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E372E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96677183827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7AD56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FLIXBUS CEE SOUTH 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919CFA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Zagreb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FE97B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141.106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67ECD22C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3,5%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7CE8F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 xml:space="preserve">3.352 </w:t>
            </w:r>
          </w:p>
        </w:tc>
      </w:tr>
      <w:tr w:rsidR="002E2F80" w:rsidRPr="002E2F80" w14:paraId="698370F9" w14:textId="77777777" w:rsidTr="002E2F80">
        <w:trPr>
          <w:trHeight w:hRule="exact" w:val="301"/>
          <w:jc w:val="center"/>
        </w:trPr>
        <w:tc>
          <w:tcPr>
            <w:tcW w:w="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23536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lastRenderedPageBreak/>
              <w:t>6.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0286A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19081493664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B5581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KD AUTOTROLEJ 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6C1E63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Rijeka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6A4B7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135.550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3679D7C6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3,4%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791DB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 xml:space="preserve">740 </w:t>
            </w:r>
          </w:p>
        </w:tc>
      </w:tr>
      <w:tr w:rsidR="002E2F80" w:rsidRPr="002E2F80" w14:paraId="32DA76E3" w14:textId="77777777" w:rsidTr="002E2F80">
        <w:trPr>
          <w:trHeight w:hRule="exact" w:val="301"/>
          <w:jc w:val="center"/>
        </w:trPr>
        <w:tc>
          <w:tcPr>
            <w:tcW w:w="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1E861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7.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CCEF7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96055453244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CD224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VINCEK 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4684F2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Jalkovec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717E6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88.746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680CA041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2,2%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6CC550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 xml:space="preserve">1.423 </w:t>
            </w:r>
          </w:p>
        </w:tc>
      </w:tr>
      <w:tr w:rsidR="002E2F80" w:rsidRPr="002E2F80" w14:paraId="2CEB1BD2" w14:textId="77777777" w:rsidTr="002E2F80">
        <w:trPr>
          <w:trHeight w:hRule="exact" w:val="301"/>
          <w:jc w:val="center"/>
        </w:trPr>
        <w:tc>
          <w:tcPr>
            <w:tcW w:w="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FC0BB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8.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616661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34558684527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A163AC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APP d.d.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796C17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Požega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48773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71.059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0D3D0499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1,8%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60F6F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 xml:space="preserve">4.943 </w:t>
            </w:r>
          </w:p>
        </w:tc>
      </w:tr>
      <w:tr w:rsidR="002E2F80" w:rsidRPr="002E2F80" w14:paraId="26874A58" w14:textId="77777777" w:rsidTr="002E2F80">
        <w:trPr>
          <w:trHeight w:hRule="exact" w:val="301"/>
          <w:jc w:val="center"/>
        </w:trPr>
        <w:tc>
          <w:tcPr>
            <w:tcW w:w="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722ED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9.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3BD8F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96779488329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BDA28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GPP 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5D2E1D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Osijek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ED27F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69.094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7E9E224E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1,7%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97182E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-226 </w:t>
            </w:r>
          </w:p>
        </w:tc>
      </w:tr>
      <w:tr w:rsidR="002E2F80" w:rsidRPr="002E2F80" w14:paraId="192EAE62" w14:textId="77777777" w:rsidTr="002E2F80">
        <w:trPr>
          <w:trHeight w:hRule="exact" w:val="301"/>
          <w:jc w:val="center"/>
        </w:trPr>
        <w:tc>
          <w:tcPr>
            <w:tcW w:w="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BDD33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10.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1AF17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36411681446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6DCB9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LIBERTAS-DUBROVNIK 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0E771B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Komolac - Mokošica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C0EBE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68.677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48CE50E3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>1,7%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01E158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color w:val="16365C"/>
                <w:sz w:val="16"/>
                <w:szCs w:val="16"/>
              </w:rPr>
              <w:t xml:space="preserve">118 </w:t>
            </w:r>
          </w:p>
        </w:tc>
      </w:tr>
      <w:tr w:rsidR="002E2F80" w:rsidRPr="002E2F80" w14:paraId="0522D325" w14:textId="77777777" w:rsidTr="002E2F80">
        <w:trPr>
          <w:trHeight w:hRule="exact" w:val="301"/>
          <w:jc w:val="center"/>
        </w:trPr>
        <w:tc>
          <w:tcPr>
            <w:tcW w:w="6762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EE4AF08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Ukupno top 10 poduzetnika po UP u djelatnosti 49.3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61BA00C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2.366.062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FFFFFF"/>
              <w:right w:val="double" w:sz="6" w:space="0" w:color="BFBFBF"/>
            </w:tcBorders>
            <w:shd w:val="clear" w:color="000000" w:fill="D9D9D9"/>
            <w:noWrap/>
            <w:vAlign w:val="center"/>
            <w:hideMark/>
          </w:tcPr>
          <w:p w14:paraId="3CD7B38B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58,6%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A0FA467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26.121</w:t>
            </w:r>
          </w:p>
        </w:tc>
      </w:tr>
      <w:tr w:rsidR="002E2F80" w:rsidRPr="002E2F80" w14:paraId="300DFABD" w14:textId="77777777" w:rsidTr="002E2F80">
        <w:trPr>
          <w:trHeight w:hRule="exact" w:val="301"/>
          <w:jc w:val="center"/>
        </w:trPr>
        <w:tc>
          <w:tcPr>
            <w:tcW w:w="676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40AF01C" w14:textId="77777777" w:rsidR="002E2F80" w:rsidRPr="002E2F80" w:rsidRDefault="002E2F80" w:rsidP="002E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Ukupno svi poduzetnici (1.659) u djelatnosti 49.3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2AA2874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4.037.822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FFFFFF"/>
              <w:right w:val="double" w:sz="6" w:space="0" w:color="BFBFBF"/>
            </w:tcBorders>
            <w:shd w:val="clear" w:color="000000" w:fill="D9D9D9"/>
            <w:noWrap/>
            <w:vAlign w:val="center"/>
            <w:hideMark/>
          </w:tcPr>
          <w:p w14:paraId="64DED284" w14:textId="77777777" w:rsidR="002E2F80" w:rsidRPr="002E2F80" w:rsidRDefault="002E2F80" w:rsidP="002E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100,0%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33EECC4" w14:textId="77777777" w:rsidR="002E2F80" w:rsidRPr="002E2F80" w:rsidRDefault="002E2F80" w:rsidP="002E2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2E2F8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65.475</w:t>
            </w:r>
          </w:p>
        </w:tc>
      </w:tr>
    </w:tbl>
    <w:p w14:paraId="2358EED7" w14:textId="77777777" w:rsidR="004C4A8C" w:rsidRPr="008906FF" w:rsidRDefault="004C4A8C" w:rsidP="004C4A8C">
      <w:pPr>
        <w:spacing w:before="40" w:after="0"/>
        <w:jc w:val="both"/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</w:pPr>
      <w:r w:rsidRPr="008906FF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izvještaja, obrada GFI-a za 202</w:t>
      </w:r>
      <w:r w:rsidR="008906FF" w:rsidRPr="008906FF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1</w:t>
      </w:r>
      <w:r w:rsidRPr="008906FF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. godinu</w:t>
      </w:r>
    </w:p>
    <w:p w14:paraId="25CF8134" w14:textId="77777777" w:rsidR="004C4A8C" w:rsidRPr="00F82D51" w:rsidRDefault="004C4A8C" w:rsidP="004C4A8C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 w:rsidR="005F5C31"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skupini </w:t>
      </w:r>
      <w:r w:rsidR="005F5C31"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912FA4"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ostalog kopnenog prijevoza putnika </w:t>
      </w:r>
      <w:r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</w:t>
      </w:r>
      <w:r w:rsidR="0075258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 je </w:t>
      </w:r>
      <w:r w:rsidR="008C2251"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PROMET d.o.o.</w:t>
      </w:r>
      <w:r w:rsidR="009969D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20047" w:rsidRPr="008C22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 </w:t>
      </w:r>
      <w:r w:rsidR="008C2251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Makarske</w:t>
      </w:r>
      <w:r w:rsidR="00420047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8C2251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11,7</w:t>
      </w:r>
      <w:r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kuna)</w:t>
      </w:r>
      <w:r w:rsidR="00D674E6" w:rsidRPr="00F82D5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249C6C3A" w14:textId="77777777" w:rsidR="00287D3D" w:rsidRPr="00F877D9" w:rsidRDefault="00287D3D" w:rsidP="00287D3D">
      <w:pPr>
        <w:tabs>
          <w:tab w:val="left" w:pos="1134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Slika 1.</w:t>
      </w:r>
      <w:r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Osnovne informacije za društvo </w:t>
      </w:r>
      <w:r w:rsidR="00F877D9"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PROMET</w:t>
      </w:r>
      <w:r w:rsidRPr="00F82D5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d.o.o. prezentirane</w:t>
      </w:r>
      <w:r w:rsidRPr="00F877D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servisu info.BIZ</w:t>
      </w:r>
    </w:p>
    <w:p w14:paraId="1FF0B9B9" w14:textId="77777777" w:rsidR="00287D3D" w:rsidRPr="00F877D9" w:rsidRDefault="00826BA7" w:rsidP="00287D3D">
      <w:pPr>
        <w:tabs>
          <w:tab w:val="left" w:pos="1134"/>
          <w:tab w:val="right" w:pos="9743"/>
        </w:tabs>
        <w:spacing w:after="40" w:line="240" w:lineRule="auto"/>
        <w:ind w:left="1140" w:hanging="1140"/>
        <w:rPr>
          <w:rFonts w:ascii="Arial" w:hAnsi="Arial" w:cs="Arial"/>
          <w:color w:val="17365D" w:themeColor="text2" w:themeShade="BF"/>
          <w:sz w:val="16"/>
          <w:szCs w:val="16"/>
        </w:rPr>
      </w:pPr>
      <w:r>
        <w:rPr>
          <w:noProof/>
          <w:lang w:val="en-US"/>
        </w:rPr>
        <w:drawing>
          <wp:inline distT="0" distB="0" distL="0" distR="0" wp14:anchorId="541AE30E" wp14:editId="26856821">
            <wp:extent cx="6074796" cy="2520564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9971" cy="252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1C113" w14:textId="77777777" w:rsidR="00287D3D" w:rsidRPr="00F877D9" w:rsidRDefault="00287D3D" w:rsidP="00287D3D">
      <w:pPr>
        <w:spacing w:after="240"/>
        <w:jc w:val="both"/>
        <w:rPr>
          <w:rFonts w:ascii="Arial" w:hAnsi="Arial" w:cs="Arial"/>
          <w:i/>
          <w:color w:val="17365D" w:themeColor="text2" w:themeShade="BF"/>
          <w:sz w:val="16"/>
          <w:szCs w:val="16"/>
          <w:u w:val="single"/>
        </w:rPr>
      </w:pPr>
      <w:r w:rsidRPr="00F877D9">
        <w:rPr>
          <w:rFonts w:ascii="Arial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</w:t>
      </w:r>
      <w:r w:rsidRPr="00F877D9">
        <w:rPr>
          <w:rFonts w:ascii="Arial" w:hAnsi="Arial" w:cs="Arial"/>
          <w:i/>
          <w:color w:val="17365D" w:themeColor="text2" w:themeShade="BF"/>
          <w:sz w:val="16"/>
          <w:szCs w:val="16"/>
        </w:rPr>
        <w:t>Fina</w:t>
      </w:r>
      <w:r w:rsidR="00B646CF" w:rsidRPr="00F877D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, </w:t>
      </w:r>
      <w:r w:rsidRPr="00F877D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servis </w:t>
      </w:r>
      <w:hyperlink r:id="rId9" w:history="1">
        <w:r w:rsidRPr="00F877D9">
          <w:rPr>
            <w:rFonts w:ascii="Arial" w:hAnsi="Arial" w:cs="Arial"/>
            <w:i/>
            <w:color w:val="17365D" w:themeColor="text2" w:themeShade="BF"/>
            <w:sz w:val="16"/>
            <w:szCs w:val="16"/>
            <w:u w:val="single"/>
          </w:rPr>
          <w:t>info.BIZ</w:t>
        </w:r>
      </w:hyperlink>
    </w:p>
    <w:p w14:paraId="5128F20F" w14:textId="77777777" w:rsidR="00794043" w:rsidRPr="0011114F" w:rsidRDefault="00794043" w:rsidP="00794043">
      <w:pPr>
        <w:widowControl w:val="0"/>
        <w:spacing w:before="12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</w:t>
      </w:r>
      <w:r w:rsidR="00E82BDC">
        <w:rPr>
          <w:rFonts w:ascii="Arial" w:eastAsia="Calibri" w:hAnsi="Arial" w:cs="Arial"/>
          <w:color w:val="17365D" w:themeColor="text2" w:themeShade="BF"/>
          <w:sz w:val="20"/>
          <w:szCs w:val="20"/>
        </w:rPr>
        <w:t>razredu</w:t>
      </w:r>
      <w:r w:rsidR="00F23134"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</w:t>
      </w:r>
      <w:r w:rsidR="005C48EB"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>taksi služb</w:t>
      </w:r>
      <w:r w:rsidR="00F23134"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>e</w:t>
      </w:r>
      <w:r w:rsidR="005C48EB"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>(NKD 49.3</w:t>
      </w:r>
      <w:r w:rsidR="005C48EB"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="00F82D51">
        <w:rPr>
          <w:rFonts w:ascii="Arial" w:eastAsia="Calibri" w:hAnsi="Arial" w:cs="Arial"/>
          <w:color w:val="17365D" w:themeColor="text2" w:themeShade="BF"/>
          <w:sz w:val="20"/>
          <w:szCs w:val="20"/>
        </w:rPr>
        <w:t>)</w:t>
      </w:r>
      <w:r w:rsidR="005C48EB"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iskazan je neto gubitak (tablica </w:t>
      </w:r>
      <w:r w:rsidR="00F23134"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>2.</w:t>
      </w:r>
      <w:r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>)</w:t>
      </w:r>
      <w:r w:rsidR="00B15C28"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Najveći gubitak razdoblja u djelatnosti </w:t>
      </w:r>
      <w:r w:rsidR="003B40C3"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>NKD 49.32</w:t>
      </w:r>
      <w:r w:rsidRPr="00826BA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iskazalo je društvo </w:t>
      </w:r>
      <w:r w:rsidR="0011114F" w:rsidRPr="0011114F">
        <w:rPr>
          <w:rFonts w:ascii="Arial" w:eastAsia="Calibri" w:hAnsi="Arial" w:cs="Arial"/>
          <w:color w:val="17365D" w:themeColor="text2" w:themeShade="BF"/>
          <w:sz w:val="20"/>
          <w:szCs w:val="20"/>
        </w:rPr>
        <w:t>AUTO 10001</w:t>
      </w:r>
      <w:r w:rsidR="00826BA7" w:rsidRPr="0011114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11114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d.o.o. iz </w:t>
      </w:r>
      <w:r w:rsidR="0011114F" w:rsidRPr="0011114F">
        <w:rPr>
          <w:rFonts w:ascii="Arial" w:eastAsia="Calibri" w:hAnsi="Arial" w:cs="Arial"/>
          <w:color w:val="17365D" w:themeColor="text2" w:themeShade="BF"/>
          <w:sz w:val="20"/>
          <w:szCs w:val="20"/>
        </w:rPr>
        <w:t>Zagreba</w:t>
      </w:r>
      <w:r w:rsidRPr="0011114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u iznosu od </w:t>
      </w:r>
      <w:r w:rsidR="0011114F" w:rsidRPr="0011114F">
        <w:rPr>
          <w:rFonts w:ascii="Arial" w:eastAsia="Calibri" w:hAnsi="Arial" w:cs="Arial"/>
          <w:color w:val="17365D" w:themeColor="text2" w:themeShade="BF"/>
          <w:sz w:val="20"/>
          <w:szCs w:val="20"/>
        </w:rPr>
        <w:t>2,3</w:t>
      </w:r>
      <w:r w:rsidRPr="0011114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milijuna kuna</w:t>
      </w:r>
      <w:r w:rsidR="0011114F" w:rsidRPr="0011114F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14:paraId="2ADB028A" w14:textId="77777777" w:rsidR="00E97781" w:rsidRPr="00DC7C63" w:rsidRDefault="00E97781" w:rsidP="00E97781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FF0000"/>
          <w:sz w:val="2"/>
          <w:szCs w:val="16"/>
          <w:lang w:eastAsia="hr-HR"/>
        </w:rPr>
      </w:pPr>
    </w:p>
    <w:p w14:paraId="2EFD40D9" w14:textId="77777777" w:rsidR="0053243E" w:rsidRDefault="0053243E" w:rsidP="0053243E">
      <w:pPr>
        <w:spacing w:after="0"/>
        <w:rPr>
          <w:rFonts w:ascii="Arial" w:hAnsi="Arial" w:cs="Arial"/>
          <w:bCs/>
          <w:i/>
          <w:color w:val="17365D"/>
          <w:sz w:val="16"/>
          <w:szCs w:val="18"/>
        </w:rPr>
      </w:pPr>
      <w:r w:rsidRPr="002E02E2">
        <w:rPr>
          <w:rFonts w:ascii="Arial" w:hAnsi="Arial" w:cs="Arial"/>
          <w:bCs/>
          <w:i/>
          <w:color w:val="17365D"/>
          <w:sz w:val="16"/>
          <w:szCs w:val="18"/>
        </w:rPr>
        <w:t>Informacija o tome</w:t>
      </w:r>
      <w:r w:rsidRPr="00813A6F">
        <w:rPr>
          <w:rFonts w:ascii="Arial" w:hAnsi="Arial" w:cs="Arial"/>
          <w:bCs/>
          <w:i/>
          <w:color w:val="17365D"/>
          <w:sz w:val="16"/>
          <w:szCs w:val="18"/>
        </w:rPr>
        <w:t xml:space="preserve"> </w:t>
      </w:r>
      <w:r w:rsidRPr="00813A6F">
        <w:rPr>
          <w:rFonts w:ascii="Arial" w:hAnsi="Arial" w:cs="Arial"/>
          <w:b/>
          <w:i/>
          <w:color w:val="17365D"/>
          <w:sz w:val="16"/>
          <w:szCs w:val="18"/>
          <w:shd w:val="clear" w:color="auto" w:fill="D9D9D9"/>
        </w:rPr>
        <w:t>je li poslovni subjekt u blokadi ili ne</w:t>
      </w:r>
      <w:r w:rsidRPr="00813A6F">
        <w:rPr>
          <w:rFonts w:ascii="Arial" w:hAnsi="Arial" w:cs="Arial"/>
          <w:bCs/>
          <w:i/>
          <w:color w:val="17365D"/>
          <w:sz w:val="16"/>
          <w:szCs w:val="18"/>
        </w:rPr>
        <w:t xml:space="preserve">, dostupna je korištenjem usluge </w:t>
      </w:r>
      <w:hyperlink r:id="rId10" w:history="1">
        <w:r w:rsidRPr="00813A6F">
          <w:rPr>
            <w:rFonts w:ascii="Arial" w:hAnsi="Arial" w:cs="Arial"/>
            <w:bCs/>
            <w:i/>
            <w:color w:val="0000FF"/>
            <w:sz w:val="16"/>
            <w:szCs w:val="18"/>
            <w:u w:val="single"/>
          </w:rPr>
          <w:t>FINA InfoBlokade</w:t>
        </w:r>
      </w:hyperlink>
      <w:r w:rsidRPr="00813A6F">
        <w:rPr>
          <w:rFonts w:ascii="Arial" w:hAnsi="Arial" w:cs="Arial"/>
          <w:bCs/>
          <w:i/>
          <w:color w:val="17365D"/>
          <w:sz w:val="16"/>
          <w:szCs w:val="18"/>
        </w:rPr>
        <w:t xml:space="preserve"> slanjem SMS poruke na broj 818058, te korištenjem </w:t>
      </w:r>
      <w:hyperlink r:id="rId11" w:history="1">
        <w:r w:rsidRPr="00813A6F">
          <w:rPr>
            <w:rFonts w:ascii="Arial" w:hAnsi="Arial" w:cs="Arial"/>
            <w:bCs/>
            <w:i/>
            <w:color w:val="0000FF"/>
            <w:sz w:val="16"/>
            <w:szCs w:val="18"/>
            <w:u w:val="single"/>
          </w:rPr>
          <w:t>WEB aplikacije JRR</w:t>
        </w:r>
      </w:hyperlink>
      <w:r w:rsidRPr="00813A6F">
        <w:rPr>
          <w:rFonts w:ascii="Arial" w:hAnsi="Arial" w:cs="Arial"/>
          <w:bCs/>
          <w:i/>
          <w:color w:val="17365D"/>
          <w:sz w:val="16"/>
          <w:szCs w:val="18"/>
        </w:rPr>
        <w:t xml:space="preserve"> tj. uvidom u podatke o računima i statusu blokade poslovnih subjekata, koji se ažuriraju u </w:t>
      </w:r>
      <w:hyperlink r:id="rId12" w:history="1">
        <w:r w:rsidRPr="00813A6F">
          <w:rPr>
            <w:rFonts w:ascii="Arial" w:hAnsi="Arial" w:cs="Arial"/>
            <w:bCs/>
            <w:i/>
            <w:color w:val="0000FF"/>
            <w:sz w:val="16"/>
            <w:szCs w:val="18"/>
            <w:u w:val="single"/>
          </w:rPr>
          <w:t>Jedinstvenom registru računa</w:t>
        </w:r>
      </w:hyperlink>
      <w:r w:rsidRPr="00813A6F">
        <w:rPr>
          <w:rFonts w:ascii="Arial" w:hAnsi="Arial" w:cs="Arial"/>
          <w:bCs/>
          <w:i/>
          <w:color w:val="17365D"/>
          <w:sz w:val="16"/>
          <w:szCs w:val="18"/>
        </w:rPr>
        <w:t xml:space="preserve"> kojega u skladu sa zakonskim propisima, od 2002. godine, vodi Financijska agencija.</w:t>
      </w:r>
    </w:p>
    <w:p w14:paraId="44ADA112" w14:textId="77777777" w:rsidR="0053243E" w:rsidRPr="00813A6F" w:rsidRDefault="0053243E" w:rsidP="0053243E">
      <w:pPr>
        <w:spacing w:after="0"/>
        <w:rPr>
          <w:rFonts w:ascii="Arial" w:hAnsi="Arial" w:cs="Arial"/>
          <w:bCs/>
          <w:i/>
          <w:color w:val="17365D"/>
          <w:sz w:val="16"/>
          <w:szCs w:val="18"/>
        </w:rPr>
      </w:pP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238"/>
      </w:tblGrid>
      <w:tr w:rsidR="0053243E" w:rsidRPr="002C335A" w14:paraId="044E8740" w14:textId="77777777" w:rsidTr="00CD1FE7">
        <w:trPr>
          <w:trHeight w:val="1590"/>
          <w:jc w:val="center"/>
        </w:trPr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408FA04" w14:textId="77777777" w:rsidR="0053243E" w:rsidRPr="00813A6F" w:rsidRDefault="00C16607" w:rsidP="00CD1FE7">
            <w:pPr>
              <w:widowControl w:val="0"/>
              <w:tabs>
                <w:tab w:val="left" w:pos="343"/>
              </w:tabs>
              <w:spacing w:before="60" w:after="0"/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</w:pPr>
            <w:hyperlink r:id="rId13" w:history="1">
              <w:r w:rsidR="0053243E" w:rsidRPr="00813A6F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8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53243E" w:rsidRPr="00813A6F">
              <w:rPr>
                <w:rFonts w:ascii="Arial" w:eastAsia="Times New Roman" w:hAnsi="Arial" w:cs="Arial"/>
                <w:i/>
                <w:color w:val="0000FF"/>
                <w:sz w:val="16"/>
                <w:szCs w:val="18"/>
                <w:u w:val="single"/>
                <w:shd w:val="clear" w:color="auto" w:fill="FFFFFF"/>
                <w:lang w:eastAsia="hr-HR"/>
              </w:rPr>
              <w:t xml:space="preserve"> </w:t>
            </w:r>
            <w:r w:rsidR="0053243E" w:rsidRPr="00813A6F"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53243E" w:rsidRPr="00813A6F"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D9D9D9"/>
                <w:lang w:eastAsia="hr-HR"/>
              </w:rPr>
              <w:t xml:space="preserve">više od </w:t>
            </w:r>
            <w:r w:rsidR="0053243E" w:rsidRPr="00813A6F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8"/>
                <w:shd w:val="clear" w:color="auto" w:fill="D9D9D9"/>
                <w:lang w:eastAsia="hr-HR"/>
              </w:rPr>
              <w:t>830.000 poslovnih subjekata iz više od 30 izvora</w:t>
            </w:r>
            <w:r w:rsidR="0053243E" w:rsidRPr="00813A6F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  <w:t>.</w:t>
            </w:r>
            <w:r w:rsidR="0053243E" w:rsidRPr="00813A6F"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776C5A6B" w14:textId="77777777" w:rsidR="0053243E" w:rsidRPr="00813A6F" w:rsidRDefault="0053243E" w:rsidP="00CD1FE7">
            <w:pPr>
              <w:widowControl w:val="0"/>
              <w:tabs>
                <w:tab w:val="left" w:pos="343"/>
              </w:tabs>
              <w:spacing w:after="0"/>
              <w:rPr>
                <w:rFonts w:ascii="Arial" w:hAnsi="Arial" w:cs="Arial"/>
                <w:i/>
                <w:color w:val="0000FF"/>
                <w:sz w:val="16"/>
                <w:szCs w:val="18"/>
                <w:u w:val="single"/>
              </w:rPr>
            </w:pPr>
            <w:r w:rsidRPr="00813A6F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D9D9D9"/>
              </w:rPr>
              <w:t xml:space="preserve">Ako ste zainteresirani i </w:t>
            </w:r>
            <w:r w:rsidRPr="00813A6F">
              <w:rPr>
                <w:rFonts w:ascii="Arial" w:hAnsi="Arial" w:cs="Arial"/>
                <w:b/>
                <w:i/>
                <w:color w:val="17365D"/>
                <w:sz w:val="16"/>
                <w:szCs w:val="18"/>
                <w:shd w:val="clear" w:color="auto" w:fill="D9D9D9"/>
              </w:rPr>
              <w:t>želite ugovoriti uslugu ili kupiti veći broj paketa</w:t>
            </w:r>
            <w:r w:rsidRPr="00813A6F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F5F6F8"/>
              </w:rPr>
              <w:t>:</w:t>
            </w:r>
            <w:r w:rsidRPr="00813A6F">
              <w:rPr>
                <w:rFonts w:ascii="Arial" w:hAnsi="Arial" w:cs="Arial"/>
                <w:i/>
                <w:color w:val="244061"/>
                <w:sz w:val="16"/>
                <w:szCs w:val="18"/>
                <w:shd w:val="clear" w:color="auto" w:fill="F5F6F8"/>
              </w:rPr>
              <w:t xml:space="preserve"> </w:t>
            </w:r>
            <w:hyperlink r:id="rId14" w:history="1">
              <w:r w:rsidRPr="00813A6F">
                <w:rPr>
                  <w:rFonts w:ascii="Arial" w:hAnsi="Arial" w:cs="Arial"/>
                  <w:i/>
                  <w:color w:val="0000FF"/>
                  <w:sz w:val="16"/>
                  <w:szCs w:val="18"/>
                  <w:u w:val="single"/>
                </w:rPr>
                <w:t>prodaja@fina.hr</w:t>
              </w:r>
            </w:hyperlink>
          </w:p>
          <w:p w14:paraId="12D5BB73" w14:textId="77777777" w:rsidR="0053243E" w:rsidRPr="00F7607E" w:rsidRDefault="0053243E" w:rsidP="00CD1FE7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  <w:u w:val="single"/>
                <w:lang w:eastAsia="hr-HR"/>
              </w:rPr>
            </w:pPr>
            <w:r w:rsidRPr="00813A6F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D9D9D9"/>
              </w:rPr>
              <w:t xml:space="preserve">Ako </w:t>
            </w:r>
            <w:r w:rsidRPr="00813A6F">
              <w:rPr>
                <w:rFonts w:ascii="Arial" w:hAnsi="Arial" w:cs="Arial"/>
                <w:b/>
                <w:i/>
                <w:color w:val="17365D"/>
                <w:sz w:val="16"/>
                <w:szCs w:val="18"/>
                <w:shd w:val="clear" w:color="auto" w:fill="D9D9D9"/>
              </w:rPr>
              <w:t>trebate korisničku podršku</w:t>
            </w:r>
            <w:r w:rsidRPr="00813A6F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F5F6F8"/>
              </w:rPr>
              <w:t xml:space="preserve">: 0800 0080, </w:t>
            </w:r>
            <w:hyperlink r:id="rId15" w:history="1">
              <w:r w:rsidRPr="00813A6F">
                <w:rPr>
                  <w:rFonts w:ascii="Arial" w:hAnsi="Arial" w:cs="Arial"/>
                  <w:i/>
                  <w:color w:val="007AFF"/>
                  <w:sz w:val="16"/>
                  <w:szCs w:val="18"/>
                  <w:u w:val="single"/>
                </w:rPr>
                <w:t>info@fina.hr</w:t>
              </w:r>
            </w:hyperlink>
          </w:p>
        </w:tc>
        <w:tc>
          <w:tcPr>
            <w:tcW w:w="2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4F8EE" w14:textId="77777777" w:rsidR="0053243E" w:rsidRPr="002C335A" w:rsidRDefault="0053243E" w:rsidP="00CD1FE7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66F87DDF" wp14:editId="6601C394">
                  <wp:extent cx="1367790" cy="1113155"/>
                  <wp:effectExtent l="0" t="0" r="3810" b="0"/>
                  <wp:docPr id="3" name="Slik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74BFC" w14:textId="77777777" w:rsidR="0037582F" w:rsidRPr="007C66D1" w:rsidRDefault="0037582F" w:rsidP="00C83824">
      <w:pPr>
        <w:pBdr>
          <w:top w:val="single" w:sz="12" w:space="7" w:color="auto"/>
        </w:pBdr>
        <w:spacing w:after="0" w:line="240" w:lineRule="auto"/>
        <w:jc w:val="both"/>
        <w:rPr>
          <w:rFonts w:ascii="Arial" w:hAnsi="Arial" w:cs="Arial"/>
          <w:i/>
          <w:color w:val="17365D" w:themeColor="text2" w:themeShade="BF"/>
          <w:sz w:val="17"/>
          <w:szCs w:val="17"/>
          <w:lang w:eastAsia="hr-HR"/>
        </w:rPr>
      </w:pPr>
    </w:p>
    <w:sectPr w:rsidR="0037582F" w:rsidRPr="007C66D1" w:rsidSect="007841EF">
      <w:headerReference w:type="default" r:id="rId17"/>
      <w:type w:val="continuous"/>
      <w:pgSz w:w="11906" w:h="16838"/>
      <w:pgMar w:top="1021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CF97" w14:textId="77777777" w:rsidR="00C16607" w:rsidRDefault="00C16607" w:rsidP="00E97781">
      <w:pPr>
        <w:spacing w:after="0" w:line="240" w:lineRule="auto"/>
      </w:pPr>
      <w:r>
        <w:separator/>
      </w:r>
    </w:p>
  </w:endnote>
  <w:endnote w:type="continuationSeparator" w:id="0">
    <w:p w14:paraId="69766D1E" w14:textId="77777777" w:rsidR="00C16607" w:rsidRDefault="00C16607" w:rsidP="00E9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8581" w14:textId="77777777" w:rsidR="00C16607" w:rsidRDefault="00C16607" w:rsidP="00E97781">
      <w:pPr>
        <w:spacing w:after="0" w:line="240" w:lineRule="auto"/>
      </w:pPr>
      <w:r>
        <w:separator/>
      </w:r>
    </w:p>
  </w:footnote>
  <w:footnote w:type="continuationSeparator" w:id="0">
    <w:p w14:paraId="67488A92" w14:textId="77777777" w:rsidR="00C16607" w:rsidRDefault="00C16607" w:rsidP="00E9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EA03" w14:textId="77777777" w:rsidR="008906FF" w:rsidRDefault="008906FF" w:rsidP="00DC5CFA">
    <w:pPr>
      <w:pStyle w:val="Header"/>
      <w:spacing w:after="120" w:line="240" w:lineRule="auto"/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0E33DCBD" wp14:editId="76A7FE7F">
          <wp:simplePos x="0" y="0"/>
          <wp:positionH relativeFrom="column">
            <wp:posOffset>-14605</wp:posOffset>
          </wp:positionH>
          <wp:positionV relativeFrom="paragraph">
            <wp:posOffset>-70485</wp:posOffset>
          </wp:positionV>
          <wp:extent cx="1085215" cy="215900"/>
          <wp:effectExtent l="0" t="0" r="635" b="0"/>
          <wp:wrapNone/>
          <wp:docPr id="1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23CDC"/>
    <w:multiLevelType w:val="hybridMultilevel"/>
    <w:tmpl w:val="F07C5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781"/>
    <w:rsid w:val="00006126"/>
    <w:rsid w:val="000119BA"/>
    <w:rsid w:val="0001365A"/>
    <w:rsid w:val="00015175"/>
    <w:rsid w:val="00023384"/>
    <w:rsid w:val="00041298"/>
    <w:rsid w:val="00044726"/>
    <w:rsid w:val="0006230B"/>
    <w:rsid w:val="0007093C"/>
    <w:rsid w:val="0007629D"/>
    <w:rsid w:val="00077F56"/>
    <w:rsid w:val="00080F26"/>
    <w:rsid w:val="000919F4"/>
    <w:rsid w:val="000A04B7"/>
    <w:rsid w:val="000A0D09"/>
    <w:rsid w:val="000A15AB"/>
    <w:rsid w:val="000B0816"/>
    <w:rsid w:val="000C0E4B"/>
    <w:rsid w:val="000C641F"/>
    <w:rsid w:val="000D2C1A"/>
    <w:rsid w:val="000D6B7A"/>
    <w:rsid w:val="000E6B0F"/>
    <w:rsid w:val="000F0F0B"/>
    <w:rsid w:val="00100E53"/>
    <w:rsid w:val="00101DF2"/>
    <w:rsid w:val="00107DFA"/>
    <w:rsid w:val="0011114F"/>
    <w:rsid w:val="00117B18"/>
    <w:rsid w:val="00117CEF"/>
    <w:rsid w:val="00123919"/>
    <w:rsid w:val="0012565A"/>
    <w:rsid w:val="0013251B"/>
    <w:rsid w:val="00150396"/>
    <w:rsid w:val="00152430"/>
    <w:rsid w:val="001562EF"/>
    <w:rsid w:val="00156AFE"/>
    <w:rsid w:val="00173FC8"/>
    <w:rsid w:val="001848D0"/>
    <w:rsid w:val="0019136C"/>
    <w:rsid w:val="0019158F"/>
    <w:rsid w:val="0019786D"/>
    <w:rsid w:val="001A5505"/>
    <w:rsid w:val="001B0F1F"/>
    <w:rsid w:val="001B1228"/>
    <w:rsid w:val="001C75BE"/>
    <w:rsid w:val="001D0E15"/>
    <w:rsid w:val="001D7304"/>
    <w:rsid w:val="001F56D1"/>
    <w:rsid w:val="00207396"/>
    <w:rsid w:val="002238D4"/>
    <w:rsid w:val="00232113"/>
    <w:rsid w:val="00234CE2"/>
    <w:rsid w:val="0024093F"/>
    <w:rsid w:val="0024428C"/>
    <w:rsid w:val="002523DC"/>
    <w:rsid w:val="00265B93"/>
    <w:rsid w:val="00266313"/>
    <w:rsid w:val="002676A1"/>
    <w:rsid w:val="002709C6"/>
    <w:rsid w:val="00271401"/>
    <w:rsid w:val="00277996"/>
    <w:rsid w:val="00277C98"/>
    <w:rsid w:val="002826C5"/>
    <w:rsid w:val="0028563C"/>
    <w:rsid w:val="00287B2A"/>
    <w:rsid w:val="00287D3D"/>
    <w:rsid w:val="00290C05"/>
    <w:rsid w:val="002A009C"/>
    <w:rsid w:val="002A6D4A"/>
    <w:rsid w:val="002A7CC3"/>
    <w:rsid w:val="002B566E"/>
    <w:rsid w:val="002C0A6E"/>
    <w:rsid w:val="002C1C2D"/>
    <w:rsid w:val="002C703A"/>
    <w:rsid w:val="002C704B"/>
    <w:rsid w:val="002D5221"/>
    <w:rsid w:val="002D5BB8"/>
    <w:rsid w:val="002E094E"/>
    <w:rsid w:val="002E1A0E"/>
    <w:rsid w:val="002E20EE"/>
    <w:rsid w:val="002E2F80"/>
    <w:rsid w:val="002E72D5"/>
    <w:rsid w:val="00304850"/>
    <w:rsid w:val="003070FA"/>
    <w:rsid w:val="003078F3"/>
    <w:rsid w:val="00310FE3"/>
    <w:rsid w:val="00311D23"/>
    <w:rsid w:val="00314558"/>
    <w:rsid w:val="00344419"/>
    <w:rsid w:val="00350CCD"/>
    <w:rsid w:val="00363E11"/>
    <w:rsid w:val="00365A73"/>
    <w:rsid w:val="0036768D"/>
    <w:rsid w:val="003746FD"/>
    <w:rsid w:val="0037582F"/>
    <w:rsid w:val="003A642F"/>
    <w:rsid w:val="003A7998"/>
    <w:rsid w:val="003B40C3"/>
    <w:rsid w:val="003C00B4"/>
    <w:rsid w:val="003C56F0"/>
    <w:rsid w:val="003D1726"/>
    <w:rsid w:val="003D54B4"/>
    <w:rsid w:val="003E3A6F"/>
    <w:rsid w:val="003E4963"/>
    <w:rsid w:val="003F0DD4"/>
    <w:rsid w:val="003F1FC9"/>
    <w:rsid w:val="00404132"/>
    <w:rsid w:val="00406FC1"/>
    <w:rsid w:val="004143E2"/>
    <w:rsid w:val="00420047"/>
    <w:rsid w:val="00424047"/>
    <w:rsid w:val="00440D15"/>
    <w:rsid w:val="004422E9"/>
    <w:rsid w:val="00443A0A"/>
    <w:rsid w:val="0044557E"/>
    <w:rsid w:val="00447D31"/>
    <w:rsid w:val="004563B1"/>
    <w:rsid w:val="00465326"/>
    <w:rsid w:val="004869A3"/>
    <w:rsid w:val="00495172"/>
    <w:rsid w:val="004B4CE1"/>
    <w:rsid w:val="004C134A"/>
    <w:rsid w:val="004C4A8C"/>
    <w:rsid w:val="004C56E3"/>
    <w:rsid w:val="004C79A7"/>
    <w:rsid w:val="004E0393"/>
    <w:rsid w:val="004E2705"/>
    <w:rsid w:val="004E366D"/>
    <w:rsid w:val="004E5C91"/>
    <w:rsid w:val="004E6571"/>
    <w:rsid w:val="004F132D"/>
    <w:rsid w:val="004F720B"/>
    <w:rsid w:val="00500B19"/>
    <w:rsid w:val="00507849"/>
    <w:rsid w:val="00517F49"/>
    <w:rsid w:val="005238C8"/>
    <w:rsid w:val="00525557"/>
    <w:rsid w:val="00526D73"/>
    <w:rsid w:val="0053243E"/>
    <w:rsid w:val="005333E7"/>
    <w:rsid w:val="005404CC"/>
    <w:rsid w:val="0055234D"/>
    <w:rsid w:val="005621CD"/>
    <w:rsid w:val="005738E7"/>
    <w:rsid w:val="00585175"/>
    <w:rsid w:val="00592DB2"/>
    <w:rsid w:val="0059742D"/>
    <w:rsid w:val="005A00AD"/>
    <w:rsid w:val="005A5CED"/>
    <w:rsid w:val="005C48EB"/>
    <w:rsid w:val="005C5B25"/>
    <w:rsid w:val="005D024A"/>
    <w:rsid w:val="005E31C3"/>
    <w:rsid w:val="005E7D2F"/>
    <w:rsid w:val="005F14FA"/>
    <w:rsid w:val="005F5C31"/>
    <w:rsid w:val="00620104"/>
    <w:rsid w:val="00627344"/>
    <w:rsid w:val="0063433C"/>
    <w:rsid w:val="00640833"/>
    <w:rsid w:val="00643513"/>
    <w:rsid w:val="00646516"/>
    <w:rsid w:val="00656470"/>
    <w:rsid w:val="00663590"/>
    <w:rsid w:val="00671EA1"/>
    <w:rsid w:val="006755C8"/>
    <w:rsid w:val="00684426"/>
    <w:rsid w:val="00693AEB"/>
    <w:rsid w:val="006A79B8"/>
    <w:rsid w:val="006B10EB"/>
    <w:rsid w:val="006C1BC3"/>
    <w:rsid w:val="006D2202"/>
    <w:rsid w:val="006E0BF1"/>
    <w:rsid w:val="006E17A5"/>
    <w:rsid w:val="006F4CCE"/>
    <w:rsid w:val="00711A30"/>
    <w:rsid w:val="00727904"/>
    <w:rsid w:val="007350D5"/>
    <w:rsid w:val="00752585"/>
    <w:rsid w:val="00776E50"/>
    <w:rsid w:val="007841EF"/>
    <w:rsid w:val="00787703"/>
    <w:rsid w:val="0079187F"/>
    <w:rsid w:val="00792201"/>
    <w:rsid w:val="007923F7"/>
    <w:rsid w:val="00794043"/>
    <w:rsid w:val="007A28E6"/>
    <w:rsid w:val="007A4649"/>
    <w:rsid w:val="007B2791"/>
    <w:rsid w:val="007C66D1"/>
    <w:rsid w:val="007C6860"/>
    <w:rsid w:val="007E18F5"/>
    <w:rsid w:val="007E35FA"/>
    <w:rsid w:val="007E58B4"/>
    <w:rsid w:val="008049D8"/>
    <w:rsid w:val="008134A5"/>
    <w:rsid w:val="00820793"/>
    <w:rsid w:val="0082125B"/>
    <w:rsid w:val="008216C6"/>
    <w:rsid w:val="00824835"/>
    <w:rsid w:val="00826BA7"/>
    <w:rsid w:val="00833085"/>
    <w:rsid w:val="00834693"/>
    <w:rsid w:val="00840772"/>
    <w:rsid w:val="00851FD0"/>
    <w:rsid w:val="008567ED"/>
    <w:rsid w:val="008647D8"/>
    <w:rsid w:val="00864F02"/>
    <w:rsid w:val="008906FF"/>
    <w:rsid w:val="008A31C7"/>
    <w:rsid w:val="008A39CF"/>
    <w:rsid w:val="008B16EA"/>
    <w:rsid w:val="008B688B"/>
    <w:rsid w:val="008B799A"/>
    <w:rsid w:val="008C2251"/>
    <w:rsid w:val="008F0208"/>
    <w:rsid w:val="008F7D89"/>
    <w:rsid w:val="00901480"/>
    <w:rsid w:val="0090616B"/>
    <w:rsid w:val="0091008E"/>
    <w:rsid w:val="009116A0"/>
    <w:rsid w:val="00912FA4"/>
    <w:rsid w:val="00922D7B"/>
    <w:rsid w:val="00937479"/>
    <w:rsid w:val="00945E60"/>
    <w:rsid w:val="00952F5B"/>
    <w:rsid w:val="0096031B"/>
    <w:rsid w:val="00961B6D"/>
    <w:rsid w:val="00966DEB"/>
    <w:rsid w:val="009724F1"/>
    <w:rsid w:val="00976147"/>
    <w:rsid w:val="0097749B"/>
    <w:rsid w:val="009825AF"/>
    <w:rsid w:val="00984AB5"/>
    <w:rsid w:val="00991E6F"/>
    <w:rsid w:val="009969DB"/>
    <w:rsid w:val="009B615A"/>
    <w:rsid w:val="00A053FB"/>
    <w:rsid w:val="00A166C9"/>
    <w:rsid w:val="00A269D4"/>
    <w:rsid w:val="00A351C9"/>
    <w:rsid w:val="00A40318"/>
    <w:rsid w:val="00A458FF"/>
    <w:rsid w:val="00A63058"/>
    <w:rsid w:val="00A65C3A"/>
    <w:rsid w:val="00A66815"/>
    <w:rsid w:val="00A86240"/>
    <w:rsid w:val="00A94CFB"/>
    <w:rsid w:val="00A94F5B"/>
    <w:rsid w:val="00AA2118"/>
    <w:rsid w:val="00AB3074"/>
    <w:rsid w:val="00AE351A"/>
    <w:rsid w:val="00B0580C"/>
    <w:rsid w:val="00B15C28"/>
    <w:rsid w:val="00B249C4"/>
    <w:rsid w:val="00B2638D"/>
    <w:rsid w:val="00B30C9F"/>
    <w:rsid w:val="00B31431"/>
    <w:rsid w:val="00B37250"/>
    <w:rsid w:val="00B37EC9"/>
    <w:rsid w:val="00B41306"/>
    <w:rsid w:val="00B41F76"/>
    <w:rsid w:val="00B47061"/>
    <w:rsid w:val="00B55C65"/>
    <w:rsid w:val="00B6224D"/>
    <w:rsid w:val="00B646CF"/>
    <w:rsid w:val="00B7663D"/>
    <w:rsid w:val="00B82C10"/>
    <w:rsid w:val="00B831F4"/>
    <w:rsid w:val="00B92F62"/>
    <w:rsid w:val="00BA0EFB"/>
    <w:rsid w:val="00BA7D81"/>
    <w:rsid w:val="00BB4B9D"/>
    <w:rsid w:val="00BB4E8D"/>
    <w:rsid w:val="00BB6C04"/>
    <w:rsid w:val="00BC5D7B"/>
    <w:rsid w:val="00BD5E37"/>
    <w:rsid w:val="00BF3047"/>
    <w:rsid w:val="00C028D4"/>
    <w:rsid w:val="00C06A51"/>
    <w:rsid w:val="00C16607"/>
    <w:rsid w:val="00C169E9"/>
    <w:rsid w:val="00C51229"/>
    <w:rsid w:val="00C51D71"/>
    <w:rsid w:val="00C57B15"/>
    <w:rsid w:val="00C708B2"/>
    <w:rsid w:val="00C72D96"/>
    <w:rsid w:val="00C73187"/>
    <w:rsid w:val="00C733B9"/>
    <w:rsid w:val="00C83824"/>
    <w:rsid w:val="00C84E5B"/>
    <w:rsid w:val="00C851D5"/>
    <w:rsid w:val="00C976C8"/>
    <w:rsid w:val="00CA7214"/>
    <w:rsid w:val="00CB0383"/>
    <w:rsid w:val="00CB35D2"/>
    <w:rsid w:val="00CB4155"/>
    <w:rsid w:val="00CD10C6"/>
    <w:rsid w:val="00CD12F8"/>
    <w:rsid w:val="00CD1476"/>
    <w:rsid w:val="00CD1AAF"/>
    <w:rsid w:val="00CE13AE"/>
    <w:rsid w:val="00CE3B07"/>
    <w:rsid w:val="00CF57BF"/>
    <w:rsid w:val="00D21AA8"/>
    <w:rsid w:val="00D24D79"/>
    <w:rsid w:val="00D26A64"/>
    <w:rsid w:val="00D26EBB"/>
    <w:rsid w:val="00D31194"/>
    <w:rsid w:val="00D35553"/>
    <w:rsid w:val="00D43F9A"/>
    <w:rsid w:val="00D451B5"/>
    <w:rsid w:val="00D55155"/>
    <w:rsid w:val="00D63360"/>
    <w:rsid w:val="00D63C53"/>
    <w:rsid w:val="00D674E6"/>
    <w:rsid w:val="00D809C6"/>
    <w:rsid w:val="00D925A9"/>
    <w:rsid w:val="00D972E6"/>
    <w:rsid w:val="00DA5500"/>
    <w:rsid w:val="00DB5805"/>
    <w:rsid w:val="00DB7983"/>
    <w:rsid w:val="00DC267F"/>
    <w:rsid w:val="00DC5CFA"/>
    <w:rsid w:val="00DC7C63"/>
    <w:rsid w:val="00DD0A2D"/>
    <w:rsid w:val="00DD3347"/>
    <w:rsid w:val="00DD3D9D"/>
    <w:rsid w:val="00DD4AEE"/>
    <w:rsid w:val="00DD752B"/>
    <w:rsid w:val="00DE07EC"/>
    <w:rsid w:val="00E04786"/>
    <w:rsid w:val="00E14156"/>
    <w:rsid w:val="00E20882"/>
    <w:rsid w:val="00E41B73"/>
    <w:rsid w:val="00E47B36"/>
    <w:rsid w:val="00E50AE9"/>
    <w:rsid w:val="00E55E73"/>
    <w:rsid w:val="00E62767"/>
    <w:rsid w:val="00E67FEB"/>
    <w:rsid w:val="00E72ACF"/>
    <w:rsid w:val="00E76D71"/>
    <w:rsid w:val="00E82BDC"/>
    <w:rsid w:val="00E8651F"/>
    <w:rsid w:val="00E9254A"/>
    <w:rsid w:val="00E97781"/>
    <w:rsid w:val="00EA0254"/>
    <w:rsid w:val="00EA63A4"/>
    <w:rsid w:val="00EC60D8"/>
    <w:rsid w:val="00ED3C14"/>
    <w:rsid w:val="00EE3DE1"/>
    <w:rsid w:val="00EF6A47"/>
    <w:rsid w:val="00F0030F"/>
    <w:rsid w:val="00F01CDD"/>
    <w:rsid w:val="00F02A19"/>
    <w:rsid w:val="00F166D0"/>
    <w:rsid w:val="00F23134"/>
    <w:rsid w:val="00F314A5"/>
    <w:rsid w:val="00F401A2"/>
    <w:rsid w:val="00F44DD1"/>
    <w:rsid w:val="00F506C5"/>
    <w:rsid w:val="00F523A7"/>
    <w:rsid w:val="00F60989"/>
    <w:rsid w:val="00F61526"/>
    <w:rsid w:val="00F62110"/>
    <w:rsid w:val="00F67653"/>
    <w:rsid w:val="00F74AD9"/>
    <w:rsid w:val="00F75724"/>
    <w:rsid w:val="00F82D51"/>
    <w:rsid w:val="00F877D9"/>
    <w:rsid w:val="00F9249B"/>
    <w:rsid w:val="00F948ED"/>
    <w:rsid w:val="00F95222"/>
    <w:rsid w:val="00FA05A6"/>
    <w:rsid w:val="00FA10BE"/>
    <w:rsid w:val="00FA46E1"/>
    <w:rsid w:val="00FC5A3C"/>
    <w:rsid w:val="00FC64DD"/>
    <w:rsid w:val="00FD2E92"/>
    <w:rsid w:val="00FD5556"/>
    <w:rsid w:val="00FD77E1"/>
    <w:rsid w:val="00FE0AD3"/>
    <w:rsid w:val="00FE7BCC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4C163"/>
  <w15:docId w15:val="{E91DEDF2-36C5-43BE-8A08-99DEEEB3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78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97781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rsid w:val="00E97781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E977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81"/>
  </w:style>
  <w:style w:type="paragraph" w:styleId="ListParagraph">
    <w:name w:val="List Paragraph"/>
    <w:basedOn w:val="Normal"/>
    <w:uiPriority w:val="34"/>
    <w:qFormat/>
    <w:rsid w:val="00D809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325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251B"/>
    <w:rPr>
      <w:sz w:val="20"/>
      <w:szCs w:val="20"/>
    </w:rPr>
  </w:style>
  <w:style w:type="character" w:customStyle="1" w:styleId="c41">
    <w:name w:val="c41"/>
    <w:basedOn w:val="DefaultParagraphFont"/>
    <w:rsid w:val="00311D23"/>
  </w:style>
  <w:style w:type="character" w:customStyle="1" w:styleId="c40">
    <w:name w:val="c40"/>
    <w:basedOn w:val="DefaultParagraphFont"/>
    <w:rsid w:val="00440D15"/>
  </w:style>
  <w:style w:type="character" w:customStyle="1" w:styleId="c35">
    <w:name w:val="c35"/>
    <w:basedOn w:val="DefaultParagraphFont"/>
    <w:rsid w:val="00B6224D"/>
  </w:style>
  <w:style w:type="character" w:customStyle="1" w:styleId="fmt-integer">
    <w:name w:val="fmt-integer"/>
    <w:basedOn w:val="DefaultParagraphFont"/>
    <w:rsid w:val="008216C6"/>
  </w:style>
  <w:style w:type="character" w:styleId="FollowedHyperlink">
    <w:name w:val="FollowedHyperlink"/>
    <w:basedOn w:val="DefaultParagraphFont"/>
    <w:uiPriority w:val="99"/>
    <w:semiHidden/>
    <w:unhideWhenUsed/>
    <w:rsid w:val="000C641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7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4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B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na.hr/info.bi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.hr/Default.aspx?sec=97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rr.fina.hr/jr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fina.hr" TargetMode="External"/><Relationship Id="rId10" Type="http://schemas.openxmlformats.org/officeDocument/2006/relationships/hyperlink" Target="http://www.fina.hr/Default.aspx?sec=153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ina.hr/info.biz" TargetMode="External"/><Relationship Id="rId14" Type="http://schemas.openxmlformats.org/officeDocument/2006/relationships/hyperlink" Target="mailto:prodaja@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7E77-536B-4C77-A223-A46A5546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1498</Words>
  <Characters>8541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 Stojanović</cp:lastModifiedBy>
  <cp:revision>50</cp:revision>
  <dcterms:created xsi:type="dcterms:W3CDTF">2022-01-13T11:07:00Z</dcterms:created>
  <dcterms:modified xsi:type="dcterms:W3CDTF">2023-01-13T11:56:00Z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2023-01-13T11:49:46Z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b609b767-94de-4e3b-abb2-dc0bcc580a2c</vt:lpwstr>
  </property>
  <property fmtid="{D5CDD505-2E9C-101B-9397-08002B2CF9AE}" pid="8" name="MSIP_Label_af918248-9eb2-405f-9462-498831db6fe7_ContentBits">
    <vt:lpwstr>0</vt:lpwstr>
  </property>
</Properties>
</file>