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B6" w:rsidRPr="009A7F59" w:rsidRDefault="006C712A" w:rsidP="00270E84">
      <w:pPr>
        <w:spacing w:before="240" w:after="120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INFORMACIJA O BROJU NOVOOSNOVANIH DRUŠTAVA I OBRTA PUTEM SERVISA </w:t>
      </w:r>
      <w:proofErr w:type="spellStart"/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HITRO.HR</w:t>
      </w:r>
      <w:proofErr w:type="spellEnd"/>
    </w:p>
    <w:p w:rsidR="00F802B6" w:rsidRPr="009A7F59" w:rsidRDefault="00F802B6" w:rsidP="00CA7BB2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Preduvjeti za pokretanje malih tvrtki, organiziranih kao jednostavna društva sa ograničenom odgovornošću (j.d.o.o.), u Hrvatskoj su stvoreni 18. listopada 2012. godine - kada je stupio na snagu Zakon o trgovačkim društvima (NN 152/11, s izmjenama i dopunam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>a 111/12,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68/13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 xml:space="preserve"> i 110/15)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</w:p>
    <w:p w:rsidR="00BD2048" w:rsidRPr="009A7F59" w:rsidRDefault="00F802B6" w:rsidP="006650A8">
      <w:pPr>
        <w:spacing w:before="180" w:after="120"/>
        <w:jc w:val="both"/>
        <w:rPr>
          <w:rFonts w:ascii="Arial" w:hAnsi="Arial" w:cs="Arial"/>
          <w:color w:val="244061" w:themeColor="accent1" w:themeShade="80"/>
          <w:sz w:val="19"/>
          <w:szCs w:val="19"/>
        </w:rPr>
      </w:pP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Grafikon 1</w:t>
      </w:r>
      <w:r w:rsidR="0057176B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.</w:t>
      </w:r>
      <w:r w:rsidR="00BD2048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 xml:space="preserve"> i 2</w:t>
      </w: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.</w:t>
      </w:r>
      <w:r w:rsidR="007D7D9E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6650A8" w:rsidRPr="009A7F59">
        <w:rPr>
          <w:rFonts w:ascii="Arial" w:hAnsi="Arial" w:cs="Arial"/>
          <w:color w:val="244061" w:themeColor="accent1" w:themeShade="80"/>
          <w:sz w:val="19"/>
          <w:szCs w:val="19"/>
        </w:rPr>
        <w:t>B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roj otvorenih </w:t>
      </w:r>
      <w:r w:rsidR="006D5E63">
        <w:rPr>
          <w:rFonts w:ascii="Arial" w:hAnsi="Arial" w:cs="Arial"/>
          <w:color w:val="244061" w:themeColor="accent1" w:themeShade="80"/>
          <w:sz w:val="19"/>
          <w:szCs w:val="19"/>
        </w:rPr>
        <w:t>društava i obrta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u 201</w:t>
      </w:r>
      <w:r w:rsidR="001D34D5">
        <w:rPr>
          <w:rFonts w:ascii="Arial" w:hAnsi="Arial" w:cs="Arial"/>
          <w:color w:val="244061" w:themeColor="accent1" w:themeShade="80"/>
          <w:sz w:val="19"/>
          <w:szCs w:val="19"/>
        </w:rPr>
        <w:t>5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. i </w:t>
      </w:r>
      <w:r w:rsidR="00BD2048" w:rsidRPr="009A7F59">
        <w:rPr>
          <w:rFonts w:ascii="Arial" w:hAnsi="Arial" w:cs="Arial"/>
          <w:color w:val="244061" w:themeColor="accent1" w:themeShade="80"/>
          <w:sz w:val="19"/>
          <w:szCs w:val="19"/>
        </w:rPr>
        <w:t>201</w:t>
      </w:r>
      <w:r w:rsidR="001D34D5">
        <w:rPr>
          <w:rFonts w:ascii="Arial" w:hAnsi="Arial" w:cs="Arial"/>
          <w:color w:val="244061" w:themeColor="accent1" w:themeShade="80"/>
          <w:sz w:val="19"/>
          <w:szCs w:val="19"/>
        </w:rPr>
        <w:t>6</w:t>
      </w:r>
      <w:r w:rsidR="00BD2048" w:rsidRPr="009A7F59">
        <w:rPr>
          <w:rFonts w:ascii="Arial" w:hAnsi="Arial" w:cs="Arial"/>
          <w:color w:val="244061" w:themeColor="accent1" w:themeShade="80"/>
          <w:sz w:val="19"/>
          <w:szCs w:val="19"/>
        </w:rPr>
        <w:t>. godini</w:t>
      </w:r>
      <w:r w:rsidR="00CD384C" w:rsidRPr="009A7F59">
        <w:rPr>
          <w:rFonts w:ascii="Arial" w:hAnsi="Arial" w:cs="Arial"/>
          <w:color w:val="244061" w:themeColor="accent1" w:themeShade="80"/>
          <w:sz w:val="19"/>
          <w:szCs w:val="19"/>
        </w:rPr>
        <w:t>.</w:t>
      </w:r>
    </w:p>
    <w:p w:rsidR="00CD384C" w:rsidRPr="006650A8" w:rsidRDefault="00BD2048" w:rsidP="006650A8">
      <w:pPr>
        <w:spacing w:after="0"/>
        <w:jc w:val="both"/>
        <w:rPr>
          <w:rFonts w:ascii="Arial" w:hAnsi="Arial" w:cs="Arial"/>
          <w:color w:val="0F243E"/>
          <w:sz w:val="20"/>
          <w:szCs w:val="20"/>
        </w:rPr>
      </w:pPr>
      <w:r w:rsidRPr="006650A8">
        <w:rPr>
          <w:noProof/>
          <w:color w:val="0F243E"/>
          <w:sz w:val="24"/>
          <w:szCs w:val="24"/>
          <w:lang w:eastAsia="hr-HR"/>
        </w:rPr>
        <w:drawing>
          <wp:inline distT="0" distB="0" distL="0" distR="0" wp14:anchorId="7FEF46FC" wp14:editId="19832F81">
            <wp:extent cx="2952000" cy="2815200"/>
            <wp:effectExtent l="0" t="0" r="20320" b="2349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D34D5">
        <w:rPr>
          <w:rFonts w:ascii="Arial" w:hAnsi="Arial" w:cs="Arial"/>
          <w:noProof/>
          <w:color w:val="0F243E"/>
          <w:sz w:val="20"/>
          <w:szCs w:val="20"/>
          <w:lang w:eastAsia="hr-HR"/>
        </w:rPr>
        <w:drawing>
          <wp:inline distT="0" distB="0" distL="0" distR="0" wp14:anchorId="669CC6DA">
            <wp:extent cx="2947193" cy="2838616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908" cy="2846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proofErr w:type="spellStart"/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HITRO.HR</w:t>
      </w:r>
      <w:proofErr w:type="spellEnd"/>
    </w:p>
    <w:p w:rsidR="00BE2712" w:rsidRPr="009A7F59" w:rsidRDefault="00F802B6" w:rsidP="00CA7BB2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Tijekom 201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za </w:t>
      </w:r>
      <w:proofErr w:type="spellStart"/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 osnovano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5.778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tava i obrta dok je tijekom 2016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58198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godine </w:t>
      </w:r>
      <w:r w:rsidR="00C96AE1">
        <w:rPr>
          <w:rFonts w:ascii="Arial" w:hAnsi="Arial" w:cs="Arial"/>
          <w:color w:val="244061" w:themeColor="accent1" w:themeShade="80"/>
          <w:sz w:val="20"/>
          <w:szCs w:val="20"/>
        </w:rPr>
        <w:t>broj ukupno osnovanih druš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tava i obrta putem servisa 6.559</w:t>
      </w:r>
      <w:r w:rsidR="00C96AE1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Iz podataka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>prezentirani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h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grafikon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1.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vidljivo je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da je u 201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godini otvoren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181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 te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>osnovano 1.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958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d.o.o.-a i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3.639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j.d.o.o.-a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 xml:space="preserve">dok iz podataka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grafikona 2.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vidimo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da  je u 201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6. godini otvoreno 197 obrta te je osnovano 2.266 d.o.o.-a i 4.096 j.d.o.o.-a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851EE0" w:rsidRPr="009A7F59" w:rsidRDefault="00851EE0" w:rsidP="00E30434">
      <w:pPr>
        <w:tabs>
          <w:tab w:val="left" w:pos="1134"/>
        </w:tabs>
        <w:spacing w:before="180" w:after="0"/>
        <w:rPr>
          <w:rFonts w:ascii="Arial" w:hAnsi="Arial" w:cs="Arial"/>
          <w:color w:val="244061" w:themeColor="accent1" w:themeShade="80"/>
          <w:sz w:val="19"/>
          <w:szCs w:val="19"/>
        </w:rPr>
      </w:pP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Grafikon 3.</w:t>
      </w:r>
      <w:r w:rsidR="007D7D9E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7D7D9E" w:rsidRPr="009A7F59">
        <w:rPr>
          <w:rFonts w:ascii="Arial" w:hAnsi="Arial" w:cs="Arial"/>
          <w:color w:val="244061" w:themeColor="accent1" w:themeShade="80"/>
          <w:sz w:val="19"/>
          <w:szCs w:val="19"/>
        </w:rPr>
        <w:t>B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roj otvorenih </w:t>
      </w:r>
      <w:r w:rsidR="006D5E63">
        <w:rPr>
          <w:rFonts w:ascii="Arial" w:hAnsi="Arial" w:cs="Arial"/>
          <w:color w:val="244061" w:themeColor="accent1" w:themeShade="80"/>
          <w:sz w:val="19"/>
          <w:szCs w:val="19"/>
        </w:rPr>
        <w:t>društava i obrta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od 1. siječnja do </w:t>
      </w:r>
      <w:r w:rsidR="001A0C0A">
        <w:rPr>
          <w:rFonts w:ascii="Arial" w:hAnsi="Arial" w:cs="Arial"/>
          <w:color w:val="244061" w:themeColor="accent1" w:themeShade="80"/>
          <w:sz w:val="19"/>
          <w:szCs w:val="19"/>
        </w:rPr>
        <w:t>31. prosinca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201</w:t>
      </w:r>
      <w:r w:rsidR="001D34D5">
        <w:rPr>
          <w:rFonts w:ascii="Arial" w:hAnsi="Arial" w:cs="Arial"/>
          <w:color w:val="244061" w:themeColor="accent1" w:themeShade="80"/>
          <w:sz w:val="19"/>
          <w:szCs w:val="19"/>
        </w:rPr>
        <w:t>7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>. godine</w:t>
      </w:r>
    </w:p>
    <w:p w:rsidR="00B76001" w:rsidRDefault="00B270D6" w:rsidP="000940B1">
      <w:pPr>
        <w:spacing w:after="0"/>
      </w:pPr>
      <w:r>
        <w:rPr>
          <w:noProof/>
          <w:lang w:eastAsia="hr-HR"/>
        </w:rPr>
        <w:drawing>
          <wp:inline distT="0" distB="0" distL="0" distR="0" wp14:anchorId="02405586" wp14:editId="004B8817">
            <wp:extent cx="6202017" cy="3093057"/>
            <wp:effectExtent l="0" t="0" r="27940" b="1270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proofErr w:type="spellStart"/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HITRO.HR</w:t>
      </w:r>
      <w:proofErr w:type="spellEnd"/>
    </w:p>
    <w:p w:rsidR="00803090" w:rsidRDefault="00144152" w:rsidP="00186861">
      <w:pPr>
        <w:spacing w:before="18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U razdoblju od 1. siječnja do </w:t>
      </w:r>
      <w:r w:rsidR="001A0C0A">
        <w:rPr>
          <w:rFonts w:ascii="Arial" w:hAnsi="Arial" w:cs="Arial"/>
          <w:color w:val="244061" w:themeColor="accent1" w:themeShade="80"/>
          <w:sz w:val="20"/>
          <w:szCs w:val="20"/>
        </w:rPr>
        <w:t>31. prosinca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201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</w:t>
      </w:r>
      <w:proofErr w:type="spellStart"/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otvoreno </w:t>
      </w:r>
      <w:r w:rsidR="001A0C0A">
        <w:rPr>
          <w:rFonts w:ascii="Arial" w:hAnsi="Arial" w:cs="Arial"/>
          <w:color w:val="244061" w:themeColor="accent1" w:themeShade="80"/>
          <w:sz w:val="20"/>
          <w:szCs w:val="20"/>
        </w:rPr>
        <w:t>7.081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trgovačkih društava</w:t>
      </w:r>
      <w:r w:rsidR="00971C91">
        <w:rPr>
          <w:rFonts w:ascii="Arial" w:hAnsi="Arial" w:cs="Arial"/>
          <w:color w:val="244061" w:themeColor="accent1" w:themeShade="80"/>
          <w:sz w:val="20"/>
          <w:szCs w:val="20"/>
        </w:rPr>
        <w:t xml:space="preserve"> i obrt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Od toga je 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otvoreno </w:t>
      </w:r>
      <w:r w:rsidR="001A0C0A">
        <w:rPr>
          <w:rFonts w:ascii="Arial" w:hAnsi="Arial" w:cs="Arial"/>
          <w:color w:val="244061" w:themeColor="accent1" w:themeShade="80"/>
          <w:sz w:val="20"/>
          <w:szCs w:val="20"/>
        </w:rPr>
        <w:t>245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</w:t>
      </w:r>
      <w:r w:rsidR="00971C91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72DD8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 osnovano </w:t>
      </w:r>
      <w:r w:rsidR="001A0C0A">
        <w:rPr>
          <w:rFonts w:ascii="Arial" w:hAnsi="Arial" w:cs="Arial"/>
          <w:color w:val="244061" w:themeColor="accent1" w:themeShade="80"/>
          <w:sz w:val="20"/>
          <w:szCs w:val="20"/>
        </w:rPr>
        <w:t>2.575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društva s ograničenom odgovornošću (d.o.o.) i </w:t>
      </w:r>
      <w:r w:rsidR="001A0C0A">
        <w:rPr>
          <w:rFonts w:ascii="Arial" w:hAnsi="Arial" w:cs="Arial"/>
          <w:color w:val="244061" w:themeColor="accent1" w:themeShade="80"/>
          <w:sz w:val="20"/>
          <w:szCs w:val="20"/>
        </w:rPr>
        <w:t xml:space="preserve"> 4.261</w:t>
      </w:r>
      <w:r w:rsidR="00472DD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jednostavnih društva s ograničenom odgovornošću (j.d.o.o.).</w:t>
      </w:r>
    </w:p>
    <w:p w:rsidR="001A0C0A" w:rsidRPr="001A0C0A" w:rsidRDefault="001A0C0A" w:rsidP="001A0C0A">
      <w:pPr>
        <w:spacing w:before="18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1A0C0A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 xml:space="preserve">Putem servisa </w:t>
      </w:r>
      <w:proofErr w:type="spellStart"/>
      <w:r w:rsidRPr="001A0C0A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Pr="001A0C0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u 2017</w:t>
      </w:r>
      <w:r w:rsidRPr="001A0C0A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ukupno je otvoreno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7.081</w:t>
      </w:r>
      <w:r w:rsidRPr="001A0C0A">
        <w:rPr>
          <w:rFonts w:ascii="Arial" w:hAnsi="Arial" w:cs="Arial"/>
          <w:color w:val="244061" w:themeColor="accent1" w:themeShade="80"/>
          <w:sz w:val="20"/>
          <w:szCs w:val="20"/>
        </w:rPr>
        <w:t xml:space="preserve"> poslovnih subjekata što predstavlja povećanje od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522 jedinice odnosno 8</w:t>
      </w:r>
      <w:r w:rsidRPr="001A0C0A">
        <w:rPr>
          <w:rFonts w:ascii="Arial" w:hAnsi="Arial" w:cs="Arial"/>
          <w:color w:val="244061" w:themeColor="accent1" w:themeShade="80"/>
          <w:sz w:val="20"/>
          <w:szCs w:val="20"/>
        </w:rPr>
        <w:t xml:space="preserve"> % u odnosu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na 2016</w:t>
      </w:r>
      <w:r w:rsidRPr="001A0C0A">
        <w:rPr>
          <w:rFonts w:ascii="Arial" w:hAnsi="Arial" w:cs="Arial"/>
          <w:color w:val="244061" w:themeColor="accent1" w:themeShade="80"/>
          <w:sz w:val="20"/>
          <w:szCs w:val="20"/>
        </w:rPr>
        <w:t>. godinu.</w:t>
      </w:r>
    </w:p>
    <w:p w:rsidR="001A0C0A" w:rsidRPr="009A7F59" w:rsidRDefault="001A0C0A" w:rsidP="00186861">
      <w:pPr>
        <w:spacing w:before="18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</w:p>
    <w:sectPr w:rsidR="001A0C0A" w:rsidRPr="009A7F59" w:rsidSect="00186861">
      <w:headerReference w:type="default" r:id="rId11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48" w:rsidRDefault="00091048" w:rsidP="006650A8">
      <w:pPr>
        <w:spacing w:after="0" w:line="240" w:lineRule="auto"/>
      </w:pPr>
      <w:r>
        <w:separator/>
      </w:r>
    </w:p>
  </w:endnote>
  <w:endnote w:type="continuationSeparator" w:id="0">
    <w:p w:rsidR="00091048" w:rsidRDefault="00091048" w:rsidP="0066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48" w:rsidRDefault="00091048" w:rsidP="006650A8">
      <w:pPr>
        <w:spacing w:after="0" w:line="240" w:lineRule="auto"/>
      </w:pPr>
      <w:r>
        <w:separator/>
      </w:r>
    </w:p>
  </w:footnote>
  <w:footnote w:type="continuationSeparator" w:id="0">
    <w:p w:rsidR="00091048" w:rsidRDefault="00091048" w:rsidP="0066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A8" w:rsidRDefault="006650A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2F70FDBB" wp14:editId="1CC2CD1F">
          <wp:simplePos x="0" y="0"/>
          <wp:positionH relativeFrom="column">
            <wp:posOffset>83820</wp:posOffset>
          </wp:positionH>
          <wp:positionV relativeFrom="paragraph">
            <wp:posOffset>60325</wp:posOffset>
          </wp:positionV>
          <wp:extent cx="1224910" cy="25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0" cy="2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B6"/>
    <w:rsid w:val="00047A4A"/>
    <w:rsid w:val="000650A5"/>
    <w:rsid w:val="0006656B"/>
    <w:rsid w:val="00091048"/>
    <w:rsid w:val="000940B1"/>
    <w:rsid w:val="0010782E"/>
    <w:rsid w:val="001136B9"/>
    <w:rsid w:val="00144152"/>
    <w:rsid w:val="00150BFA"/>
    <w:rsid w:val="00186861"/>
    <w:rsid w:val="001A0C0A"/>
    <w:rsid w:val="001B4BAF"/>
    <w:rsid w:val="001B7E93"/>
    <w:rsid w:val="001D34D5"/>
    <w:rsid w:val="00234DBC"/>
    <w:rsid w:val="00243857"/>
    <w:rsid w:val="00243A37"/>
    <w:rsid w:val="00250D4C"/>
    <w:rsid w:val="0025224B"/>
    <w:rsid w:val="00270E84"/>
    <w:rsid w:val="00296334"/>
    <w:rsid w:val="00297562"/>
    <w:rsid w:val="002B5F77"/>
    <w:rsid w:val="002D2CF2"/>
    <w:rsid w:val="00305B5D"/>
    <w:rsid w:val="00311FB0"/>
    <w:rsid w:val="00374BDB"/>
    <w:rsid w:val="00381C7D"/>
    <w:rsid w:val="003968C0"/>
    <w:rsid w:val="003B7C7A"/>
    <w:rsid w:val="00426758"/>
    <w:rsid w:val="00437AB8"/>
    <w:rsid w:val="00440927"/>
    <w:rsid w:val="00472DD8"/>
    <w:rsid w:val="004B63DE"/>
    <w:rsid w:val="0054209B"/>
    <w:rsid w:val="00560273"/>
    <w:rsid w:val="00564239"/>
    <w:rsid w:val="0057176B"/>
    <w:rsid w:val="0058198A"/>
    <w:rsid w:val="005F1974"/>
    <w:rsid w:val="00653611"/>
    <w:rsid w:val="006650A8"/>
    <w:rsid w:val="006671C3"/>
    <w:rsid w:val="00670900"/>
    <w:rsid w:val="006C5561"/>
    <w:rsid w:val="006C712A"/>
    <w:rsid w:val="006D5E63"/>
    <w:rsid w:val="006F0C52"/>
    <w:rsid w:val="00736AF6"/>
    <w:rsid w:val="00782351"/>
    <w:rsid w:val="007A4158"/>
    <w:rsid w:val="007D7D9E"/>
    <w:rsid w:val="007F562E"/>
    <w:rsid w:val="00803090"/>
    <w:rsid w:val="00851EE0"/>
    <w:rsid w:val="008558B3"/>
    <w:rsid w:val="008F2C98"/>
    <w:rsid w:val="0090195F"/>
    <w:rsid w:val="00971C91"/>
    <w:rsid w:val="00985A21"/>
    <w:rsid w:val="0099612D"/>
    <w:rsid w:val="009A7F59"/>
    <w:rsid w:val="009B261A"/>
    <w:rsid w:val="009E2AD6"/>
    <w:rsid w:val="00AC4756"/>
    <w:rsid w:val="00AC5ABF"/>
    <w:rsid w:val="00AE168B"/>
    <w:rsid w:val="00AF7387"/>
    <w:rsid w:val="00B270D6"/>
    <w:rsid w:val="00B76001"/>
    <w:rsid w:val="00BB6724"/>
    <w:rsid w:val="00BD2048"/>
    <w:rsid w:val="00BE1488"/>
    <w:rsid w:val="00BE2712"/>
    <w:rsid w:val="00C17C0B"/>
    <w:rsid w:val="00C17E41"/>
    <w:rsid w:val="00C50992"/>
    <w:rsid w:val="00C96AE1"/>
    <w:rsid w:val="00CA39B9"/>
    <w:rsid w:val="00CA7BB2"/>
    <w:rsid w:val="00CB36CC"/>
    <w:rsid w:val="00CC69EF"/>
    <w:rsid w:val="00CD384C"/>
    <w:rsid w:val="00CE35AD"/>
    <w:rsid w:val="00D04E61"/>
    <w:rsid w:val="00D13459"/>
    <w:rsid w:val="00D16DCD"/>
    <w:rsid w:val="00D23FD1"/>
    <w:rsid w:val="00D76CA3"/>
    <w:rsid w:val="00D9603D"/>
    <w:rsid w:val="00DF3B51"/>
    <w:rsid w:val="00E30434"/>
    <w:rsid w:val="00E35CFC"/>
    <w:rsid w:val="00E44C76"/>
    <w:rsid w:val="00E72494"/>
    <w:rsid w:val="00E777BC"/>
    <w:rsid w:val="00E94360"/>
    <w:rsid w:val="00E9549B"/>
    <w:rsid w:val="00EA10EE"/>
    <w:rsid w:val="00F0246D"/>
    <w:rsid w:val="00F45271"/>
    <w:rsid w:val="00F61D12"/>
    <w:rsid w:val="00F802B6"/>
    <w:rsid w:val="00F8412E"/>
    <w:rsid w:val="00FC0758"/>
    <w:rsid w:val="00FC1061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050">
                <a:solidFill>
                  <a:schemeClr val="accent1">
                    <a:lumMod val="50000"/>
                  </a:schemeClr>
                </a:solidFill>
              </a:defRPr>
            </a:pPr>
            <a:r>
              <a:rPr lang="en-US" sz="1050">
                <a:solidFill>
                  <a:schemeClr val="accent1">
                    <a:lumMod val="50000"/>
                  </a:schemeClr>
                </a:solidFill>
              </a:rPr>
              <a:t>Broj </a:t>
            </a:r>
            <a:r>
              <a:rPr lang="hr-HR" sz="1050">
                <a:solidFill>
                  <a:schemeClr val="accent1">
                    <a:lumMod val="50000"/>
                  </a:schemeClr>
                </a:solidFill>
              </a:rPr>
              <a:t>osnovanih društava i obrta</a:t>
            </a:r>
            <a:r>
              <a:rPr lang="en-US" sz="1050">
                <a:solidFill>
                  <a:schemeClr val="accent1">
                    <a:lumMod val="50000"/>
                  </a:schemeClr>
                </a:solidFill>
              </a:rPr>
              <a:t> u 201</a:t>
            </a:r>
            <a:r>
              <a:rPr lang="hr-HR" sz="1050">
                <a:solidFill>
                  <a:schemeClr val="accent1">
                    <a:lumMod val="50000"/>
                  </a:schemeClr>
                </a:solidFill>
              </a:rPr>
              <a:t>5</a:t>
            </a:r>
            <a:r>
              <a:rPr lang="en-US" sz="1050">
                <a:solidFill>
                  <a:schemeClr val="accent1">
                    <a:lumMod val="50000"/>
                  </a:schemeClr>
                </a:solidFill>
              </a:rPr>
              <a:t>. godini</a:t>
            </a:r>
          </a:p>
        </c:rich>
      </c:tx>
      <c:layout>
        <c:manualLayout>
          <c:xMode val="edge"/>
          <c:yMode val="edge"/>
          <c:x val="0.10343973816944327"/>
          <c:y val="1.784917447568050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605740331817593E-2"/>
          <c:y val="0.30216241626513102"/>
          <c:w val="0.56007528426416564"/>
          <c:h val="0.5872388723798426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Broj osnovanih društava i obrta u 2015. godini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2">
                            <a:lumMod val="50000"/>
                          </a:schemeClr>
                        </a:solidFill>
                      </a:rPr>
                      <a:t>1</a:t>
                    </a:r>
                    <a:r>
                      <a:rPr lang="hr-HR">
                        <a:solidFill>
                          <a:schemeClr val="tx2">
                            <a:lumMod val="50000"/>
                          </a:schemeClr>
                        </a:solidFill>
                      </a:rPr>
                      <a:t>.958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hr-HR">
                        <a:solidFill>
                          <a:schemeClr val="tx2">
                            <a:lumMod val="50000"/>
                          </a:schemeClr>
                        </a:solidFill>
                      </a:rPr>
                      <a:t>3.639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hr-HR"/>
                      <a:t>181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2">
                        <a:lumMod val="50000"/>
                      </a:schemeClr>
                    </a:solidFill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d.o.o.</c:v>
                </c:pt>
                <c:pt idx="1">
                  <c:v>j.d.o.o.</c:v>
                </c:pt>
                <c:pt idx="2">
                  <c:v>obrt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1958</c:v>
                </c:pt>
                <c:pt idx="1">
                  <c:v>3639</c:v>
                </c:pt>
                <c:pt idx="2">
                  <c:v>181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7932528765229636"/>
          <c:y val="0.39260378940338303"/>
          <c:w val="0.19485715640966567"/>
          <c:h val="0.24474956082779298"/>
        </c:manualLayout>
      </c:layout>
      <c:overlay val="0"/>
      <c:txPr>
        <a:bodyPr/>
        <a:lstStyle/>
        <a:p>
          <a:pPr>
            <a:defRPr>
              <a:solidFill>
                <a:schemeClr val="tx2">
                  <a:lumMod val="50000"/>
                </a:schemeClr>
              </a:solidFill>
            </a:defRPr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200" baseline="0"/>
            </a:pPr>
            <a:r>
              <a:rPr lang="hr-HR" sz="1200" baseline="0"/>
              <a:t>Broj osnovanih društava i obrta od 01.01.-31.12.2017. godine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List1!$A$9:$C$9</c:f>
              <c:strCache>
                <c:ptCount val="3"/>
                <c:pt idx="0">
                  <c:v>d.o.o.</c:v>
                </c:pt>
                <c:pt idx="1">
                  <c:v>j.d.o.o.</c:v>
                </c:pt>
                <c:pt idx="2">
                  <c:v>obrti</c:v>
                </c:pt>
              </c:strCache>
            </c:strRef>
          </c:cat>
          <c:val>
            <c:numRef>
              <c:f>List1!$A$10:$C$10</c:f>
              <c:numCache>
                <c:formatCode>General</c:formatCode>
                <c:ptCount val="3"/>
                <c:pt idx="0">
                  <c:v>2575</c:v>
                </c:pt>
                <c:pt idx="1">
                  <c:v>4261</c:v>
                </c:pt>
                <c:pt idx="2">
                  <c:v>245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2AAD1-ADAB-4175-9241-B849F536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Abramac</dc:creator>
  <cp:lastModifiedBy>Andrijana Holy</cp:lastModifiedBy>
  <cp:revision>8</cp:revision>
  <cp:lastPrinted>2016-04-12T07:16:00Z</cp:lastPrinted>
  <dcterms:created xsi:type="dcterms:W3CDTF">2016-07-07T10:25:00Z</dcterms:created>
  <dcterms:modified xsi:type="dcterms:W3CDTF">2018-01-15T08:32:00Z</dcterms:modified>
</cp:coreProperties>
</file>