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D8" w:rsidRPr="00C527EB" w:rsidRDefault="00006857" w:rsidP="000D0250">
      <w:pPr>
        <w:keepNext/>
        <w:spacing w:after="0" w:line="240" w:lineRule="auto"/>
        <w:ind w:left="1140" w:right="936" w:hanging="6"/>
        <w:jc w:val="center"/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</w:pPr>
      <w:r w:rsidRPr="005D712E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REZULTATI </w:t>
      </w:r>
      <w:r w:rsidR="008D16B2" w:rsidRPr="005D712E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POSLOVANJA </w:t>
      </w:r>
      <w:r w:rsidRPr="005D712E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PODUZETNIKA </w:t>
      </w:r>
      <w:r w:rsidR="00556C0B" w:rsidRPr="005D712E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>KOPRIVNIČKO-KRIŽEVAČKE</w:t>
      </w:r>
      <w:r w:rsidRPr="005D712E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 xml:space="preserve"> ŽUPANIJE U 2016. </w:t>
      </w:r>
      <w:r w:rsidR="000411E3" w:rsidRPr="005D712E">
        <w:rPr>
          <w:rFonts w:ascii="Arial" w:eastAsia="Calibri" w:hAnsi="Arial" w:cs="Arial"/>
          <w:b/>
          <w:color w:val="17365D" w:themeColor="text2" w:themeShade="BF"/>
          <w:sz w:val="21"/>
          <w:szCs w:val="21"/>
        </w:rPr>
        <w:t>GODINI</w:t>
      </w:r>
    </w:p>
    <w:p w:rsidR="00921BFF" w:rsidRPr="00C527EB" w:rsidRDefault="008B0850" w:rsidP="009756F3">
      <w:pPr>
        <w:spacing w:before="120" w:after="0"/>
        <w:jc w:val="both"/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</w:pPr>
      <w:r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="005D0376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rema broju obrađenih godišnjih financijskih izvještaja,</w:t>
      </w:r>
      <w:r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813D2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3368E9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Koprivničko-križevačkoj</w:t>
      </w:r>
      <w:r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županiji u 2016. godini, </w:t>
      </w:r>
      <w:r w:rsidR="00721F8B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poslovalo je </w:t>
      </w:r>
      <w:r w:rsidR="003368E9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1688</w:t>
      </w:r>
      <w:r w:rsidR="005D0376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721F8B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koji su zapošljavali </w:t>
      </w:r>
      <w:r w:rsidR="003368E9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16 301</w:t>
      </w:r>
      <w:r w:rsidR="005D0376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radnika, što je u odnosu na prethodnu godinu povećanje broja zaposlenih za </w:t>
      </w:r>
      <w:r w:rsidR="003368E9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</w:t>
      </w:r>
      <w:r w:rsidR="00B813D2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,9</w:t>
      </w:r>
      <w:r w:rsidR="00CA4B5C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5D712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%.</w:t>
      </w:r>
      <w:r w:rsidR="004F0D0B" w:rsidRPr="00C527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8083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Promatrana skupina poduzetnika 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2016. godini ostvaril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je 10</w:t>
      </w:r>
      <w:r w:rsidR="0008083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ukupnih prihoda, 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="0008083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 kuna ukupnih rashoda, 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533</w:t>
      </w:r>
      <w:r w:rsidR="0008083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</w:t>
      </w:r>
      <w:r w:rsidR="00E1760D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ilijuna kuna dobiti razdoblja i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113</w:t>
      </w:r>
      <w:r w:rsidR="0008083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,4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8083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milijuna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gubitka razdoblja</w:t>
      </w:r>
      <w:r w:rsidR="0008083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</w:t>
      </w:r>
      <w:r w:rsidR="00921BFF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C2C2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neto dobit u iznosu od 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420</w:t>
      </w:r>
      <w:r w:rsidR="0008083A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3368E9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5D0376" w:rsidRPr="001F076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:rsidR="00234000" w:rsidRPr="005A5242" w:rsidRDefault="00921BFF" w:rsidP="009756F3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highlight w:val="green"/>
          <w:lang w:eastAsia="hr-HR"/>
        </w:rPr>
      </w:pPr>
      <w:r w:rsidRPr="001B4AC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Stavk</w:t>
      </w:r>
      <w:r w:rsidR="00AB40B9" w:rsidRPr="001B4AC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1B4AC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</w:t>
      </w:r>
      <w:r w:rsidR="005D0376" w:rsidRPr="001B4AC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kupni</w:t>
      </w:r>
      <w:r w:rsidRPr="001B4AC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h</w:t>
      </w:r>
      <w:r w:rsidR="005D0376" w:rsidRPr="001B4AC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prihod</w:t>
      </w:r>
      <w:r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AB40B9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povećana je za 6,4 %, </w:t>
      </w:r>
      <w:r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ukupnih rashoda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AB40B9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5,7</w:t>
      </w:r>
      <w:r w:rsidR="005E42CB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F477D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5E42CB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2F477D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B40B9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stavka dobiti razdoblja smanjena je za 13</w:t>
      </w:r>
      <w:r w:rsidR="005E42CB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AB40B9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5E42CB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%, gubitak razdoblja </w:t>
      </w:r>
      <w:r w:rsidR="005E42CB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povećan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E7CB4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AB40B9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69</w:t>
      </w:r>
      <w:r w:rsidR="005E42CB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,5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AE7CB4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a neto dobit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B40B9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smanjena je </w:t>
      </w:r>
      <w:r w:rsidR="00AE7CB4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AB40B9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23,5</w:t>
      </w:r>
      <w:r w:rsidR="00AE7CB4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%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odnosu na prethodno poslovno razdoblje. Od ukupnog broja poduzetnika na području županije</w:t>
      </w:r>
      <w:r w:rsidR="00DD7707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njih </w:t>
      </w:r>
      <w:r w:rsidR="00A4564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F33A9C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A4564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,3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</w:t>
      </w:r>
      <w:r w:rsidR="00DD7707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2016. godini poslovalo </w:t>
      </w:r>
      <w:r w:rsidR="00DD7707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dobiti, dok je </w:t>
      </w:r>
      <w:r w:rsidR="00F33A9C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27</w:t>
      </w:r>
      <w:r w:rsidR="00A4564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,7 </w:t>
      </w:r>
      <w:r w:rsidR="005D0376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poduzetnika zabilježilo gubitak u poslovanju.</w:t>
      </w:r>
      <w:r w:rsidR="00383F12" w:rsidRPr="003D42A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5D0376" w:rsidRPr="00C527EB" w:rsidRDefault="005D0376" w:rsidP="009756F3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Prosječna mjesečna obračunata neto plaća županije u 2016. iznosila je </w:t>
      </w:r>
      <w:r w:rsidR="005A5242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B4637E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5A5242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815</w:t>
      </w:r>
      <w:r w:rsidR="00B4637E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kuna, što je nominalno </w:t>
      </w:r>
      <w:r w:rsidR="005A5242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0,3</w:t>
      </w:r>
      <w:r w:rsidR="00CA4B5C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više u odnosu na 2015. godinu</w:t>
      </w:r>
      <w:r w:rsidR="008164BB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</w:t>
      </w:r>
      <w:r w:rsidR="00234000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je </w:t>
      </w:r>
      <w:r w:rsidR="008164BB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ista </w:t>
      </w:r>
      <w:r w:rsidR="00B269BB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5A5242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6,3</w:t>
      </w:r>
      <w:r w:rsidR="000447D4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269BB" w:rsidRPr="00700D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manja od prosječne mjesečne neto plaće po zaposlenom kod poduzetnika Republike Hrvatske (5.140 kuna).</w:t>
      </w:r>
    </w:p>
    <w:p w:rsidR="00303F52" w:rsidRPr="00E068F0" w:rsidRDefault="00BC38D8" w:rsidP="00020E7A">
      <w:pPr>
        <w:keepNext/>
        <w:tabs>
          <w:tab w:val="right" w:pos="9855"/>
        </w:tabs>
        <w:spacing w:before="120" w:after="60" w:line="240" w:lineRule="auto"/>
        <w:ind w:left="1140" w:hanging="1140"/>
        <w:rPr>
          <w:rFonts w:ascii="Arial" w:eastAsia="Calibri" w:hAnsi="Arial" w:cs="Arial"/>
          <w:b/>
          <w:color w:val="003366"/>
          <w:sz w:val="18"/>
          <w:szCs w:val="18"/>
        </w:rPr>
      </w:pPr>
      <w:r w:rsidRPr="00E068F0">
        <w:rPr>
          <w:rFonts w:ascii="Arial" w:eastAsia="Calibri" w:hAnsi="Arial" w:cs="Arial"/>
          <w:b/>
          <w:color w:val="003366"/>
          <w:sz w:val="18"/>
          <w:szCs w:val="18"/>
        </w:rPr>
        <w:t>Tablica 1.</w:t>
      </w:r>
      <w:r w:rsidRPr="00E068F0">
        <w:rPr>
          <w:rFonts w:ascii="Arial" w:eastAsia="Times New Roman" w:hAnsi="Arial" w:cs="Arial"/>
          <w:bCs/>
          <w:color w:val="1F497D"/>
          <w:sz w:val="18"/>
          <w:szCs w:val="18"/>
          <w:lang w:eastAsia="hr-HR"/>
        </w:rPr>
        <w:tab/>
      </w:r>
      <w:r w:rsidR="000037A9" w:rsidRPr="00E068F0">
        <w:rPr>
          <w:rFonts w:ascii="Arial" w:eastAsia="Calibri" w:hAnsi="Arial" w:cs="Arial"/>
          <w:b/>
          <w:color w:val="003366"/>
          <w:sz w:val="18"/>
          <w:szCs w:val="18"/>
        </w:rPr>
        <w:t>Osnovni financijski rezultati poduzetnika Koprivničko-križevačke županije u 2016. godini</w:t>
      </w:r>
    </w:p>
    <w:p w:rsidR="00BC38D8" w:rsidRDefault="00BC38D8" w:rsidP="00B135C7">
      <w:pPr>
        <w:widowControl w:val="0"/>
        <w:tabs>
          <w:tab w:val="right" w:pos="9869"/>
        </w:tabs>
        <w:spacing w:before="60" w:after="0" w:line="240" w:lineRule="auto"/>
        <w:ind w:left="1134" w:hanging="1134"/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</w:pPr>
      <w:r w:rsidRPr="00E068F0"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  <w:tab/>
      </w:r>
      <w:r w:rsidR="00020E7A" w:rsidRPr="00E068F0">
        <w:rPr>
          <w:rFonts w:ascii="Arial" w:eastAsia="Times New Roman" w:hAnsi="Arial" w:cs="Times New Roman"/>
          <w:bCs/>
          <w:color w:val="17365D"/>
          <w:sz w:val="18"/>
          <w:szCs w:val="18"/>
          <w:lang w:eastAsia="hr-HR"/>
        </w:rPr>
        <w:tab/>
      </w:r>
      <w:r w:rsidRPr="00E068F0">
        <w:rPr>
          <w:rFonts w:ascii="Arial" w:eastAsia="Times New Roman" w:hAnsi="Arial" w:cs="Times New Roman"/>
          <w:bCs/>
          <w:color w:val="17365D"/>
          <w:sz w:val="16"/>
          <w:szCs w:val="18"/>
          <w:lang w:eastAsia="hr-HR"/>
        </w:rPr>
        <w:t>(iznosi u tisućama kuna, prosječne plaće u kunama)</w:t>
      </w:r>
    </w:p>
    <w:tbl>
      <w:tblPr>
        <w:tblW w:w="97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5"/>
        <w:gridCol w:w="1417"/>
        <w:gridCol w:w="1417"/>
        <w:gridCol w:w="850"/>
        <w:gridCol w:w="1575"/>
      </w:tblGrid>
      <w:tr w:rsidR="000037A9" w:rsidRPr="000037A9" w:rsidTr="0032502C">
        <w:trPr>
          <w:trHeight w:hRule="exact" w:val="430"/>
          <w:jc w:val="center"/>
        </w:trPr>
        <w:tc>
          <w:tcPr>
            <w:tcW w:w="4535" w:type="dxa"/>
            <w:tcBorders>
              <w:top w:val="single" w:sz="4" w:space="0" w:color="BFBFBF"/>
              <w:left w:val="single" w:sz="4" w:space="0" w:color="BFBFBF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Indeks</w:t>
            </w:r>
          </w:p>
        </w:tc>
        <w:tc>
          <w:tcPr>
            <w:tcW w:w="1575" w:type="dxa"/>
            <w:tcBorders>
              <w:top w:val="single" w:sz="4" w:space="0" w:color="BFBFBF"/>
              <w:left w:val="nil"/>
              <w:bottom w:val="single" w:sz="4" w:space="0" w:color="FFFFFF" w:themeColor="background1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Udio županije u RH (%)</w:t>
            </w:r>
          </w:p>
        </w:tc>
      </w:tr>
      <w:tr w:rsidR="000037A9" w:rsidRPr="000037A9" w:rsidTr="0032502C">
        <w:trPr>
          <w:trHeight w:hRule="exact" w:val="283"/>
          <w:jc w:val="center"/>
        </w:trPr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1.688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1,5</w:t>
            </w:r>
          </w:p>
        </w:tc>
      </w:tr>
      <w:tr w:rsidR="000037A9" w:rsidRPr="000037A9" w:rsidTr="0032502C">
        <w:trPr>
          <w:trHeight w:hRule="exact" w:val="283"/>
          <w:jc w:val="center"/>
        </w:trPr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1.087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1.220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112,2</w:t>
            </w:r>
          </w:p>
        </w:tc>
        <w:tc>
          <w:tcPr>
            <w:tcW w:w="1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1,6</w:t>
            </w:r>
          </w:p>
        </w:tc>
      </w:tr>
      <w:tr w:rsidR="000037A9" w:rsidRPr="000037A9" w:rsidTr="0032502C">
        <w:trPr>
          <w:trHeight w:hRule="exact" w:val="283"/>
          <w:jc w:val="center"/>
        </w:trPr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436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107,3</w:t>
            </w:r>
          </w:p>
        </w:tc>
        <w:tc>
          <w:tcPr>
            <w:tcW w:w="1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1,2</w:t>
            </w:r>
          </w:p>
        </w:tc>
      </w:tr>
      <w:tr w:rsidR="000037A9" w:rsidRPr="000037A9" w:rsidTr="0032502C">
        <w:trPr>
          <w:trHeight w:hRule="exact" w:val="283"/>
          <w:jc w:val="center"/>
        </w:trPr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15.394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16.301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105,9</w:t>
            </w:r>
          </w:p>
        </w:tc>
        <w:tc>
          <w:tcPr>
            <w:tcW w:w="1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</w:t>
            </w:r>
            <w:proofErr w:type="spellStart"/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</w:t>
            </w:r>
            <w:proofErr w:type="spellEnd"/>
          </w:p>
        </w:tc>
      </w:tr>
      <w:tr w:rsidR="000037A9" w:rsidRPr="000037A9" w:rsidTr="0032502C">
        <w:trPr>
          <w:trHeight w:hRule="exact" w:val="283"/>
          <w:jc w:val="center"/>
        </w:trPr>
        <w:tc>
          <w:tcPr>
            <w:tcW w:w="4535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9.486.983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10.093.768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106,4</w:t>
            </w:r>
          </w:p>
        </w:tc>
        <w:tc>
          <w:tcPr>
            <w:tcW w:w="1575" w:type="dxa"/>
            <w:tcBorders>
              <w:top w:val="single" w:sz="4" w:space="0" w:color="FFFFFF" w:themeColor="background1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1,6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9.057.515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9.574.930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1,6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495.486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632.174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127,6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1,4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66.018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113.335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171,7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0,8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-120.022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98.444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1,4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616.394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533.814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86,6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1,4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66.904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113.420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169,5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0,8</w:t>
            </w:r>
          </w:p>
        </w:tc>
      </w:tr>
      <w:tr w:rsidR="000037A9" w:rsidRPr="000037A9" w:rsidTr="00DB7AC7">
        <w:trPr>
          <w:trHeight w:hRule="exact" w:val="471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 xml:space="preserve">Konsolidirani financijski rezultat  </w:t>
            </w:r>
          </w:p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00325A"/>
                <w:sz w:val="18"/>
                <w:szCs w:val="18"/>
                <w:lang w:eastAsia="hr-HR"/>
              </w:rPr>
              <w:t>dobit (+) ili (-) gubitak razdoblja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549.490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420.394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76,5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b/>
                <w:bCs/>
                <w:color w:val="17365D"/>
                <w:sz w:val="18"/>
                <w:szCs w:val="18"/>
                <w:lang w:eastAsia="hr-HR"/>
              </w:rPr>
              <w:t>1,7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2.112.969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2.295.822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108,7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1,9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1.204.107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1.398.049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116,1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1,4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908.861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897.773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98,8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4,7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329.266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817.767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248,4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3,2</w:t>
            </w:r>
          </w:p>
        </w:tc>
      </w:tr>
      <w:tr w:rsidR="000037A9" w:rsidRPr="000037A9" w:rsidTr="00DB7AC7">
        <w:trPr>
          <w:trHeight w:hRule="exact" w:val="283"/>
          <w:jc w:val="center"/>
        </w:trPr>
        <w:tc>
          <w:tcPr>
            <w:tcW w:w="45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100,3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037A9" w:rsidRPr="000037A9" w:rsidRDefault="000037A9" w:rsidP="000037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0037A9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93,7</w:t>
            </w:r>
          </w:p>
        </w:tc>
      </w:tr>
    </w:tbl>
    <w:p w:rsidR="009650FC" w:rsidRDefault="009650FC" w:rsidP="00354A97">
      <w:pPr>
        <w:spacing w:before="60" w:after="0" w:line="288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9650F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D76C52" w:rsidRDefault="009A3771" w:rsidP="009756F3">
      <w:pPr>
        <w:spacing w:before="180" w:after="0"/>
        <w:jc w:val="both"/>
        <w:rPr>
          <w:color w:val="17365D" w:themeColor="text2" w:themeShade="BF"/>
        </w:rPr>
      </w:pPr>
      <w:r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odnosu na druge županije</w:t>
      </w:r>
      <w:r w:rsidRPr="002F2F78">
        <w:rPr>
          <w:rStyle w:val="FootnoteReferenc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1"/>
      </w:r>
      <w:r w:rsidR="00DD7707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62E31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Koprivničko-križevačka</w:t>
      </w:r>
      <w:r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županija se 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prema kriteriju broja poduzetnika </w:t>
      </w:r>
      <w:r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nalazi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</w:t>
      </w:r>
      <w:r w:rsidR="00AF2F37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osamnaestom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mjestu, </w:t>
      </w:r>
      <w:r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dok se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prema broju zaposlenih</w:t>
      </w:r>
      <w:r w:rsidR="00AF2F37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nalazi na četrnaestom mjestu, a prema</w:t>
      </w:r>
      <w:r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ostvarenom ukupnom prihodu i neto dobiti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</w:t>
      </w:r>
      <w:r w:rsidR="00AF2F37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trinaestom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mjestu. </w:t>
      </w:r>
      <w:r w:rsidR="00BD7906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rema </w:t>
      </w:r>
      <w:r w:rsidR="00BD7906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pokazatelju 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produktivnosti rada mjereno</w:t>
      </w:r>
      <w:r w:rsidR="00BD7906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dobiti po zaposlenom</w:t>
      </w:r>
      <w:r w:rsidR="00457595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zauzima sedmo mjesto,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prema ekonomičnosti poslovanja</w:t>
      </w:r>
      <w:r w:rsidR="00BD7906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57595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peto</w:t>
      </w:r>
      <w:r w:rsidR="00BD7906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mjesto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na </w:t>
      </w:r>
      <w:r w:rsidR="00457595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šestom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D7906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D76C52" w:rsidRPr="002F2F7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mjestu prema produktivnosti rada mjerenoj ukupnim prihodom po zaposlenom.</w:t>
      </w:r>
    </w:p>
    <w:p w:rsidR="004D5EA5" w:rsidRDefault="005B6A01" w:rsidP="009756F3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usporedbi s pet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susjedn</w:t>
      </w:r>
      <w:r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 županija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prema broju poduzetnika </w:t>
      </w:r>
      <w:r w:rsidR="003B3ACC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promatrana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županija zauzima </w:t>
      </w:r>
      <w:r w:rsidR="00893FC7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peto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mjesto</w:t>
      </w:r>
      <w:r w:rsidR="008171F8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(1688)</w:t>
      </w:r>
      <w:r w:rsidR="00893FC7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P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rema broju </w:t>
      </w:r>
      <w:r w:rsidR="008171F8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poduzetnika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broju </w:t>
      </w:r>
      <w:r w:rsidR="008171F8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</w:t>
      </w:r>
      <w:r w:rsidR="002D7E11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526DB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promatranom uzorku </w:t>
      </w:r>
      <w:r w:rsidR="00893FC7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ističe se Zagrebačka županija 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</w:t>
      </w:r>
      <w:r w:rsidR="00721F8B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4526DB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206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AE4C42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koji su zapošljavali</w:t>
      </w:r>
      <w:r w:rsidR="004D5EA5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21F8B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50 </w:t>
      </w:r>
      <w:r w:rsidR="004526DB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365</w:t>
      </w:r>
      <w:r w:rsidR="0011163D" w:rsidRPr="000815F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radnika.</w:t>
      </w:r>
    </w:p>
    <w:p w:rsidR="009756F3" w:rsidRPr="00C527EB" w:rsidRDefault="009756F3" w:rsidP="009756F3">
      <w:pPr>
        <w:widowControl w:val="0"/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Među gradovima i općinama </w:t>
      </w:r>
      <w:r w:rsidR="009F7B58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Koprivničko-križevačke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</w:t>
      </w:r>
      <w:r w:rsidRPr="006140E6">
        <w:rPr>
          <w:rStyle w:val="FootnoteReference"/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footnoteReference w:id="2"/>
      </w:r>
      <w:r w:rsidR="00FA7321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2016. godini </w:t>
      </w:r>
      <w:r w:rsidR="00BA58C2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poduzetnici grada Koprivnice zauzimaju prvo mjesto prema broju poduzetnika (666), broju zaposlenih (8722), prema ostvarenom ukupnom prihodu (5,4 milijarde kuna), dobiti razdoblja (350</w:t>
      </w:r>
      <w:r w:rsidR="00FA7321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,0</w:t>
      </w:r>
      <w:r w:rsidR="00BA58C2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 te ostvarenoj neto dobiti (329,4 milijuna kuna). </w:t>
      </w:r>
      <w:r w:rsidR="007E3AA1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Prema </w:t>
      </w:r>
      <w:r w:rsidR="00BA58C2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gubitku razdoblja (20,4 milijuna kuna) poduzetnici grada Koprivnice nalaze se na </w:t>
      </w:r>
      <w:r w:rsidR="00FA7321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trećem</w:t>
      </w:r>
      <w:r w:rsidR="00BA58C2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mjestu</w:t>
      </w:r>
      <w:r w:rsidR="006140E6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6140E6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lastRenderedPageBreak/>
        <w:t>iza grada Križevaca (</w:t>
      </w:r>
      <w:r w:rsidR="00FA7321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34,5 milijuna kuna) i</w:t>
      </w:r>
      <w:r w:rsidR="00BA58C2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općine Kalinovac (22</w:t>
      </w:r>
      <w:r w:rsidR="00FA7321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,0</w:t>
      </w:r>
      <w:r w:rsidR="00BA58C2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kuna). </w:t>
      </w:r>
      <w:r w:rsidR="00D32368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Iza grada Koprivnice,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 brojnosti poduzetnika slijedi grad </w:t>
      </w:r>
      <w:r w:rsidR="00D32368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Križevci (420 poduzetnika) i 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grad </w:t>
      </w:r>
      <w:r w:rsidR="00D32368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Đurđevac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D32368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126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poduzetnika), dok se u svim drugim gradovima i općinama broj poduzetnika kreće se od 5 (</w:t>
      </w:r>
      <w:r w:rsidR="00D32368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Đelekovec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do </w:t>
      </w:r>
      <w:r w:rsidR="00D32368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65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D32368"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Sveti Ivan Žabno</w:t>
      </w:r>
      <w:r w:rsidRPr="006140E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).</w:t>
      </w:r>
      <w:r w:rsidRPr="00C527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BC38D8" w:rsidRDefault="00BC38D8" w:rsidP="0054331B">
      <w:pPr>
        <w:widowControl w:val="0"/>
        <w:tabs>
          <w:tab w:val="left" w:pos="851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 w:rsidRPr="00E068F0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Grafikon 1.</w:t>
      </w:r>
      <w:r w:rsidRPr="00E068F0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</w:r>
      <w:r w:rsidR="0054331B" w:rsidRPr="00E068F0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Usporedba broja poduzetnika i broja zaposlenih Koprivničko-križevačke županije s pet susjednih županija u 2016. godini</w:t>
      </w:r>
    </w:p>
    <w:p w:rsidR="00E3297F" w:rsidRDefault="0054331B" w:rsidP="00C8406B">
      <w:pPr>
        <w:widowControl w:val="0"/>
        <w:tabs>
          <w:tab w:val="left" w:pos="993"/>
        </w:tabs>
        <w:spacing w:after="60" w:line="240" w:lineRule="auto"/>
        <w:ind w:left="1134" w:hanging="1134"/>
        <w:jc w:val="center"/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7365D"/>
          <w:sz w:val="18"/>
          <w:szCs w:val="18"/>
          <w:lang w:eastAsia="hr-HR"/>
        </w:rPr>
        <w:drawing>
          <wp:inline distT="0" distB="0" distL="0" distR="0" wp14:anchorId="6EFC4621" wp14:editId="5F1B4C09">
            <wp:extent cx="5963479" cy="263188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126" cy="263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97F" w:rsidRDefault="00E3297F" w:rsidP="00E3297F">
      <w:pPr>
        <w:spacing w:before="60" w:after="0" w:line="288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9650FC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8016C6" w:rsidRPr="00C527EB" w:rsidRDefault="008016C6" w:rsidP="009756F3">
      <w:pPr>
        <w:tabs>
          <w:tab w:val="left" w:pos="567"/>
        </w:tabs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Prema broju zaposlenih, iza p</w:t>
      </w:r>
      <w:r w:rsidR="000B709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oduzetnika gradova </w:t>
      </w:r>
      <w:r w:rsidR="00306D8A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Koprivnice</w:t>
      </w:r>
      <w:r w:rsidR="000B709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306D8A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8722</w:t>
      </w:r>
      <w:r w:rsidR="000B709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894F33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slijed</w:t>
      </w:r>
      <w:r w:rsidR="00721F8B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e poduzetnici grada </w:t>
      </w:r>
      <w:r w:rsidR="00894F33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Križevaca (4229) i Đurđevaca</w:t>
      </w:r>
      <w:r w:rsidR="00721F8B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894F33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1013</w:t>
      </w:r>
      <w:r w:rsidR="00721F8B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U </w:t>
      </w:r>
      <w:r w:rsidR="00900544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gradu Koprivnici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(13,1) i </w:t>
      </w:r>
      <w:r w:rsidR="00900544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općini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00544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Podravske Sesvete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900544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10,6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 u prosjeku je naj</w:t>
      </w:r>
      <w:r w:rsidR="00900544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više zaposlenih po poduzetniku.</w:t>
      </w:r>
    </w:p>
    <w:p w:rsidR="008016C6" w:rsidRPr="00C527EB" w:rsidRDefault="008016C6" w:rsidP="008016C6">
      <w:pPr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promatranom uzorku, najbolje rangirani 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2016. godini  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prema ostvarenim ukupnim prihodim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su poduzetnici grada Koprivnice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slijede ih poduzetnici grada 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Križevaca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3,0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milijarde 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kuna), grada 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Đurđevaca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501,5 milijuna kuna) i općine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Sveti Petar Orehovec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E108A6"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206,2</w:t>
      </w:r>
      <w:r w:rsidRPr="003767B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kuna).</w:t>
      </w:r>
      <w:r w:rsidRPr="00C527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9756F3" w:rsidRPr="00E068F0" w:rsidRDefault="004931AB" w:rsidP="009756F3">
      <w:pPr>
        <w:widowControl w:val="0"/>
        <w:tabs>
          <w:tab w:val="right" w:pos="9869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2.</w:t>
      </w:r>
      <w:r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A673FF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Rang lista </w:t>
      </w:r>
      <w:r w:rsidR="009756F3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TOP 10</w:t>
      </w:r>
      <w:r w:rsidR="00A673FF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poduzetnika </w:t>
      </w:r>
      <w:r w:rsidR="006B5CFA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Koprivničko-križevačke</w:t>
      </w:r>
      <w:r w:rsidR="00A673FF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županije po ukupnom prihodu u 2016. godini</w:t>
      </w:r>
      <w:r w:rsidR="006509E9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</w:p>
    <w:p w:rsidR="004931AB" w:rsidRDefault="006509E9" w:rsidP="009756F3">
      <w:pPr>
        <w:widowControl w:val="0"/>
        <w:tabs>
          <w:tab w:val="right" w:pos="9869"/>
        </w:tabs>
        <w:spacing w:after="0" w:line="240" w:lineRule="auto"/>
        <w:ind w:left="1134" w:hanging="1134"/>
        <w:jc w:val="right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E068F0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37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1268"/>
        <w:gridCol w:w="4649"/>
        <w:gridCol w:w="911"/>
        <w:gridCol w:w="57"/>
        <w:gridCol w:w="1190"/>
        <w:gridCol w:w="57"/>
        <w:gridCol w:w="1134"/>
        <w:gridCol w:w="57"/>
      </w:tblGrid>
      <w:tr w:rsidR="006B5CFA" w:rsidRPr="006B5CFA" w:rsidTr="00DB7AC7">
        <w:trPr>
          <w:trHeight w:hRule="exact" w:val="459"/>
          <w:jc w:val="center"/>
        </w:trPr>
        <w:tc>
          <w:tcPr>
            <w:tcW w:w="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Rang</w:t>
            </w:r>
          </w:p>
        </w:tc>
        <w:tc>
          <w:tcPr>
            <w:tcW w:w="12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46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9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124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Ukupni prihod</w:t>
            </w:r>
          </w:p>
        </w:tc>
        <w:tc>
          <w:tcPr>
            <w:tcW w:w="11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Neto dobit/gubitak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18928523252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E73874" w:rsidP="0058188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9" w:history="1">
              <w:r w:rsidR="006B5CFA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PODRAVKA d.d.</w:t>
              </w:r>
            </w:hyperlink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2.063.043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190.576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95970838122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0" w:history="1">
              <w:r w:rsidR="006B5CFA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KTC d.d.</w:t>
              </w:r>
            </w:hyperlink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Križevci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1.355.915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24.026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74181493335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E73874" w:rsidP="0058188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1" w:history="1">
              <w:r w:rsidR="006B5CFA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BELUPO d.d.</w:t>
              </w:r>
            </w:hyperlink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653.704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60.297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09520995772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2" w:history="1">
              <w:r w:rsidR="006B5CFA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CARLSBERG CROATIA d.o.o.</w:t>
              </w:r>
            </w:hyperlink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353.668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-3.867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21846792292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13" w:history="1">
              <w:r w:rsidR="006B5CFA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RADNIK d.d.</w:t>
              </w:r>
            </w:hyperlink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Križevci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310.398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21.769</w:t>
            </w:r>
          </w:p>
        </w:tc>
      </w:tr>
      <w:tr w:rsidR="006B5CFA" w:rsidRPr="006B5CFA" w:rsidTr="00581881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41412434130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581881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</w:pPr>
            <w:r w:rsidRPr="00581881">
              <w:rPr>
                <w:rFonts w:ascii="Arial" w:eastAsia="Times New Roman" w:hAnsi="Arial" w:cs="Arial"/>
                <w:color w:val="16365C"/>
                <w:sz w:val="17"/>
                <w:szCs w:val="17"/>
                <w:lang w:eastAsia="hr-HR"/>
              </w:rPr>
              <w:t>KOMUNALAC d.o.o.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150.130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459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82362237153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SLOGA PODRAVSKA TRGOVINA d.o.o.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Đurđevac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144.478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74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49929727453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POLJOCENTAR d.o.o.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Križevci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136.569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3.666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87499126990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HARTMANN d.o.o.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135.011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9.583</w:t>
            </w:r>
          </w:p>
        </w:tc>
      </w:tr>
      <w:tr w:rsidR="006B5CFA" w:rsidRPr="006B5CF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6B5CFA" w:rsidRPr="006B5CFA" w:rsidRDefault="006B5CFA" w:rsidP="006B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29531974087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BILOKALNIK-IPA d.d.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133.598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6B5CFA" w:rsidRPr="006B5CFA" w:rsidRDefault="006B5CF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2.128</w:t>
            </w:r>
          </w:p>
        </w:tc>
      </w:tr>
      <w:tr w:rsidR="006B5CFA" w:rsidRPr="006B5CFA" w:rsidTr="00DB7AC7">
        <w:trPr>
          <w:gridAfter w:val="1"/>
          <w:wAfter w:w="57" w:type="dxa"/>
          <w:trHeight w:hRule="exact" w:val="283"/>
          <w:jc w:val="center"/>
        </w:trPr>
        <w:tc>
          <w:tcPr>
            <w:tcW w:w="7342" w:type="dxa"/>
            <w:gridSpan w:val="4"/>
            <w:tcBorders>
              <w:top w:val="nil"/>
              <w:left w:val="single" w:sz="4" w:space="0" w:color="BFBFB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B5CFA" w:rsidRPr="006B5CFA" w:rsidRDefault="006B5CFA" w:rsidP="0051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Ukupno 10 najvećih poduzetnika po ukupnom prihodu u KKŽ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BFBFBF"/>
            <w:noWrap/>
            <w:vAlign w:val="center"/>
            <w:hideMark/>
          </w:tcPr>
          <w:p w:rsidR="006B5CFA" w:rsidRPr="006B5CFA" w:rsidRDefault="006B5CF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5.436.513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6B5CFA" w:rsidRPr="006B5CFA" w:rsidRDefault="006B5CF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308.710</w:t>
            </w:r>
          </w:p>
        </w:tc>
      </w:tr>
      <w:tr w:rsidR="006B5CFA" w:rsidRPr="006B5CFA" w:rsidTr="00DB7AC7">
        <w:trPr>
          <w:gridAfter w:val="1"/>
          <w:wAfter w:w="57" w:type="dxa"/>
          <w:trHeight w:hRule="exact" w:val="283"/>
          <w:jc w:val="center"/>
        </w:trPr>
        <w:tc>
          <w:tcPr>
            <w:tcW w:w="7342" w:type="dxa"/>
            <w:gridSpan w:val="4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6B5CFA" w:rsidRPr="006B5CFA" w:rsidRDefault="006B5CFA" w:rsidP="00581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 xml:space="preserve">Udio 10 najvećih poduzetnika po prihodima u </w:t>
            </w:r>
            <w:r w:rsidR="0058188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KKŽ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:rsidR="006B5CFA" w:rsidRPr="006B5CFA" w:rsidRDefault="006B5CF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53,9%</w:t>
            </w:r>
          </w:p>
        </w:tc>
        <w:tc>
          <w:tcPr>
            <w:tcW w:w="1191" w:type="dxa"/>
            <w:gridSpan w:val="2"/>
            <w:tcBorders>
              <w:top w:val="nil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center"/>
            <w:hideMark/>
          </w:tcPr>
          <w:p w:rsidR="006B5CFA" w:rsidRPr="006B5CFA" w:rsidRDefault="006B5CF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6B5C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73,4%</w:t>
            </w:r>
          </w:p>
        </w:tc>
      </w:tr>
    </w:tbl>
    <w:p w:rsidR="00B35812" w:rsidRDefault="00B35812" w:rsidP="00E0490E">
      <w:pPr>
        <w:tabs>
          <w:tab w:val="left" w:pos="567"/>
        </w:tabs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B35812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4678A1" w:rsidRPr="003D1657" w:rsidRDefault="00085E63" w:rsidP="00B467A7">
      <w:pPr>
        <w:tabs>
          <w:tab w:val="left" w:pos="567"/>
        </w:tabs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 ukupno 25</w:t>
      </w:r>
      <w:r w:rsidR="004678A1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grad</w:t>
      </w:r>
      <w:r w:rsidR="00495760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ova</w:t>
      </w:r>
      <w:r w:rsidR="004678A1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općin</w:t>
      </w:r>
      <w:r w:rsidR="00495760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4678A1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Koprivničko-križevačke</w:t>
      </w:r>
      <w:r w:rsidR="004678A1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županije, pozitivno</w:t>
      </w:r>
      <w:r w:rsidR="009756F3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 </w:t>
      </w:r>
      <w:r w:rsidR="004678A1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posloval</w:t>
      </w:r>
      <w:r w:rsidR="009756F3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poduzetnici u </w:t>
      </w:r>
      <w:r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tri grada i 19</w:t>
      </w:r>
      <w:r w:rsidR="004678A1" w:rsidRPr="00DC769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općina te su iskazali neto dobit</w:t>
      </w:r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među </w:t>
      </w:r>
      <w:r w:rsidR="000D10D2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općinama</w:t>
      </w:r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ajveć</w:t>
      </w:r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 </w:t>
      </w:r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iskazali su poduzetnici 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sa sjedištem u općini </w:t>
      </w:r>
      <w:r w:rsidR="00495760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Sveti Petar Orehovec, u iznosu od 10,3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Negativan konsolidirani rezultat </w:t>
      </w:r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ostvarili su 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poduzetni</w:t>
      </w:r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ci sa sjedištem u </w:t>
      </w:r>
      <w:r w:rsidR="004D7AC9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općinama Kalinovac, Ferdinandovac i Kalnik</w:t>
      </w:r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Poduzetnici u </w:t>
      </w:r>
      <w:r w:rsidR="0071219E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Kalinovcu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ostvarili su nominalno najveći konsolidirani gubitak, a na navedeni rezultat najviše se odrazilo poslovanje mikro društva </w:t>
      </w:r>
      <w:hyperlink r:id="rId14" w:history="1">
        <w:r w:rsidR="007B5AA0" w:rsidRPr="00A1066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INŽENJER BRANKO MEĐUREČAN d.o.o. u stečaju</w:t>
        </w:r>
      </w:hyperlink>
      <w:r w:rsidR="009756F3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koje je iskazalo neto gubitak u iznosu od </w:t>
      </w:r>
      <w:r w:rsidR="007B5AA0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22,0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kuna.</w:t>
      </w:r>
      <w:r w:rsidR="004678A1" w:rsidRPr="00C527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Među poduzetnicima s najvećim ukupni</w:t>
      </w:r>
      <w:r w:rsidR="00FB6C4A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 prihodom u 2016. godini nalaz</w:t>
      </w:r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se velik</w:t>
      </w:r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društva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hyperlink r:id="rId15" w:history="1">
        <w:r w:rsidR="001A3967" w:rsidRPr="00A1066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PODRAVKA  d.d.</w:t>
        </w:r>
      </w:hyperlink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sjedištem u </w:t>
      </w:r>
      <w:r w:rsidR="001A396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Koprivnici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1A396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2,1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1A396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milijarda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kuna), </w:t>
      </w:r>
      <w:hyperlink r:id="rId16" w:history="1">
        <w:r w:rsidR="001A3967" w:rsidRPr="00A1066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KTC d.d.</w:t>
        </w:r>
      </w:hyperlink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sa sjedištem u </w:t>
      </w:r>
      <w:r w:rsidR="001A396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Križevcima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1A396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1,3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1A396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316F99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kuna) i </w:t>
      </w:r>
      <w:hyperlink r:id="rId17" w:history="1">
        <w:r w:rsidR="00AF6347" w:rsidRPr="00A1066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BELUPO d.d.</w:t>
        </w:r>
      </w:hyperlink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 </w:t>
      </w:r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Koprivnice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654,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0 milijuna kuna)</w:t>
      </w:r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</w:t>
      </w:r>
      <w:hyperlink r:id="rId18" w:history="1">
        <w:r w:rsidR="00AF6347" w:rsidRPr="00A1066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CARLSBERG CROATIA d.o.o.</w:t>
        </w:r>
      </w:hyperlink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354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,0 milijuna kuna) i </w:t>
      </w:r>
      <w:hyperlink r:id="rId19" w:history="1">
        <w:r w:rsidR="00AF6347" w:rsidRPr="00A1066A">
          <w:rPr>
            <w:rStyle w:val="Hyperlink"/>
            <w:rFonts w:ascii="Arial" w:eastAsia="Times New Roman" w:hAnsi="Arial" w:cs="Times New Roman"/>
            <w:sz w:val="20"/>
            <w:szCs w:val="20"/>
            <w:lang w:eastAsia="hr-HR"/>
          </w:rPr>
          <w:t>RADNIK d.d.</w:t>
        </w:r>
      </w:hyperlink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310,4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</w:t>
      </w:r>
      <w:r w:rsidR="00AF6347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ijuna kuna)</w:t>
      </w:r>
      <w:r w:rsidR="004678A1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4678A1" w:rsidRPr="00C527EB" w:rsidRDefault="004678A1" w:rsidP="00C553C3">
      <w:pPr>
        <w:tabs>
          <w:tab w:val="left" w:pos="567"/>
        </w:tabs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Svih pet navedenih poduzetnika </w:t>
      </w:r>
      <w:r w:rsidR="0058002D" w:rsidRPr="003D165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ostvarilo je ukupno 4,7 milijardi kuna prihoda, što je 46,9 % ukupnih prihoda poduzetnika Koprivničko-križevačke županije.</w:t>
      </w:r>
    </w:p>
    <w:p w:rsidR="004931AB" w:rsidRDefault="004931AB" w:rsidP="009756F3">
      <w:pPr>
        <w:widowControl w:val="0"/>
        <w:tabs>
          <w:tab w:val="right" w:pos="9855"/>
        </w:tabs>
        <w:spacing w:before="180" w:after="4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Tablica 3.</w:t>
      </w:r>
      <w:r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83487D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Rang lista </w:t>
      </w:r>
      <w:r w:rsidR="009756F3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TOP 10</w:t>
      </w:r>
      <w:r w:rsidR="0083487D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poduzetnika </w:t>
      </w:r>
      <w:r w:rsidR="00811946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Koprivničko-križevačke</w:t>
      </w:r>
      <w:r w:rsidR="0083487D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županije po prihodima od izvoza u 2016. </w:t>
      </w:r>
      <w:r w:rsidR="009756F3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g</w:t>
      </w:r>
      <w:r w:rsidR="0083487D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od</w:t>
      </w:r>
      <w:r w:rsidR="009756F3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="00813472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</w:r>
      <w:r w:rsidR="00813472" w:rsidRPr="00E068F0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>(iznosi u tisućama kuna)</w:t>
      </w:r>
    </w:p>
    <w:tbl>
      <w:tblPr>
        <w:tblW w:w="9821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1216"/>
        <w:gridCol w:w="3421"/>
        <w:gridCol w:w="995"/>
        <w:gridCol w:w="1294"/>
        <w:gridCol w:w="1439"/>
        <w:gridCol w:w="911"/>
      </w:tblGrid>
      <w:tr w:rsidR="00811946" w:rsidRPr="00811946" w:rsidTr="00811946">
        <w:trPr>
          <w:trHeight w:hRule="exact" w:val="301"/>
          <w:jc w:val="center"/>
        </w:trPr>
        <w:tc>
          <w:tcPr>
            <w:tcW w:w="5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811946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Rang</w:t>
            </w:r>
          </w:p>
        </w:tc>
        <w:tc>
          <w:tcPr>
            <w:tcW w:w="12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811946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34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811946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9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811946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12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811946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Veličina</w:t>
            </w:r>
          </w:p>
        </w:tc>
        <w:tc>
          <w:tcPr>
            <w:tcW w:w="14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811946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Prihod od izvoza</w:t>
            </w:r>
          </w:p>
        </w:tc>
        <w:tc>
          <w:tcPr>
            <w:tcW w:w="9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811946" w:rsidRPr="00811946" w:rsidRDefault="00811946" w:rsidP="00811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Uvoz</w:t>
            </w:r>
          </w:p>
        </w:tc>
      </w:tr>
      <w:tr w:rsidR="00811946" w:rsidRPr="00811946" w:rsidTr="0032502C">
        <w:trPr>
          <w:trHeight w:hRule="exact" w:val="283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18928523252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0" w:history="1">
              <w:r w:rsidR="00811946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PODRAVKA</w:t>
              </w:r>
              <w:r w:rsidR="00DB7AC7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</w:t>
              </w:r>
              <w:r w:rsidR="00811946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885.421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609.480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74181493335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1" w:history="1">
              <w:r w:rsidR="00811946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BELUPO d.d.</w:t>
              </w:r>
            </w:hyperlink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252.604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87499126990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2" w:history="1">
              <w:r w:rsidR="00811946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HARTMANN d.o.o.</w:t>
              </w:r>
            </w:hyperlink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Srednje veliki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113.039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659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09520995772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3" w:history="1">
              <w:r w:rsidR="00811946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CARLSBERG CROATIA d.o.o.</w:t>
              </w:r>
            </w:hyperlink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Veliki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80.823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161.864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82890897726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hyperlink r:id="rId24" w:history="1">
              <w:r w:rsidR="00811946" w:rsidRPr="00A106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STAR CHEMICALS d.o.o.</w:t>
              </w:r>
            </w:hyperlink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80.640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02788751328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HANGAR 18 d.o.o.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Srednje veliki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68.394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12710048305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RASCO d.o.o.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Kalinovac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Srednje veliki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62.212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25.182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28144007782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EKO PAPIR d.o.o.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Peteranec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Srednje veliki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50.739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46.296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48542326621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MONOLITINVEST d.o.o.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Križevci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Srednje veliki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44.238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26.663</w:t>
            </w:r>
          </w:p>
        </w:tc>
      </w:tr>
      <w:tr w:rsidR="00811946" w:rsidRPr="00811946" w:rsidTr="0032502C">
        <w:trPr>
          <w:trHeight w:hRule="exact" w:val="301"/>
          <w:jc w:val="center"/>
        </w:trPr>
        <w:tc>
          <w:tcPr>
            <w:tcW w:w="54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15094174707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VEMO TRADE d.o.o.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Mali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43.575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811946" w:rsidRPr="00811946" w:rsidRDefault="00811946" w:rsidP="003250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811946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0</w:t>
            </w:r>
          </w:p>
        </w:tc>
      </w:tr>
      <w:tr w:rsidR="00811946" w:rsidRPr="00811946" w:rsidTr="0032502C">
        <w:trPr>
          <w:trHeight w:hRule="exact" w:val="283"/>
          <w:jc w:val="center"/>
        </w:trPr>
        <w:tc>
          <w:tcPr>
            <w:tcW w:w="747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811946" w:rsidRPr="00DB7AC7" w:rsidRDefault="00811946" w:rsidP="0051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Ukupno 10 najvećih poduzetnika po ukupnom prihodu od izvoza KKŽ</w:t>
            </w:r>
          </w:p>
        </w:tc>
        <w:tc>
          <w:tcPr>
            <w:tcW w:w="14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811946" w:rsidRPr="00DB7AC7" w:rsidRDefault="00811946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1.681.685</w:t>
            </w:r>
          </w:p>
        </w:tc>
        <w:tc>
          <w:tcPr>
            <w:tcW w:w="9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811946" w:rsidRPr="00DB7AC7" w:rsidRDefault="00811946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870.144</w:t>
            </w:r>
          </w:p>
        </w:tc>
      </w:tr>
      <w:tr w:rsidR="00811946" w:rsidRPr="00811946" w:rsidTr="0032502C">
        <w:trPr>
          <w:trHeight w:hRule="exact" w:val="283"/>
          <w:jc w:val="center"/>
        </w:trPr>
        <w:tc>
          <w:tcPr>
            <w:tcW w:w="747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811946" w:rsidRPr="00DB7AC7" w:rsidRDefault="00811946" w:rsidP="00581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Udio 10 najvećih poduzetnika po prihodima od izvoza u </w:t>
            </w:r>
            <w:r w:rsidR="0058188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KKŽ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811946" w:rsidRPr="00DB7AC7" w:rsidRDefault="00811946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73,2%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811946" w:rsidRPr="00DB7AC7" w:rsidRDefault="00811946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62,2%</w:t>
            </w:r>
          </w:p>
        </w:tc>
      </w:tr>
    </w:tbl>
    <w:p w:rsidR="00B35812" w:rsidRPr="00767F7B" w:rsidRDefault="00B35812" w:rsidP="0083487D">
      <w:pPr>
        <w:widowControl w:val="0"/>
        <w:spacing w:before="6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bookmarkStart w:id="1" w:name="_Toc262069334"/>
      <w:r w:rsidRPr="00767F7B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izvještaja, obrada GFI-a za 2016. godinu</w:t>
      </w:r>
    </w:p>
    <w:p w:rsidR="00307F1B" w:rsidRPr="00C527EB" w:rsidRDefault="00307F1B" w:rsidP="009756F3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</w:pPr>
      <w:r w:rsidRPr="00767F7B">
        <w:rPr>
          <w:rFonts w:ascii="Arial" w:eastAsia="Times New Roman" w:hAnsi="Arial" w:cs="Arial"/>
          <w:color w:val="17365D" w:themeColor="text2" w:themeShade="BF"/>
          <w:sz w:val="20"/>
          <w:szCs w:val="20"/>
        </w:rPr>
        <w:t>P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rvih deset poduzetnika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prema ostvarenim ukupnim prihodima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ostvarili su </w:t>
      </w:r>
      <w:r w:rsidR="00224041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5,4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milijard</w:t>
      </w:r>
      <w:r w:rsidR="0048110D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e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kuna ukupnih prihoda ili </w:t>
      </w:r>
      <w:r w:rsidR="00224041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53,9</w:t>
      </w:r>
      <w:r w:rsidR="00CA4B5C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% prihoda poduzetnika županije, dok su prvih deset poduzetnika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prema izvozu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2016. sudjelovali u ukupnom izvozu poduzetnika županije s udjelom od </w:t>
      </w:r>
      <w:r w:rsidR="00224041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73,2</w:t>
      </w:r>
      <w:r w:rsidR="00CA4B5C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%.</w:t>
      </w:r>
    </w:p>
    <w:p w:rsidR="004931AB" w:rsidRPr="00E068F0" w:rsidRDefault="004931AB" w:rsidP="009756F3">
      <w:pPr>
        <w:widowControl w:val="0"/>
        <w:tabs>
          <w:tab w:val="right" w:pos="9855"/>
        </w:tabs>
        <w:spacing w:before="180" w:after="0" w:line="240" w:lineRule="auto"/>
        <w:ind w:left="1140" w:hanging="1140"/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</w:pPr>
      <w:r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Tablica </w:t>
      </w:r>
      <w:r w:rsidR="00095456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4</w:t>
      </w:r>
      <w:r w:rsidR="001C2838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.</w:t>
      </w:r>
      <w:r w:rsidR="001C2838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ab/>
        <w:t xml:space="preserve">Rang lista TOP pet poduzetnika </w:t>
      </w:r>
      <w:r w:rsidR="00EA46AA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>Koprivničko-križevačke</w:t>
      </w:r>
      <w:r w:rsidR="001C2838" w:rsidRPr="00E068F0">
        <w:rPr>
          <w:rFonts w:ascii="Arial" w:eastAsia="Times New Roman" w:hAnsi="Arial" w:cs="Times New Roman"/>
          <w:b/>
          <w:bCs/>
          <w:color w:val="17365D"/>
          <w:sz w:val="18"/>
          <w:szCs w:val="18"/>
          <w:lang w:eastAsia="hr-HR"/>
        </w:rPr>
        <w:t xml:space="preserve"> županije po dobiti razdoblja u 2016. godini</w:t>
      </w:r>
    </w:p>
    <w:p w:rsidR="00095456" w:rsidRDefault="00095456" w:rsidP="009756F3">
      <w:pPr>
        <w:widowControl w:val="0"/>
        <w:tabs>
          <w:tab w:val="right" w:pos="9841"/>
        </w:tabs>
        <w:spacing w:after="40" w:line="240" w:lineRule="auto"/>
        <w:ind w:left="1140" w:hanging="1140"/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</w:pPr>
      <w:r w:rsidRPr="00E068F0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ab/>
      </w:r>
      <w:r w:rsidRPr="00E068F0">
        <w:rPr>
          <w:rFonts w:ascii="Arial" w:eastAsia="Times New Roman" w:hAnsi="Arial" w:cs="Times New Roman"/>
          <w:bCs/>
          <w:color w:val="17365D"/>
          <w:sz w:val="16"/>
          <w:szCs w:val="16"/>
          <w:lang w:eastAsia="hr-HR"/>
        </w:rPr>
        <w:tab/>
        <w:t>(iznosi u tisućama kuna)</w:t>
      </w:r>
    </w:p>
    <w:tbl>
      <w:tblPr>
        <w:tblW w:w="9768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4"/>
        <w:gridCol w:w="1160"/>
        <w:gridCol w:w="2835"/>
        <w:gridCol w:w="1134"/>
        <w:gridCol w:w="994"/>
        <w:gridCol w:w="976"/>
        <w:gridCol w:w="1191"/>
        <w:gridCol w:w="964"/>
      </w:tblGrid>
      <w:tr w:rsidR="00F3502D" w:rsidRPr="00EA46AA" w:rsidTr="00DB7AC7">
        <w:trPr>
          <w:trHeight w:hRule="exact" w:val="496"/>
          <w:jc w:val="center"/>
        </w:trPr>
        <w:tc>
          <w:tcPr>
            <w:tcW w:w="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EA46AA" w:rsidRDefault="00EA46AA" w:rsidP="00EA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Rang</w:t>
            </w:r>
          </w:p>
        </w:tc>
        <w:tc>
          <w:tcPr>
            <w:tcW w:w="1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EA46AA" w:rsidRDefault="00EA46AA" w:rsidP="00EA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OIB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EA46AA" w:rsidRDefault="00EA46AA" w:rsidP="00EA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EA46AA" w:rsidRDefault="00EA46AA" w:rsidP="00EA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Mjesto</w:t>
            </w:r>
          </w:p>
        </w:tc>
        <w:tc>
          <w:tcPr>
            <w:tcW w:w="9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Vlasništvo</w:t>
            </w:r>
          </w:p>
        </w:tc>
        <w:tc>
          <w:tcPr>
            <w:tcW w:w="9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EA46AA" w:rsidRDefault="00EA46AA" w:rsidP="00EA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zaposlenih</w:t>
            </w:r>
          </w:p>
        </w:tc>
        <w:tc>
          <w:tcPr>
            <w:tcW w:w="11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EA46AA" w:rsidRDefault="00EA46AA" w:rsidP="00F3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Prosječna mj</w:t>
            </w:r>
            <w:r w:rsidR="00F350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 xml:space="preserve"> neto plaća</w:t>
            </w:r>
          </w:p>
        </w:tc>
        <w:tc>
          <w:tcPr>
            <w:tcW w:w="9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vAlign w:val="center"/>
            <w:hideMark/>
          </w:tcPr>
          <w:p w:rsidR="00EA46AA" w:rsidRPr="00EA46AA" w:rsidRDefault="00EA46AA" w:rsidP="00EA4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EA46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Dobit razdoblja</w:t>
            </w:r>
          </w:p>
        </w:tc>
      </w:tr>
      <w:tr w:rsidR="00F3502D" w:rsidRPr="00EA46A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18928523252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hyperlink r:id="rId25" w:history="1">
              <w:r w:rsidR="00EA46AA" w:rsidRPr="00A1066A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hr-HR"/>
                </w:rPr>
                <w:t>PODRAVKA d.d.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Koprivnica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Mješovito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3.298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6.383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190.576</w:t>
            </w:r>
          </w:p>
        </w:tc>
      </w:tr>
      <w:tr w:rsidR="00F3502D" w:rsidRPr="00EA46AA" w:rsidTr="00DB7AC7">
        <w:trPr>
          <w:trHeight w:hRule="exact" w:val="283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74181493335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hyperlink r:id="rId26" w:history="1">
              <w:r w:rsidR="00EA46AA" w:rsidRPr="00A1066A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hr-HR"/>
                </w:rPr>
                <w:t>BELUPO d.d.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Koprivnica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Mješovito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9.805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60.297</w:t>
            </w:r>
          </w:p>
        </w:tc>
      </w:tr>
      <w:tr w:rsidR="00F3502D" w:rsidRPr="00EA46AA" w:rsidTr="00DB7AC7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95970838122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hyperlink r:id="rId27" w:history="1">
              <w:r w:rsidR="00EA46AA" w:rsidRPr="00A1066A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hr-HR"/>
                </w:rPr>
                <w:t>KTC d.d.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Križevci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4.523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24.026</w:t>
            </w:r>
          </w:p>
        </w:tc>
      </w:tr>
      <w:tr w:rsidR="00F3502D" w:rsidRPr="00EA46AA" w:rsidTr="00DB7AC7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21846792292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hyperlink r:id="rId28" w:history="1">
              <w:r w:rsidR="00EA46AA" w:rsidRPr="00A1066A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hr-HR"/>
                </w:rPr>
                <w:t>RADNIK d.d.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Križevci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3.252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21.769</w:t>
            </w:r>
          </w:p>
        </w:tc>
      </w:tr>
      <w:tr w:rsidR="00F3502D" w:rsidRPr="00EA46AA" w:rsidTr="00DB7AC7">
        <w:trPr>
          <w:trHeight w:hRule="exact" w:val="301"/>
          <w:jc w:val="center"/>
        </w:trPr>
        <w:tc>
          <w:tcPr>
            <w:tcW w:w="51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31458573467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73874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hyperlink r:id="rId29" w:history="1">
              <w:r w:rsidR="007F3D3D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hr-HR"/>
                </w:rPr>
                <w:t>Š</w:t>
              </w:r>
              <w:r w:rsidR="00EA46AA" w:rsidRPr="00A1066A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hr-HR"/>
                </w:rPr>
                <w:t>IRJAN d.o.o.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Gornja Rijeka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EA46AA" w:rsidRDefault="00EA46AA" w:rsidP="00DB7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EA46AA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3.633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EA46AA" w:rsidRPr="0032502C" w:rsidRDefault="00EA46AA" w:rsidP="00DB7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2502C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17.517</w:t>
            </w:r>
          </w:p>
        </w:tc>
      </w:tr>
      <w:tr w:rsidR="00EA46AA" w:rsidRPr="00EA46AA" w:rsidTr="00DB7AC7">
        <w:trPr>
          <w:trHeight w:hRule="exact" w:val="283"/>
          <w:jc w:val="center"/>
        </w:trPr>
        <w:tc>
          <w:tcPr>
            <w:tcW w:w="66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A46AA" w:rsidRPr="00DB7AC7" w:rsidRDefault="00EA46AA" w:rsidP="00517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Ukupno 5 najvećih poduzetnika po dobiti razdoblja KKŽ</w:t>
            </w:r>
          </w:p>
        </w:tc>
        <w:tc>
          <w:tcPr>
            <w:tcW w:w="9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A46AA" w:rsidRPr="00DB7AC7" w:rsidRDefault="00EA46A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5.814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A46AA" w:rsidRPr="00DB7AC7" w:rsidRDefault="00EA46A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6.463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A46AA" w:rsidRPr="00DB7AC7" w:rsidRDefault="00EA46A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314.185</w:t>
            </w:r>
          </w:p>
        </w:tc>
      </w:tr>
      <w:tr w:rsidR="00EA46AA" w:rsidRPr="00EA46AA" w:rsidTr="00DB7AC7">
        <w:trPr>
          <w:trHeight w:hRule="exact" w:val="283"/>
          <w:jc w:val="center"/>
        </w:trPr>
        <w:tc>
          <w:tcPr>
            <w:tcW w:w="66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A46AA" w:rsidRPr="00DB7AC7" w:rsidRDefault="00EA46AA" w:rsidP="00581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Udio 5 najvećih poduzet</w:t>
            </w:r>
            <w:r w:rsidR="00581881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nika</w:t>
            </w: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 po dobiti razdoblja</w:t>
            </w:r>
            <w:r w:rsid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 xml:space="preserve"> u KKŽ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A46AA" w:rsidRPr="00DB7AC7" w:rsidRDefault="00EA46A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35,7%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A46AA" w:rsidRPr="00DB7AC7" w:rsidRDefault="00EA46A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134,2%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A46AA" w:rsidRPr="00DB7AC7" w:rsidRDefault="00EA46AA" w:rsidP="005176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DB7AC7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58,9%</w:t>
            </w:r>
          </w:p>
        </w:tc>
      </w:tr>
    </w:tbl>
    <w:bookmarkEnd w:id="1"/>
    <w:p w:rsidR="00B35812" w:rsidRPr="00767F7B" w:rsidRDefault="00B35812" w:rsidP="00F21E16">
      <w:pPr>
        <w:spacing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</w:pPr>
      <w:r w:rsidRPr="00767F7B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Izvor: Fina, Registar godišnjih financijskih izvještaja, obrada GFI-a za 2016. godinu</w:t>
      </w:r>
    </w:p>
    <w:p w:rsidR="004067F6" w:rsidRPr="00C527EB" w:rsidRDefault="00F21E16" w:rsidP="009756F3">
      <w:pPr>
        <w:spacing w:before="180" w:after="120"/>
        <w:jc w:val="both"/>
        <w:rPr>
          <w:rFonts w:ascii="Arial" w:eastAsia="Times New Roman" w:hAnsi="Arial"/>
          <w:i/>
          <w:color w:val="1F497D"/>
          <w:sz w:val="16"/>
          <w:szCs w:val="16"/>
          <w:lang w:eastAsia="hr-HR"/>
        </w:rPr>
      </w:pP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Prvih pet poduzetnika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u w:val="single"/>
          <w:lang w:eastAsia="hr-HR"/>
        </w:rPr>
        <w:t>po dobiti razdoblja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u </w:t>
      </w:r>
      <w:r w:rsidR="00547C7C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Koprivničko-križevačkoj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županiji ostvarilo je ukupno </w:t>
      </w:r>
      <w:r w:rsidR="00547C7C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314,2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milijuna kuna, što je </w:t>
      </w:r>
      <w:r w:rsidR="00547C7C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58,9</w:t>
      </w:r>
      <w:r w:rsidR="001E6907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% od ukupne dobiti razdoblja poduzetnika </w:t>
      </w:r>
      <w:r w:rsidR="00547C7C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Koprivničko-križevačke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županije. Najveću dobit razdoblja iskaza</w:t>
      </w:r>
      <w:r w:rsidR="00863025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l</w:t>
      </w:r>
      <w:r w:rsidR="00B11008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o je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velik</w:t>
      </w:r>
      <w:r w:rsidR="00863025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o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="00863025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društvo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hyperlink r:id="rId30" w:history="1">
        <w:r w:rsidR="00B11008" w:rsidRPr="00A1066A">
          <w:rPr>
            <w:rStyle w:val="Hyperlink"/>
            <w:rFonts w:ascii="Arial" w:eastAsia="Times New Roman" w:hAnsi="Arial" w:cs="Times New Roman"/>
            <w:bCs/>
            <w:sz w:val="20"/>
            <w:szCs w:val="20"/>
            <w:lang w:eastAsia="hr-HR"/>
          </w:rPr>
          <w:t>PODRAVKA d.d.</w:t>
        </w:r>
      </w:hyperlink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, koja je iznosila </w:t>
      </w:r>
      <w:r w:rsidR="00B11008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190,6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milijuna kuna, što je </w:t>
      </w:r>
      <w:r w:rsidR="00B11008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60,7</w:t>
      </w:r>
      <w:r w:rsidR="001E6907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% od ukupno o</w:t>
      </w:r>
      <w:r w:rsidR="001E6907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stvarene dobiti razdoblja top pet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poduzetnika po dobiti u </w:t>
      </w:r>
      <w:r w:rsidR="00B11008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Koprivničko-križevačkoj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županiji i </w:t>
      </w:r>
      <w:r w:rsidR="00B11008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35,7</w:t>
      </w:r>
      <w:r w:rsidR="001E6907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% ostvarene dobiti razdoblja svih poduzetnika </w:t>
      </w:r>
      <w:r w:rsidR="00B11008"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>Koprivničko-križevačke</w:t>
      </w:r>
      <w:r w:rsidRPr="00767F7B">
        <w:rPr>
          <w:rFonts w:ascii="Arial" w:eastAsia="Times New Roman" w:hAnsi="Arial" w:cs="Times New Roman"/>
          <w:bCs/>
          <w:color w:val="17365D" w:themeColor="text2" w:themeShade="BF"/>
          <w:sz w:val="20"/>
          <w:szCs w:val="20"/>
          <w:lang w:eastAsia="hr-HR"/>
        </w:rPr>
        <w:t xml:space="preserve"> županije.</w:t>
      </w:r>
    </w:p>
    <w:p w:rsidR="00DB7AC7" w:rsidRDefault="00DB7AC7" w:rsidP="00F21E16">
      <w:pPr>
        <w:pBdr>
          <w:top w:val="single" w:sz="12" w:space="1" w:color="auto"/>
        </w:pBdr>
        <w:spacing w:before="60" w:after="0" w:line="240" w:lineRule="auto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</w:p>
    <w:p w:rsidR="002A51B3" w:rsidRPr="00DB7AC7" w:rsidRDefault="002A51B3" w:rsidP="00F21E16">
      <w:pPr>
        <w:pBdr>
          <w:top w:val="single" w:sz="12" w:space="1" w:color="auto"/>
        </w:pBdr>
        <w:spacing w:before="60" w:after="0" w:line="240" w:lineRule="auto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DB7AC7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31" w:history="1">
        <w:r w:rsidRPr="00DB7AC7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hr-HR"/>
          </w:rPr>
          <w:t>standardnim analizama</w:t>
        </w:r>
      </w:hyperlink>
      <w:r w:rsidRPr="00DB7AC7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</w:t>
      </w:r>
      <w:r w:rsidR="004067F6" w:rsidRPr="00DB7AC7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6</w:t>
      </w:r>
      <w:r w:rsidRPr="00DB7AC7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. godini. </w:t>
      </w:r>
    </w:p>
    <w:p w:rsidR="00721107" w:rsidRPr="00DB7AC7" w:rsidRDefault="00721107" w:rsidP="00721107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</w:pPr>
      <w:r w:rsidRPr="00DB7AC7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DB7AC7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32" w:history="1">
        <w:r w:rsidRPr="00DB7AC7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DB7AC7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DB7AC7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DB7AC7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33" w:history="1">
        <w:proofErr w:type="spellStart"/>
        <w:r w:rsidRPr="00DB7AC7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  <w:proofErr w:type="spellEnd"/>
      </w:hyperlink>
      <w:r w:rsidRPr="00DB7AC7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DB7AC7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DB7AC7">
        <w:rPr>
          <w:rFonts w:ascii="Arial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34" w:history="1">
        <w:r w:rsidRPr="00DB7AC7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p w:rsidR="009756F3" w:rsidRPr="00DB7AC7" w:rsidRDefault="00721107" w:rsidP="00721107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DB7AC7"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35" w:history="1">
        <w:r w:rsidRPr="00DB7AC7">
          <w:rPr>
            <w:rStyle w:val="Hyperlink"/>
            <w:rFonts w:ascii="Arial" w:hAnsi="Arial" w:cs="Arial"/>
            <w:bCs/>
            <w:i/>
            <w:sz w:val="18"/>
            <w:szCs w:val="18"/>
          </w:rPr>
          <w:t>FINA InfoBlokade</w:t>
        </w:r>
      </w:hyperlink>
      <w:r w:rsidRPr="00DB7AC7"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36" w:history="1">
        <w:r w:rsidRPr="00DB7AC7">
          <w:rPr>
            <w:rStyle w:val="Hyperlink"/>
            <w:rFonts w:ascii="Arial" w:hAnsi="Arial" w:cs="Arial"/>
            <w:bCs/>
            <w:i/>
            <w:sz w:val="18"/>
            <w:szCs w:val="18"/>
          </w:rPr>
          <w:t>WEB aplikacije JRR</w:t>
        </w:r>
      </w:hyperlink>
      <w:r w:rsidRPr="00DB7AC7"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37" w:history="1">
        <w:r w:rsidRPr="00DB7AC7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DB7AC7"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9756F3" w:rsidRPr="00DB7AC7" w:rsidSect="00544D40">
      <w:headerReference w:type="first" r:id="rId38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74" w:rsidRDefault="00E73874" w:rsidP="00BC38D8">
      <w:pPr>
        <w:spacing w:after="0" w:line="240" w:lineRule="auto"/>
      </w:pPr>
      <w:r>
        <w:separator/>
      </w:r>
    </w:p>
  </w:endnote>
  <w:endnote w:type="continuationSeparator" w:id="0">
    <w:p w:rsidR="00E73874" w:rsidRDefault="00E73874" w:rsidP="00B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74" w:rsidRDefault="00E73874" w:rsidP="00BC38D8">
      <w:pPr>
        <w:spacing w:after="0" w:line="240" w:lineRule="auto"/>
      </w:pPr>
      <w:r>
        <w:separator/>
      </w:r>
    </w:p>
  </w:footnote>
  <w:footnote w:type="continuationSeparator" w:id="0">
    <w:p w:rsidR="00E73874" w:rsidRDefault="00E73874" w:rsidP="00BC38D8">
      <w:pPr>
        <w:spacing w:after="0" w:line="240" w:lineRule="auto"/>
      </w:pPr>
      <w:r>
        <w:continuationSeparator/>
      </w:r>
    </w:p>
  </w:footnote>
  <w:footnote w:id="1">
    <w:p w:rsidR="009A3771" w:rsidRPr="0032502C" w:rsidRDefault="009A3771" w:rsidP="009A3771">
      <w:pPr>
        <w:pStyle w:val="FootnoteText"/>
        <w:rPr>
          <w:rFonts w:ascii="Arial" w:hAnsi="Arial" w:cs="Arial"/>
          <w:sz w:val="17"/>
          <w:szCs w:val="17"/>
        </w:rPr>
      </w:pPr>
      <w:r w:rsidRPr="0032502C">
        <w:rPr>
          <w:rStyle w:val="FootnoteReference"/>
          <w:rFonts w:ascii="Arial" w:hAnsi="Arial" w:cs="Arial"/>
          <w:color w:val="17365D" w:themeColor="text2" w:themeShade="BF"/>
          <w:sz w:val="17"/>
          <w:szCs w:val="17"/>
        </w:rPr>
        <w:footnoteRef/>
      </w:r>
      <w:r w:rsidR="0032502C" w:rsidRPr="0032502C">
        <w:rPr>
          <w:rFonts w:ascii="Arial" w:hAnsi="Arial" w:cs="Arial"/>
          <w:color w:val="17365D" w:themeColor="text2" w:themeShade="BF"/>
          <w:sz w:val="17"/>
          <w:szCs w:val="17"/>
        </w:rPr>
        <w:t xml:space="preserve"> </w:t>
      </w:r>
      <w:r w:rsidRPr="0032502C">
        <w:rPr>
          <w:rFonts w:ascii="Arial" w:hAnsi="Arial" w:cs="Arial"/>
          <w:color w:val="17365D" w:themeColor="text2" w:themeShade="BF"/>
          <w:sz w:val="17"/>
          <w:szCs w:val="17"/>
        </w:rPr>
        <w:t>Analiza financijskih rezultata poslovanja poduzetnika Republike Hrvatske u 2016. godini na razini županija</w:t>
      </w:r>
      <w:r w:rsidR="0032502C">
        <w:rPr>
          <w:rFonts w:ascii="Arial" w:hAnsi="Arial" w:cs="Arial"/>
          <w:color w:val="17365D" w:themeColor="text2" w:themeShade="BF"/>
          <w:sz w:val="17"/>
          <w:szCs w:val="17"/>
        </w:rPr>
        <w:t>.</w:t>
      </w:r>
    </w:p>
  </w:footnote>
  <w:footnote w:id="2">
    <w:p w:rsidR="009756F3" w:rsidRPr="0032502C" w:rsidRDefault="009756F3" w:rsidP="009756F3">
      <w:pPr>
        <w:pStyle w:val="FootnoteText"/>
        <w:rPr>
          <w:rFonts w:ascii="Arial" w:hAnsi="Arial" w:cs="Arial"/>
          <w:sz w:val="17"/>
          <w:szCs w:val="17"/>
        </w:rPr>
      </w:pPr>
      <w:r w:rsidRPr="0032502C">
        <w:rPr>
          <w:rStyle w:val="FootnoteReference"/>
          <w:rFonts w:ascii="Arial" w:hAnsi="Arial" w:cs="Arial"/>
          <w:sz w:val="17"/>
          <w:szCs w:val="17"/>
        </w:rPr>
        <w:footnoteRef/>
      </w:r>
      <w:r w:rsidRPr="0032502C">
        <w:rPr>
          <w:rFonts w:ascii="Arial" w:hAnsi="Arial" w:cs="Arial"/>
          <w:sz w:val="17"/>
          <w:szCs w:val="17"/>
        </w:rPr>
        <w:t xml:space="preserve"> </w:t>
      </w:r>
      <w:r w:rsidRPr="0032502C">
        <w:rPr>
          <w:rFonts w:ascii="Arial" w:hAnsi="Arial" w:cs="Arial"/>
          <w:color w:val="17365D" w:themeColor="text2" w:themeShade="BF"/>
          <w:sz w:val="17"/>
          <w:szCs w:val="17"/>
        </w:rPr>
        <w:t xml:space="preserve">Analiza financijskih rezultata poslovanja poduzetnika Republike Hrvatske u 2016. godini po </w:t>
      </w:r>
      <w:r w:rsidRPr="0032502C">
        <w:rPr>
          <w:rFonts w:ascii="Arial" w:hAnsi="Arial" w:cs="Arial"/>
          <w:color w:val="17365D" w:themeColor="text2" w:themeShade="BF"/>
          <w:sz w:val="17"/>
          <w:szCs w:val="17"/>
        </w:rPr>
        <w:t>gradovima/općinama</w:t>
      </w:r>
      <w:r w:rsidR="0032502C">
        <w:rPr>
          <w:rFonts w:ascii="Arial" w:hAnsi="Arial" w:cs="Arial"/>
          <w:color w:val="17365D" w:themeColor="text2" w:themeShade="BF"/>
          <w:sz w:val="17"/>
          <w:szCs w:val="17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A0" w:rsidRDefault="002B62A0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5EC9A9A" wp14:editId="20F3EAE0">
          <wp:simplePos x="0" y="0"/>
          <wp:positionH relativeFrom="column">
            <wp:posOffset>-168910</wp:posOffset>
          </wp:positionH>
          <wp:positionV relativeFrom="paragraph">
            <wp:posOffset>-129998</wp:posOffset>
          </wp:positionV>
          <wp:extent cx="1085215" cy="215900"/>
          <wp:effectExtent l="0" t="0" r="635" b="0"/>
          <wp:wrapNone/>
          <wp:docPr id="3" name="Picture 3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8"/>
    <w:rsid w:val="0000239C"/>
    <w:rsid w:val="000037A9"/>
    <w:rsid w:val="00006076"/>
    <w:rsid w:val="00006857"/>
    <w:rsid w:val="00020E7A"/>
    <w:rsid w:val="000238EA"/>
    <w:rsid w:val="00027C52"/>
    <w:rsid w:val="000411E3"/>
    <w:rsid w:val="000447D4"/>
    <w:rsid w:val="00045E21"/>
    <w:rsid w:val="00054CB5"/>
    <w:rsid w:val="000553E2"/>
    <w:rsid w:val="00063853"/>
    <w:rsid w:val="000645F5"/>
    <w:rsid w:val="00072C22"/>
    <w:rsid w:val="000754C7"/>
    <w:rsid w:val="00076C3A"/>
    <w:rsid w:val="0008083A"/>
    <w:rsid w:val="000815FE"/>
    <w:rsid w:val="00085E63"/>
    <w:rsid w:val="00095456"/>
    <w:rsid w:val="000A0352"/>
    <w:rsid w:val="000B7096"/>
    <w:rsid w:val="000D0250"/>
    <w:rsid w:val="000D10D2"/>
    <w:rsid w:val="00102D4A"/>
    <w:rsid w:val="0011163D"/>
    <w:rsid w:val="00132472"/>
    <w:rsid w:val="00145266"/>
    <w:rsid w:val="00182006"/>
    <w:rsid w:val="0018248E"/>
    <w:rsid w:val="001A3967"/>
    <w:rsid w:val="001B4ACC"/>
    <w:rsid w:val="001C2838"/>
    <w:rsid w:val="001D3894"/>
    <w:rsid w:val="001D428E"/>
    <w:rsid w:val="001E6907"/>
    <w:rsid w:val="001F0760"/>
    <w:rsid w:val="00207396"/>
    <w:rsid w:val="00224041"/>
    <w:rsid w:val="00230188"/>
    <w:rsid w:val="00230771"/>
    <w:rsid w:val="00234000"/>
    <w:rsid w:val="00250FFB"/>
    <w:rsid w:val="00253863"/>
    <w:rsid w:val="00264000"/>
    <w:rsid w:val="002926BE"/>
    <w:rsid w:val="002A136F"/>
    <w:rsid w:val="002A1E92"/>
    <w:rsid w:val="002A51B3"/>
    <w:rsid w:val="002B62A0"/>
    <w:rsid w:val="002D7E11"/>
    <w:rsid w:val="002F2F78"/>
    <w:rsid w:val="002F477D"/>
    <w:rsid w:val="00303F52"/>
    <w:rsid w:val="00306D8A"/>
    <w:rsid w:val="00307F1B"/>
    <w:rsid w:val="00310ACF"/>
    <w:rsid w:val="00316F99"/>
    <w:rsid w:val="0032502C"/>
    <w:rsid w:val="00326F10"/>
    <w:rsid w:val="00330664"/>
    <w:rsid w:val="003368E9"/>
    <w:rsid w:val="003422C9"/>
    <w:rsid w:val="003442C3"/>
    <w:rsid w:val="00354A97"/>
    <w:rsid w:val="00355D30"/>
    <w:rsid w:val="00356D3F"/>
    <w:rsid w:val="003718CE"/>
    <w:rsid w:val="003767BC"/>
    <w:rsid w:val="00383F12"/>
    <w:rsid w:val="003A738F"/>
    <w:rsid w:val="003B200E"/>
    <w:rsid w:val="003B3ACC"/>
    <w:rsid w:val="003B3B67"/>
    <w:rsid w:val="003C3DE1"/>
    <w:rsid w:val="003C4625"/>
    <w:rsid w:val="003D1657"/>
    <w:rsid w:val="003D42A0"/>
    <w:rsid w:val="004020E0"/>
    <w:rsid w:val="004067F6"/>
    <w:rsid w:val="00410346"/>
    <w:rsid w:val="004241A9"/>
    <w:rsid w:val="00424FE4"/>
    <w:rsid w:val="00443A56"/>
    <w:rsid w:val="004526DB"/>
    <w:rsid w:val="00457595"/>
    <w:rsid w:val="004678A1"/>
    <w:rsid w:val="00467EE4"/>
    <w:rsid w:val="00470B75"/>
    <w:rsid w:val="00476D78"/>
    <w:rsid w:val="0048110D"/>
    <w:rsid w:val="004854EA"/>
    <w:rsid w:val="00486792"/>
    <w:rsid w:val="00492756"/>
    <w:rsid w:val="004931AB"/>
    <w:rsid w:val="00495760"/>
    <w:rsid w:val="004B2061"/>
    <w:rsid w:val="004B6964"/>
    <w:rsid w:val="004C2C2A"/>
    <w:rsid w:val="004D5EA5"/>
    <w:rsid w:val="004D7AC9"/>
    <w:rsid w:val="004E0FB8"/>
    <w:rsid w:val="004E2E20"/>
    <w:rsid w:val="004E5A17"/>
    <w:rsid w:val="004F0D0B"/>
    <w:rsid w:val="00500BE3"/>
    <w:rsid w:val="0050727B"/>
    <w:rsid w:val="0051768B"/>
    <w:rsid w:val="0052328C"/>
    <w:rsid w:val="005270AA"/>
    <w:rsid w:val="005341B3"/>
    <w:rsid w:val="0054331B"/>
    <w:rsid w:val="00544D08"/>
    <w:rsid w:val="00544D40"/>
    <w:rsid w:val="00547C7C"/>
    <w:rsid w:val="00556C0B"/>
    <w:rsid w:val="00565843"/>
    <w:rsid w:val="005751D6"/>
    <w:rsid w:val="0058002D"/>
    <w:rsid w:val="00581881"/>
    <w:rsid w:val="00587BCC"/>
    <w:rsid w:val="005A5242"/>
    <w:rsid w:val="005A5659"/>
    <w:rsid w:val="005B6A01"/>
    <w:rsid w:val="005D0376"/>
    <w:rsid w:val="005D27AB"/>
    <w:rsid w:val="005D712E"/>
    <w:rsid w:val="005E1301"/>
    <w:rsid w:val="005E33E4"/>
    <w:rsid w:val="005E42CB"/>
    <w:rsid w:val="005E6CFE"/>
    <w:rsid w:val="005E6E77"/>
    <w:rsid w:val="005F03B6"/>
    <w:rsid w:val="005F08FA"/>
    <w:rsid w:val="0060102B"/>
    <w:rsid w:val="0060133E"/>
    <w:rsid w:val="00602FB1"/>
    <w:rsid w:val="00606BDF"/>
    <w:rsid w:val="006140E6"/>
    <w:rsid w:val="006318F0"/>
    <w:rsid w:val="00644B8D"/>
    <w:rsid w:val="00645618"/>
    <w:rsid w:val="006509E9"/>
    <w:rsid w:val="00656637"/>
    <w:rsid w:val="00656FA4"/>
    <w:rsid w:val="00660A7E"/>
    <w:rsid w:val="00663388"/>
    <w:rsid w:val="00663CD7"/>
    <w:rsid w:val="00664D92"/>
    <w:rsid w:val="00672B12"/>
    <w:rsid w:val="0069691C"/>
    <w:rsid w:val="006A0243"/>
    <w:rsid w:val="006B2069"/>
    <w:rsid w:val="006B5CFA"/>
    <w:rsid w:val="006E4A85"/>
    <w:rsid w:val="006E5BDA"/>
    <w:rsid w:val="006F4967"/>
    <w:rsid w:val="006F7EC9"/>
    <w:rsid w:val="00700D1B"/>
    <w:rsid w:val="0071219E"/>
    <w:rsid w:val="00721107"/>
    <w:rsid w:val="00721F8B"/>
    <w:rsid w:val="00767F7B"/>
    <w:rsid w:val="00771797"/>
    <w:rsid w:val="007A2423"/>
    <w:rsid w:val="007A3441"/>
    <w:rsid w:val="007A5DBC"/>
    <w:rsid w:val="007B5AA0"/>
    <w:rsid w:val="007C16F4"/>
    <w:rsid w:val="007E3AA1"/>
    <w:rsid w:val="007E5C72"/>
    <w:rsid w:val="007F3020"/>
    <w:rsid w:val="007F3D3D"/>
    <w:rsid w:val="007F5EED"/>
    <w:rsid w:val="008016C6"/>
    <w:rsid w:val="00811946"/>
    <w:rsid w:val="00813472"/>
    <w:rsid w:val="008164BB"/>
    <w:rsid w:val="008171F8"/>
    <w:rsid w:val="00821E42"/>
    <w:rsid w:val="0082389A"/>
    <w:rsid w:val="00826293"/>
    <w:rsid w:val="008302C5"/>
    <w:rsid w:val="0083487D"/>
    <w:rsid w:val="00840A16"/>
    <w:rsid w:val="008422DF"/>
    <w:rsid w:val="008576A2"/>
    <w:rsid w:val="008602BC"/>
    <w:rsid w:val="00860B0D"/>
    <w:rsid w:val="00862E31"/>
    <w:rsid w:val="00863025"/>
    <w:rsid w:val="00867257"/>
    <w:rsid w:val="00881314"/>
    <w:rsid w:val="00893FC7"/>
    <w:rsid w:val="00894F33"/>
    <w:rsid w:val="008B0850"/>
    <w:rsid w:val="008C0F64"/>
    <w:rsid w:val="008C58FF"/>
    <w:rsid w:val="008D16B2"/>
    <w:rsid w:val="00900544"/>
    <w:rsid w:val="00901734"/>
    <w:rsid w:val="00904D5F"/>
    <w:rsid w:val="009130E9"/>
    <w:rsid w:val="00921BFF"/>
    <w:rsid w:val="009234AB"/>
    <w:rsid w:val="009277CC"/>
    <w:rsid w:val="00935A94"/>
    <w:rsid w:val="00935D5D"/>
    <w:rsid w:val="009650FC"/>
    <w:rsid w:val="009709FE"/>
    <w:rsid w:val="009756F3"/>
    <w:rsid w:val="00984833"/>
    <w:rsid w:val="009A19CA"/>
    <w:rsid w:val="009A3771"/>
    <w:rsid w:val="009B2D75"/>
    <w:rsid w:val="009C2EB8"/>
    <w:rsid w:val="009E40A0"/>
    <w:rsid w:val="009F65FD"/>
    <w:rsid w:val="009F6C76"/>
    <w:rsid w:val="009F7B58"/>
    <w:rsid w:val="00A1066A"/>
    <w:rsid w:val="00A15E6B"/>
    <w:rsid w:val="00A34440"/>
    <w:rsid w:val="00A34916"/>
    <w:rsid w:val="00A432F3"/>
    <w:rsid w:val="00A45646"/>
    <w:rsid w:val="00A673FF"/>
    <w:rsid w:val="00A73F95"/>
    <w:rsid w:val="00A94A8A"/>
    <w:rsid w:val="00A94C62"/>
    <w:rsid w:val="00A97A78"/>
    <w:rsid w:val="00AB40B9"/>
    <w:rsid w:val="00AC367E"/>
    <w:rsid w:val="00AE1FF4"/>
    <w:rsid w:val="00AE3481"/>
    <w:rsid w:val="00AE4C42"/>
    <w:rsid w:val="00AE7CB4"/>
    <w:rsid w:val="00AF2F37"/>
    <w:rsid w:val="00AF6347"/>
    <w:rsid w:val="00B056BE"/>
    <w:rsid w:val="00B10C63"/>
    <w:rsid w:val="00B11008"/>
    <w:rsid w:val="00B135C7"/>
    <w:rsid w:val="00B269BB"/>
    <w:rsid w:val="00B35812"/>
    <w:rsid w:val="00B40240"/>
    <w:rsid w:val="00B4637E"/>
    <w:rsid w:val="00B467A7"/>
    <w:rsid w:val="00B479C5"/>
    <w:rsid w:val="00B51BD3"/>
    <w:rsid w:val="00B64C36"/>
    <w:rsid w:val="00B813D2"/>
    <w:rsid w:val="00B84E64"/>
    <w:rsid w:val="00B90CDA"/>
    <w:rsid w:val="00B966E2"/>
    <w:rsid w:val="00BA58C2"/>
    <w:rsid w:val="00BA7462"/>
    <w:rsid w:val="00BB0BAC"/>
    <w:rsid w:val="00BB36DD"/>
    <w:rsid w:val="00BB615E"/>
    <w:rsid w:val="00BC38D8"/>
    <w:rsid w:val="00BD4CBB"/>
    <w:rsid w:val="00BD516D"/>
    <w:rsid w:val="00BD7906"/>
    <w:rsid w:val="00BE77FD"/>
    <w:rsid w:val="00C0614D"/>
    <w:rsid w:val="00C11B67"/>
    <w:rsid w:val="00C41F3C"/>
    <w:rsid w:val="00C50A42"/>
    <w:rsid w:val="00C527EB"/>
    <w:rsid w:val="00C553C3"/>
    <w:rsid w:val="00C648E9"/>
    <w:rsid w:val="00C76769"/>
    <w:rsid w:val="00C8406B"/>
    <w:rsid w:val="00C91601"/>
    <w:rsid w:val="00CA4B5C"/>
    <w:rsid w:val="00CA5456"/>
    <w:rsid w:val="00CB0C53"/>
    <w:rsid w:val="00CB6FAD"/>
    <w:rsid w:val="00CE34BC"/>
    <w:rsid w:val="00CF5F10"/>
    <w:rsid w:val="00CF6843"/>
    <w:rsid w:val="00D0198B"/>
    <w:rsid w:val="00D11681"/>
    <w:rsid w:val="00D1564B"/>
    <w:rsid w:val="00D15D95"/>
    <w:rsid w:val="00D23F16"/>
    <w:rsid w:val="00D27E58"/>
    <w:rsid w:val="00D32368"/>
    <w:rsid w:val="00D520E2"/>
    <w:rsid w:val="00D52AB8"/>
    <w:rsid w:val="00D54463"/>
    <w:rsid w:val="00D55B18"/>
    <w:rsid w:val="00D65664"/>
    <w:rsid w:val="00D72A79"/>
    <w:rsid w:val="00D76C52"/>
    <w:rsid w:val="00D76E96"/>
    <w:rsid w:val="00D80621"/>
    <w:rsid w:val="00D90800"/>
    <w:rsid w:val="00D92300"/>
    <w:rsid w:val="00D9502A"/>
    <w:rsid w:val="00DA1B90"/>
    <w:rsid w:val="00DB1C9C"/>
    <w:rsid w:val="00DB5805"/>
    <w:rsid w:val="00DB71AA"/>
    <w:rsid w:val="00DB7AC7"/>
    <w:rsid w:val="00DC28CD"/>
    <w:rsid w:val="00DC6908"/>
    <w:rsid w:val="00DC7690"/>
    <w:rsid w:val="00DD1DD7"/>
    <w:rsid w:val="00DD377F"/>
    <w:rsid w:val="00DD7707"/>
    <w:rsid w:val="00DE68E0"/>
    <w:rsid w:val="00DF6E17"/>
    <w:rsid w:val="00E01AD0"/>
    <w:rsid w:val="00E01F48"/>
    <w:rsid w:val="00E0490E"/>
    <w:rsid w:val="00E068F0"/>
    <w:rsid w:val="00E108A6"/>
    <w:rsid w:val="00E16B96"/>
    <w:rsid w:val="00E1760D"/>
    <w:rsid w:val="00E3297F"/>
    <w:rsid w:val="00E334DC"/>
    <w:rsid w:val="00E336D4"/>
    <w:rsid w:val="00E359C0"/>
    <w:rsid w:val="00E44DB2"/>
    <w:rsid w:val="00E45A2D"/>
    <w:rsid w:val="00E5546B"/>
    <w:rsid w:val="00E66BA1"/>
    <w:rsid w:val="00E73874"/>
    <w:rsid w:val="00E95B97"/>
    <w:rsid w:val="00EA46AA"/>
    <w:rsid w:val="00EA619B"/>
    <w:rsid w:val="00EB494B"/>
    <w:rsid w:val="00EC5936"/>
    <w:rsid w:val="00ED73A7"/>
    <w:rsid w:val="00EF1DFC"/>
    <w:rsid w:val="00F109A6"/>
    <w:rsid w:val="00F21E16"/>
    <w:rsid w:val="00F2228D"/>
    <w:rsid w:val="00F23160"/>
    <w:rsid w:val="00F338C3"/>
    <w:rsid w:val="00F33A9C"/>
    <w:rsid w:val="00F3502D"/>
    <w:rsid w:val="00F60C05"/>
    <w:rsid w:val="00F71E8A"/>
    <w:rsid w:val="00F7563B"/>
    <w:rsid w:val="00F764C9"/>
    <w:rsid w:val="00F91FC1"/>
    <w:rsid w:val="00FA7321"/>
    <w:rsid w:val="00FB1E4C"/>
    <w:rsid w:val="00FB4ED1"/>
    <w:rsid w:val="00FB6C4A"/>
    <w:rsid w:val="00FB71DD"/>
    <w:rsid w:val="00FC0DCD"/>
    <w:rsid w:val="00FD77E6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E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D8"/>
  </w:style>
  <w:style w:type="paragraph" w:styleId="Footer">
    <w:name w:val="footer"/>
    <w:basedOn w:val="Normal"/>
    <w:link w:val="FooterChar"/>
    <w:uiPriority w:val="99"/>
    <w:unhideWhenUsed/>
    <w:rsid w:val="00BC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D8"/>
  </w:style>
  <w:style w:type="paragraph" w:styleId="FootnoteText">
    <w:name w:val="footnote text"/>
    <w:basedOn w:val="Normal"/>
    <w:link w:val="FootnoteTextChar"/>
    <w:uiPriority w:val="99"/>
    <w:semiHidden/>
    <w:unhideWhenUsed/>
    <w:rsid w:val="004931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1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31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1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E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3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8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21846792292/19a53552e9307d94566b0febbea53ba0587fba84c9e4a31591f74f761ea6894bb2de10d1f94cc576d25967ac91fc3bd9b3ced00dd8b1c14bc547cb4af180295e" TargetMode="External"/><Relationship Id="rId18" Type="http://schemas.openxmlformats.org/officeDocument/2006/relationships/hyperlink" Target="https://www.transparentno.hr/pregled/09520995772/6b5a7b162cd3719b017cb1164331b1172ef4e5ed26282a7083a5ea6f48b8c55a884e3de0061bb44a13b16bcc1e039eadd4fa9e0f6bbd1df8dad9b27fa40734a5" TargetMode="External"/><Relationship Id="rId26" Type="http://schemas.openxmlformats.org/officeDocument/2006/relationships/hyperlink" Target="https://www.transparentno.hr/pregled/74181493335/c6e5ce205c5e4a67715466562fe560c2a06a5910a4f11a3b8b0a4355b9616cfce0b43c424d75a726940c92e0e52d43a7c33f1998170bbd1f2ff6bb12cb8c267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transparentno.hr/pregled/74181493335/c6e5ce205c5e4a67715466562fe560c2a06a5910a4f11a3b8b0a4355b9616cfce0b43c424d75a726940c92e0e52d43a7c33f1998170bbd1f2ff6bb12cb8c267c" TargetMode="External"/><Relationship Id="rId34" Type="http://schemas.openxmlformats.org/officeDocument/2006/relationships/hyperlink" Target="http://www.fina.hr/Default.aspx?art=8958&amp;sec=12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09520995772/6b5a7b162cd3719b017cb1164331b1172ef4e5ed26282a7083a5ea6f48b8c55a884e3de0061bb44a13b16bcc1e039eadd4fa9e0f6bbd1df8dad9b27fa40734a5" TargetMode="External"/><Relationship Id="rId17" Type="http://schemas.openxmlformats.org/officeDocument/2006/relationships/hyperlink" Target="https://www.transparentno.hr/pregled/74181493335/c6e5ce205c5e4a67715466562fe560c2a06a5910a4f11a3b8b0a4355b9616cfce0b43c424d75a726940c92e0e52d43a7c33f1998170bbd1f2ff6bb12cb8c267c" TargetMode="External"/><Relationship Id="rId25" Type="http://schemas.openxmlformats.org/officeDocument/2006/relationships/hyperlink" Target="https://www.transparentno.hr/pregled/18928523252/112f6dfccbfbb7734b25ca7e4ffdfefffaa3aaa325caa15fe7dbdc7e321e03ca017cb36b538b390e684a19df432e252ffe845edfa6242af17ebaaecd1a9c3a8f" TargetMode="External"/><Relationship Id="rId33" Type="http://schemas.openxmlformats.org/officeDocument/2006/relationships/hyperlink" Target="https://www.transparentno.hr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95970838122/1c866fcd9bcbf90b076201b029755ca23b3c32a252bdd0020b407717b870bc92a91cab97c3bc8dda4fcb231273a549664a4601f3ea1e491183296e6487938910" TargetMode="External"/><Relationship Id="rId20" Type="http://schemas.openxmlformats.org/officeDocument/2006/relationships/hyperlink" Target="https://www.transparentno.hr/pregled/18928523252/112f6dfccbfbb7734b25ca7e4ffdfefffaa3aaa325caa15fe7dbdc7e321e03ca017cb36b538b390e684a19df432e252ffe845edfa6242af17ebaaecd1a9c3a8f" TargetMode="External"/><Relationship Id="rId29" Type="http://schemas.openxmlformats.org/officeDocument/2006/relationships/hyperlink" Target="https://www.transparentno.hr/pregled/31458573467/b1c6968a9f0a7f5adad0f3cae7d131bcb97f45b5cbe15e6a290b5313ff1f92a3fa83a8df29966749fc972468152c1cfa20b61aa4ad18cd3f2c50b6ce61f02c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74181493335/c6e5ce205c5e4a67715466562fe560c2a06a5910a4f11a3b8b0a4355b9616cfce0b43c424d75a726940c92e0e52d43a7c33f1998170bbd1f2ff6bb12cb8c267c" TargetMode="External"/><Relationship Id="rId24" Type="http://schemas.openxmlformats.org/officeDocument/2006/relationships/hyperlink" Target="https://www.transparentno.hr/pregled/82890897726/cb9d870913b1108e84b1e53ff5f181742d3e17dc70122731a7785a8ea66f77488e8235cb89c75a0c4d6f11a938fe79ddc94c9795415c9c48bc0f54c3213dfc08" TargetMode="External"/><Relationship Id="rId32" Type="http://schemas.openxmlformats.org/officeDocument/2006/relationships/hyperlink" Target="http://rgfi.fina.hr/JavnaObjava-web/jsp/prijavaKorisnika.jsp" TargetMode="External"/><Relationship Id="rId37" Type="http://schemas.openxmlformats.org/officeDocument/2006/relationships/hyperlink" Target="http://www.fina.hr/Default.aspx?sec=97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18928523252/112f6dfccbfbb7734b25ca7e4ffdfefffaa3aaa325caa15fe7dbdc7e321e03ca017cb36b538b390e684a19df432e252ffe845edfa6242af17ebaaecd1a9c3a8f" TargetMode="External"/><Relationship Id="rId23" Type="http://schemas.openxmlformats.org/officeDocument/2006/relationships/hyperlink" Target="https://www.transparentno.hr/pregled/09520995772/6b5a7b162cd3719b017cb1164331b1172ef4e5ed26282a7083a5ea6f48b8c55a884e3de0061bb44a13b16bcc1e039eadd4fa9e0f6bbd1df8dad9b27fa40734a5" TargetMode="External"/><Relationship Id="rId28" Type="http://schemas.openxmlformats.org/officeDocument/2006/relationships/hyperlink" Target="https://www.transparentno.hr/pregled/21846792292/19a53552e9307d94566b0febbea53ba0587fba84c9e4a31591f74f761ea6894bb2de10d1f94cc576d25967ac91fc3bd9b3ced00dd8b1c14bc547cb4af180295e" TargetMode="External"/><Relationship Id="rId36" Type="http://schemas.openxmlformats.org/officeDocument/2006/relationships/hyperlink" Target="https://jrr.fina.hr/jrir/" TargetMode="External"/><Relationship Id="rId10" Type="http://schemas.openxmlformats.org/officeDocument/2006/relationships/hyperlink" Target="https://www.transparentno.hr/pregled/95970838122/1c866fcd9bcbf90b076201b029755ca23b3c32a252bdd0020b407717b870bc92a91cab97c3bc8dda4fcb231273a549664a4601f3ea1e491183296e6487938910" TargetMode="External"/><Relationship Id="rId19" Type="http://schemas.openxmlformats.org/officeDocument/2006/relationships/hyperlink" Target="https://www.transparentno.hr/pregled/21846792292/19a53552e9307d94566b0febbea53ba0587fba84c9e4a31591f74f761ea6894bb2de10d1f94cc576d25967ac91fc3bd9b3ced00dd8b1c14bc547cb4af180295e" TargetMode="External"/><Relationship Id="rId31" Type="http://schemas.openxmlformats.org/officeDocument/2006/relationships/hyperlink" Target="http://www.fina.hr/Default.aspx?sec=1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8928523252/112f6dfccbfbb7734b25ca7e4ffdfefffaa3aaa325caa15fe7dbdc7e321e03ca017cb36b538b390e684a19df432e252ffe845edfa6242af17ebaaecd1a9c3a8f" TargetMode="External"/><Relationship Id="rId14" Type="http://schemas.openxmlformats.org/officeDocument/2006/relationships/hyperlink" Target="https://www.transparentno.hr/pregled/41009548961/39e0baaf11395a49c4109d6d9fada7c2e5ba4a363237e0f37c770f63ae6256cbc990e03cf443b52f81f64aea08b1143f0232dc00e326a3afdd0e451b7307bdd3" TargetMode="External"/><Relationship Id="rId22" Type="http://schemas.openxmlformats.org/officeDocument/2006/relationships/hyperlink" Target="https://www.transparentno.hr/pregled/87499126990/93435fc76e34de4ce814addc96dabe93806a47b9759cdffb63d8597b24dc034160842ec9514a6c7f1f92946153fa32e4f2a9e3ff17c1c5ad396b41afce58ffff" TargetMode="External"/><Relationship Id="rId27" Type="http://schemas.openxmlformats.org/officeDocument/2006/relationships/hyperlink" Target="https://www.transparentno.hr/pregled/95970838122/1c866fcd9bcbf90b076201b029755ca23b3c32a252bdd0020b407717b870bc92a91cab97c3bc8dda4fcb231273a549664a4601f3ea1e491183296e6487938910" TargetMode="External"/><Relationship Id="rId30" Type="http://schemas.openxmlformats.org/officeDocument/2006/relationships/hyperlink" Target="https://www.transparentno.hr/pregled/18928523252/112f6dfccbfbb7734b25ca7e4ffdfefffaa3aaa325caa15fe7dbdc7e321e03ca017cb36b538b390e684a19df432e252ffe845edfa6242af17ebaaecd1a9c3a8f" TargetMode="External"/><Relationship Id="rId35" Type="http://schemas.openxmlformats.org/officeDocument/2006/relationships/hyperlink" Target="http://www.fina.hr/Default.aspx?sec=1538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2A37-206B-45B8-AE61-E595AB26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2223</Words>
  <Characters>12674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CREG</dc:creator>
  <cp:lastModifiedBy>admin</cp:lastModifiedBy>
  <cp:revision>3</cp:revision>
  <cp:lastPrinted>2017-08-07T12:46:00Z</cp:lastPrinted>
  <dcterms:created xsi:type="dcterms:W3CDTF">2018-04-17T09:40:00Z</dcterms:created>
  <dcterms:modified xsi:type="dcterms:W3CDTF">2018-04-17T11:45:00Z</dcterms:modified>
</cp:coreProperties>
</file>