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3B" w:rsidRPr="009C35F6" w:rsidRDefault="00FF003B" w:rsidP="009C35F6">
      <w:pPr>
        <w:spacing w:before="60" w:after="0"/>
        <w:jc w:val="both"/>
        <w:rPr>
          <w:rFonts w:ascii="Calibri" w:eastAsia="Calibri" w:hAnsi="Calibri" w:cs="Times New Roman"/>
          <w:i/>
          <w:color w:val="244061" w:themeColor="accent1" w:themeShade="80"/>
          <w:sz w:val="20"/>
          <w:szCs w:val="20"/>
        </w:rPr>
      </w:pPr>
      <w:r w:rsidRPr="009C35F6">
        <w:rPr>
          <w:rFonts w:ascii="Calibri" w:eastAsia="Calibri" w:hAnsi="Calibri" w:cs="Times New Roman"/>
          <w:i/>
          <w:color w:val="244061" w:themeColor="accent1" w:themeShade="80"/>
          <w:sz w:val="20"/>
          <w:szCs w:val="20"/>
        </w:rPr>
        <w:t xml:space="preserve">Zagreb, </w:t>
      </w:r>
      <w:r w:rsidR="008E1773">
        <w:rPr>
          <w:rFonts w:ascii="Calibri" w:eastAsia="Calibri" w:hAnsi="Calibri" w:cs="Times New Roman"/>
          <w:i/>
          <w:color w:val="244061" w:themeColor="accent1" w:themeShade="80"/>
          <w:sz w:val="20"/>
          <w:szCs w:val="20"/>
        </w:rPr>
        <w:t>11. travnja</w:t>
      </w:r>
      <w:r w:rsidR="002B3830">
        <w:rPr>
          <w:rFonts w:ascii="Calibri" w:eastAsia="Calibri" w:hAnsi="Calibri" w:cs="Times New Roman"/>
          <w:i/>
          <w:color w:val="244061" w:themeColor="accent1" w:themeShade="80"/>
          <w:sz w:val="20"/>
          <w:szCs w:val="20"/>
        </w:rPr>
        <w:t xml:space="preserve"> 2018</w:t>
      </w:r>
      <w:r w:rsidR="0023676B">
        <w:rPr>
          <w:rFonts w:ascii="Calibri" w:eastAsia="Calibri" w:hAnsi="Calibri" w:cs="Times New Roman"/>
          <w:i/>
          <w:color w:val="244061" w:themeColor="accent1" w:themeShade="80"/>
          <w:sz w:val="20"/>
          <w:szCs w:val="20"/>
        </w:rPr>
        <w:t>.</w:t>
      </w:r>
    </w:p>
    <w:p w:rsidR="00FF003B" w:rsidRPr="009C35F6" w:rsidRDefault="00FF003B" w:rsidP="00FF003B">
      <w:pPr>
        <w:spacing w:before="120" w:after="0" w:line="288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</w:pPr>
      <w:r w:rsidRPr="009C35F6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>Uvod</w:t>
      </w:r>
    </w:p>
    <w:p w:rsidR="00FF003B" w:rsidRPr="009C35F6" w:rsidRDefault="00FF003B" w:rsidP="00B567C8">
      <w:pPr>
        <w:spacing w:before="60" w:after="0"/>
        <w:jc w:val="both"/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</w:pP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Upisnik sudskih i javnobilježničkih osiguranja tražbina vjerovnika (</w:t>
      </w:r>
      <w:r w:rsidR="008F1FC3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skraćeno: 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Upisnik založnih prava</w:t>
      </w:r>
      <w:r w:rsidR="008F1FC3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, dalje u tekstu: Upisnik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) jedinstvena je baza podataka o upisanim opterećenjima, pravima ili zabranama na pokretninama, dionicama, udjelima i poslovnim udjelima.</w:t>
      </w:r>
      <w:r w:rsidR="008F1FC3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Upisnik je ustrojen 2006. godine na temelju Zakona o upisniku sudskih i javnobilježničkih osiguranja tražbina vjerovnika na pokretnim stvarima i pravima (NN 121/05) i vodi ga Financijska agencija.</w:t>
      </w:r>
    </w:p>
    <w:p w:rsidR="008F1FC3" w:rsidRPr="009C35F6" w:rsidRDefault="008F1FC3" w:rsidP="00F45C24">
      <w:pPr>
        <w:spacing w:before="60" w:after="0"/>
        <w:jc w:val="both"/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</w:pP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Sudska i javnobilježnička založna prava na temelju sporazuma stranaka i prijenosi prava vlasništva i drugih prava, dionica, udjela i poslovnih udjela obavljeni radi osiguranja, stječu se odnosno prenose upisom u Upisnik. Predmeti i prava na kojima se stječe neko pravo osiguranjem ili ovrhom, a koja se upisuju u Upisnik su sljedeća: pokretne stvari i prava, dionice, udjeli i poslovni udjeli u trgovačkom društvu koji se ne upisuju u drugu javnu knjigu, vozila u javnoj evidenciji Ministarstva unutarnjih poslova, patenti, upisani u Registar za patente Državnog zavoda za intelektualno vlasništvo. To su najčešće automobili, strojevi, računala, umjetnička djela, namještaj, poljoprivredni strojevi, poljoprivredno stado, poljoprivredni urod, ukupnost stvari (npr. roba u skladištu), patenti, dionice koje nisu upisane na računima u </w:t>
      </w:r>
      <w:r w:rsidR="00A760A6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Središnjem klirinško depozitarnom društvu d.d.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i poslovni udjeli u trgovačkim društvima.</w:t>
      </w:r>
    </w:p>
    <w:p w:rsidR="008F1FC3" w:rsidRPr="009C35F6" w:rsidRDefault="002E7775" w:rsidP="00F45C24">
      <w:pPr>
        <w:spacing w:before="120" w:after="0"/>
        <w:jc w:val="both"/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</w:pPr>
      <w:r w:rsidRPr="009C35F6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Informacija o broju upisanih pokretnina i prava u Upisniku</w:t>
      </w:r>
    </w:p>
    <w:p w:rsidR="00E14164" w:rsidRPr="00E14164" w:rsidRDefault="00E14164" w:rsidP="00F45C24">
      <w:pPr>
        <w:tabs>
          <w:tab w:val="left" w:pos="1701"/>
          <w:tab w:val="left" w:pos="1985"/>
        </w:tabs>
        <w:spacing w:before="120" w:after="0" w:line="240" w:lineRule="atLeast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>U Upisnik sudskih i javnobilježničkih osiguranja</w:t>
      </w:r>
      <w:r w:rsidR="00DA56D8">
        <w:rPr>
          <w:rFonts w:ascii="Arial" w:hAnsi="Arial" w:cs="Arial"/>
          <w:color w:val="244061" w:themeColor="accent1" w:themeShade="80"/>
          <w:sz w:val="20"/>
          <w:szCs w:val="20"/>
        </w:rPr>
        <w:t xml:space="preserve"> tražbina vjerovnika (skraćeno: 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Upisnik), upisan je veliki broj prava i mjera na pokretnim stvarima i pravima. Od početka rada Upisnika 2006. godine do </w:t>
      </w:r>
      <w:r w:rsidR="002B3830">
        <w:rPr>
          <w:rFonts w:ascii="Arial" w:hAnsi="Arial" w:cs="Arial"/>
          <w:color w:val="244061" w:themeColor="accent1" w:themeShade="80"/>
          <w:sz w:val="20"/>
          <w:szCs w:val="20"/>
        </w:rPr>
        <w:t xml:space="preserve">31. </w:t>
      </w:r>
      <w:r w:rsidR="008E1773">
        <w:rPr>
          <w:rFonts w:ascii="Arial" w:hAnsi="Arial" w:cs="Arial"/>
          <w:color w:val="244061" w:themeColor="accent1" w:themeShade="80"/>
          <w:sz w:val="20"/>
          <w:szCs w:val="20"/>
        </w:rPr>
        <w:t>ožujka 2018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>. godine, broj provedenih upisa koje je provela Fina</w:t>
      </w:r>
      <w:r w:rsidR="003C6343">
        <w:rPr>
          <w:rFonts w:ascii="Arial" w:hAnsi="Arial" w:cs="Arial"/>
          <w:color w:val="244061" w:themeColor="accent1" w:themeShade="80"/>
          <w:sz w:val="20"/>
          <w:szCs w:val="20"/>
        </w:rPr>
        <w:t xml:space="preserve">ncijska agencija dosegnuo je </w:t>
      </w:r>
      <w:r w:rsidR="008E1773">
        <w:rPr>
          <w:rFonts w:ascii="Arial" w:hAnsi="Arial" w:cs="Arial"/>
          <w:color w:val="244061" w:themeColor="accent1" w:themeShade="80"/>
          <w:sz w:val="20"/>
          <w:szCs w:val="20"/>
        </w:rPr>
        <w:t>738.754</w:t>
      </w:r>
      <w:r w:rsidR="003C6343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upisanih pokretnina i prava. Najveći broj odnosi se na ostale pokretnine i prava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8E1773">
        <w:rPr>
          <w:rFonts w:ascii="Arial" w:hAnsi="Arial" w:cs="Arial"/>
          <w:color w:val="244061" w:themeColor="accent1" w:themeShade="80"/>
          <w:sz w:val="20"/>
          <w:szCs w:val="20"/>
        </w:rPr>
        <w:t>330.894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, a iza toga prema broju upisa slijede vozila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8E1773">
        <w:rPr>
          <w:rFonts w:ascii="Arial" w:hAnsi="Arial" w:cs="Arial"/>
          <w:color w:val="244061" w:themeColor="accent1" w:themeShade="80"/>
          <w:sz w:val="20"/>
          <w:szCs w:val="20"/>
        </w:rPr>
        <w:t>181.098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, računala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496276">
        <w:rPr>
          <w:rFonts w:ascii="Arial" w:hAnsi="Arial" w:cs="Arial"/>
          <w:color w:val="244061" w:themeColor="accent1" w:themeShade="80"/>
          <w:sz w:val="20"/>
          <w:szCs w:val="20"/>
        </w:rPr>
        <w:t>98.</w:t>
      </w:r>
      <w:r w:rsidR="008E1773">
        <w:rPr>
          <w:rFonts w:ascii="Arial" w:hAnsi="Arial" w:cs="Arial"/>
          <w:color w:val="244061" w:themeColor="accent1" w:themeShade="80"/>
          <w:sz w:val="20"/>
          <w:szCs w:val="20"/>
        </w:rPr>
        <w:t>313</w:t>
      </w:r>
      <w:r w:rsidR="00EA70A7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, strojevi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8E1773">
        <w:rPr>
          <w:rFonts w:ascii="Arial" w:hAnsi="Arial" w:cs="Arial"/>
          <w:color w:val="244061" w:themeColor="accent1" w:themeShade="80"/>
          <w:sz w:val="20"/>
          <w:szCs w:val="20"/>
        </w:rPr>
        <w:t>58.952</w:t>
      </w:r>
      <w:r w:rsidR="005D6C3A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 i stado/stoka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2B3830">
        <w:rPr>
          <w:rFonts w:ascii="Arial" w:hAnsi="Arial" w:cs="Arial"/>
          <w:color w:val="244061" w:themeColor="accent1" w:themeShade="80"/>
          <w:sz w:val="20"/>
          <w:szCs w:val="20"/>
        </w:rPr>
        <w:t>51.</w:t>
      </w:r>
      <w:r w:rsidR="008E1773">
        <w:rPr>
          <w:rFonts w:ascii="Arial" w:hAnsi="Arial" w:cs="Arial"/>
          <w:color w:val="244061" w:themeColor="accent1" w:themeShade="80"/>
          <w:sz w:val="20"/>
          <w:szCs w:val="20"/>
        </w:rPr>
        <w:t>522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E14164" w:rsidRPr="00E14164" w:rsidRDefault="00E14164" w:rsidP="00F45C24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Drugu skupinu od sveukupno </w:t>
      </w:r>
      <w:r w:rsidR="00627404">
        <w:rPr>
          <w:rFonts w:ascii="Arial" w:hAnsi="Arial" w:cs="Arial"/>
          <w:color w:val="244061" w:themeColor="accent1" w:themeShade="80"/>
          <w:sz w:val="20"/>
          <w:szCs w:val="20"/>
        </w:rPr>
        <w:t>17.</w:t>
      </w:r>
      <w:r w:rsidR="008E1773">
        <w:rPr>
          <w:rFonts w:ascii="Arial" w:hAnsi="Arial" w:cs="Arial"/>
          <w:color w:val="244061" w:themeColor="accent1" w:themeShade="80"/>
          <w:sz w:val="20"/>
          <w:szCs w:val="20"/>
        </w:rPr>
        <w:t>975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 upisanih predmeta osigur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anja čine: poljoprivredni urod (</w:t>
      </w:r>
      <w:r w:rsidR="00496276">
        <w:rPr>
          <w:rFonts w:ascii="Arial" w:hAnsi="Arial" w:cs="Arial"/>
          <w:color w:val="244061" w:themeColor="accent1" w:themeShade="80"/>
          <w:sz w:val="20"/>
          <w:szCs w:val="20"/>
        </w:rPr>
        <w:t>7.</w:t>
      </w:r>
      <w:r w:rsidR="002B3830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="008E1773">
        <w:rPr>
          <w:rFonts w:ascii="Arial" w:hAnsi="Arial" w:cs="Arial"/>
          <w:color w:val="244061" w:themeColor="accent1" w:themeShade="80"/>
          <w:sz w:val="20"/>
          <w:szCs w:val="20"/>
        </w:rPr>
        <w:t>75</w:t>
      </w:r>
      <w:r w:rsidR="00375918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, udjeli i poslovni udjele (</w:t>
      </w:r>
      <w:r w:rsidR="002B3830">
        <w:rPr>
          <w:rFonts w:ascii="Arial" w:hAnsi="Arial" w:cs="Arial"/>
          <w:color w:val="244061" w:themeColor="accent1" w:themeShade="80"/>
          <w:sz w:val="20"/>
          <w:szCs w:val="20"/>
        </w:rPr>
        <w:t>7.</w:t>
      </w:r>
      <w:r w:rsidR="008E1773">
        <w:rPr>
          <w:rFonts w:ascii="Arial" w:hAnsi="Arial" w:cs="Arial"/>
          <w:color w:val="244061" w:themeColor="accent1" w:themeShade="80"/>
          <w:sz w:val="20"/>
          <w:szCs w:val="20"/>
        </w:rPr>
        <w:t>248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, ukupnost stvari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8E1773">
        <w:rPr>
          <w:rFonts w:ascii="Arial" w:hAnsi="Arial" w:cs="Arial"/>
          <w:color w:val="244061" w:themeColor="accent1" w:themeShade="80"/>
          <w:sz w:val="20"/>
          <w:szCs w:val="20"/>
        </w:rPr>
        <w:t>3.034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, dionice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>1</w:t>
      </w:r>
      <w:r w:rsidR="008E1773">
        <w:rPr>
          <w:rFonts w:ascii="Arial" w:hAnsi="Arial" w:cs="Arial"/>
          <w:color w:val="244061" w:themeColor="accent1" w:themeShade="80"/>
          <w:sz w:val="20"/>
          <w:szCs w:val="20"/>
        </w:rPr>
        <w:t>4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 i patent</w:t>
      </w:r>
      <w:r w:rsidR="005611FE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>4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 upisa.</w:t>
      </w:r>
    </w:p>
    <w:p w:rsidR="00E14164" w:rsidRDefault="00E14164" w:rsidP="00F45C24">
      <w:pPr>
        <w:tabs>
          <w:tab w:val="left" w:pos="1701"/>
          <w:tab w:val="left" w:pos="1985"/>
        </w:tabs>
        <w:autoSpaceDE w:val="0"/>
        <w:autoSpaceDN w:val="0"/>
        <w:adjustRightInd w:val="0"/>
        <w:spacing w:before="120" w:after="0" w:line="240" w:lineRule="atLeast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U međuvremenu, od prethodno objavljene informacije za razdoblje zaključno s </w:t>
      </w:r>
      <w:r w:rsidR="008E1773">
        <w:rPr>
          <w:rFonts w:ascii="Arial" w:hAnsi="Arial" w:cs="Arial"/>
          <w:color w:val="244061" w:themeColor="accent1" w:themeShade="80"/>
          <w:sz w:val="20"/>
          <w:szCs w:val="20"/>
        </w:rPr>
        <w:t>31. prosincem</w:t>
      </w:r>
      <w:r w:rsidR="00496276">
        <w:rPr>
          <w:rFonts w:ascii="Arial" w:hAnsi="Arial" w:cs="Arial"/>
          <w:color w:val="244061" w:themeColor="accent1" w:themeShade="80"/>
          <w:sz w:val="20"/>
          <w:szCs w:val="20"/>
        </w:rPr>
        <w:t xml:space="preserve"> 2017.</w:t>
      </w:r>
      <w:r w:rsidR="0017568F">
        <w:rPr>
          <w:rFonts w:ascii="Arial" w:hAnsi="Arial" w:cs="Arial"/>
          <w:color w:val="244061" w:themeColor="accent1" w:themeShade="80"/>
          <w:sz w:val="20"/>
          <w:szCs w:val="20"/>
        </w:rPr>
        <w:t xml:space="preserve"> upisano je novih </w:t>
      </w:r>
      <w:r w:rsidR="008E1773">
        <w:rPr>
          <w:rFonts w:ascii="Arial" w:hAnsi="Arial" w:cs="Arial"/>
          <w:color w:val="244061" w:themeColor="accent1" w:themeShade="80"/>
          <w:sz w:val="20"/>
          <w:szCs w:val="20"/>
        </w:rPr>
        <w:t>9.720</w:t>
      </w:r>
      <w:r w:rsidR="0017568F">
        <w:rPr>
          <w:rFonts w:ascii="Arial" w:hAnsi="Arial" w:cs="Arial"/>
          <w:color w:val="244061" w:themeColor="accent1" w:themeShade="80"/>
          <w:sz w:val="20"/>
          <w:szCs w:val="20"/>
        </w:rPr>
        <w:t xml:space="preserve"> pokretnin</w:t>
      </w:r>
      <w:r w:rsidR="00375918">
        <w:rPr>
          <w:rFonts w:ascii="Arial" w:hAnsi="Arial" w:cs="Arial"/>
          <w:color w:val="244061" w:themeColor="accent1" w:themeShade="80"/>
          <w:sz w:val="20"/>
          <w:szCs w:val="20"/>
        </w:rPr>
        <w:t>e</w:t>
      </w:r>
      <w:r w:rsidR="0017568F">
        <w:rPr>
          <w:rFonts w:ascii="Arial" w:hAnsi="Arial" w:cs="Arial"/>
          <w:color w:val="244061" w:themeColor="accent1" w:themeShade="80"/>
          <w:sz w:val="20"/>
          <w:szCs w:val="20"/>
        </w:rPr>
        <w:t xml:space="preserve"> i prava</w:t>
      </w:r>
      <w:r w:rsidR="00EA4C7E">
        <w:rPr>
          <w:rFonts w:ascii="Arial" w:hAnsi="Arial" w:cs="Arial"/>
          <w:color w:val="244061" w:themeColor="accent1" w:themeShade="80"/>
          <w:sz w:val="20"/>
          <w:szCs w:val="20"/>
        </w:rPr>
        <w:t>. N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ajveći broj u </w:t>
      </w:r>
      <w:r w:rsidR="00B34924">
        <w:rPr>
          <w:rFonts w:ascii="Arial" w:hAnsi="Arial" w:cs="Arial"/>
          <w:color w:val="244061" w:themeColor="accent1" w:themeShade="80"/>
          <w:sz w:val="20"/>
          <w:szCs w:val="20"/>
        </w:rPr>
        <w:t xml:space="preserve">razdoblju </w:t>
      </w:r>
      <w:r w:rsidR="00315E25">
        <w:rPr>
          <w:rFonts w:ascii="Arial" w:hAnsi="Arial" w:cs="Arial"/>
          <w:color w:val="244061" w:themeColor="accent1" w:themeShade="80"/>
          <w:sz w:val="20"/>
          <w:szCs w:val="20"/>
        </w:rPr>
        <w:t>od siječnja do ožujka</w:t>
      </w:r>
      <w:bookmarkStart w:id="0" w:name="_GoBack"/>
      <w:bookmarkEnd w:id="0"/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 odnosio se na ostale pokretnine i prava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8E1773">
        <w:rPr>
          <w:rFonts w:ascii="Arial" w:hAnsi="Arial" w:cs="Arial"/>
          <w:color w:val="244061" w:themeColor="accent1" w:themeShade="80"/>
          <w:sz w:val="20"/>
          <w:szCs w:val="20"/>
        </w:rPr>
        <w:t>6.669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A264F2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na </w:t>
      </w:r>
      <w:r w:rsidR="008E1773">
        <w:rPr>
          <w:rFonts w:ascii="Arial" w:hAnsi="Arial" w:cs="Arial"/>
          <w:color w:val="244061" w:themeColor="accent1" w:themeShade="80"/>
          <w:sz w:val="20"/>
          <w:szCs w:val="20"/>
        </w:rPr>
        <w:t>strojeve</w:t>
      </w:r>
      <w:r w:rsidR="00CB08E1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627404">
        <w:rPr>
          <w:rFonts w:ascii="Arial" w:hAnsi="Arial" w:cs="Arial"/>
          <w:color w:val="244061" w:themeColor="accent1" w:themeShade="80"/>
          <w:sz w:val="20"/>
          <w:szCs w:val="20"/>
        </w:rPr>
        <w:t>1.</w:t>
      </w:r>
      <w:r w:rsidR="008E1773">
        <w:rPr>
          <w:rFonts w:ascii="Arial" w:hAnsi="Arial" w:cs="Arial"/>
          <w:color w:val="244061" w:themeColor="accent1" w:themeShade="80"/>
          <w:sz w:val="20"/>
          <w:szCs w:val="20"/>
        </w:rPr>
        <w:t>447</w:t>
      </w:r>
      <w:r w:rsidR="009F0525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8E1773">
        <w:rPr>
          <w:rFonts w:ascii="Arial" w:hAnsi="Arial" w:cs="Arial"/>
          <w:color w:val="244061" w:themeColor="accent1" w:themeShade="80"/>
          <w:sz w:val="20"/>
          <w:szCs w:val="20"/>
        </w:rPr>
        <w:t xml:space="preserve"> i na vozila</w:t>
      </w:r>
      <w:r w:rsidR="00A264F2">
        <w:rPr>
          <w:rFonts w:ascii="Arial" w:hAnsi="Arial" w:cs="Arial"/>
          <w:color w:val="244061" w:themeColor="accent1" w:themeShade="80"/>
          <w:sz w:val="20"/>
          <w:szCs w:val="20"/>
        </w:rPr>
        <w:t xml:space="preserve"> (</w:t>
      </w:r>
      <w:r w:rsidR="008E1773">
        <w:rPr>
          <w:rFonts w:ascii="Arial" w:hAnsi="Arial" w:cs="Arial"/>
          <w:color w:val="244061" w:themeColor="accent1" w:themeShade="80"/>
          <w:sz w:val="20"/>
          <w:szCs w:val="20"/>
        </w:rPr>
        <w:t>944</w:t>
      </w:r>
      <w:r w:rsidR="00A264F2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9F0525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dok je broj upisanih patenata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>4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 ostao nepromijenjen.</w:t>
      </w:r>
    </w:p>
    <w:p w:rsidR="00D3194F" w:rsidRPr="009C35F6" w:rsidRDefault="00FF003B" w:rsidP="00F45C24">
      <w:pPr>
        <w:tabs>
          <w:tab w:val="left" w:pos="1701"/>
          <w:tab w:val="left" w:pos="1985"/>
        </w:tabs>
        <w:spacing w:before="120" w:after="120" w:line="288" w:lineRule="auto"/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</w:pPr>
      <w:r w:rsidRPr="009C35F6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>Tablica i grafikon</w:t>
      </w:r>
      <w:r w:rsidR="00461F6D" w:rsidRPr="009C35F6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 xml:space="preserve"> 1.</w:t>
      </w:r>
      <w:r w:rsidR="00461F6D" w:rsidRPr="009C35F6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ab/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Upisane pokretnine i prava u </w:t>
      </w:r>
      <w:r w:rsidR="00461F6D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Upisniku u razdoblju od</w:t>
      </w:r>
      <w:r w:rsidR="00903589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</w:t>
      </w:r>
      <w:r w:rsidR="00461F6D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2006. do </w:t>
      </w:r>
      <w:r w:rsidR="00953D34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31. </w:t>
      </w:r>
      <w:r w:rsidR="008E1773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ožujka 2018</w:t>
      </w:r>
      <w:r w:rsidR="00461F6D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. g</w:t>
      </w:r>
      <w:r w:rsid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odine</w:t>
      </w:r>
    </w:p>
    <w:tbl>
      <w:tblPr>
        <w:tblpPr w:leftFromText="180" w:rightFromText="180" w:vertAnchor="text" w:tblpY="1"/>
        <w:tblOverlap w:val="never"/>
        <w:tblW w:w="3081" w:type="dxa"/>
        <w:tblInd w:w="93" w:type="dxa"/>
        <w:tblLook w:val="04A0" w:firstRow="1" w:lastRow="0" w:firstColumn="1" w:lastColumn="0" w:noHBand="0" w:noVBand="1"/>
      </w:tblPr>
      <w:tblGrid>
        <w:gridCol w:w="2142"/>
        <w:gridCol w:w="939"/>
      </w:tblGrid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O</w:t>
            </w:r>
            <w:r w:rsidR="00D3194F"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stale pokretnine i prava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23676B" w:rsidRPr="009C35F6" w:rsidRDefault="008E1773" w:rsidP="0023676B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330.894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FF003B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Vozila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8E1773" w:rsidP="0023676B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181.098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Računala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496276" w:rsidP="008E1773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98.</w:t>
            </w:r>
            <w:r w:rsidR="008E1773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313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Strojevi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8E1773" w:rsidP="0023676B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58.952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Stado/stoka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2B3830" w:rsidP="008E1773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51.</w:t>
            </w:r>
            <w:r w:rsidR="008E1773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522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Poljoprivredni urod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2B3830" w:rsidP="008E1773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7.6</w:t>
            </w:r>
            <w:r w:rsidR="008E1773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75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Udjeli i poslovni udjeli 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2B3830" w:rsidP="008E1773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7.</w:t>
            </w:r>
            <w:r w:rsidR="008E1773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248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Ukupnost stvari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8E1773" w:rsidP="002B3830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3.034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Dionice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8E1773" w:rsidP="00496276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14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Patenti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D3194F" w:rsidP="00FF003B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4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7"/>
                <w:szCs w:val="17"/>
                <w:lang w:eastAsia="hr-HR"/>
              </w:rPr>
              <w:t>Ukupno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C77D8" w:rsidRPr="009C35F6" w:rsidRDefault="008E1773" w:rsidP="007B68E6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738.754</w:t>
            </w:r>
          </w:p>
        </w:tc>
      </w:tr>
    </w:tbl>
    <w:p w:rsidR="00AC3D8E" w:rsidRDefault="002B3830" w:rsidP="00FF003B">
      <w:pPr>
        <w:spacing w:before="60" w:after="0" w:line="288" w:lineRule="auto"/>
        <w:jc w:val="both"/>
        <w:rPr>
          <w:rFonts w:ascii="Arial" w:hAnsi="Arial" w:cs="Arial"/>
        </w:rPr>
      </w:pPr>
      <w:r>
        <w:rPr>
          <w:noProof/>
          <w:lang w:eastAsia="hr-HR"/>
        </w:rPr>
        <w:drawing>
          <wp:inline distT="0" distB="0" distL="0" distR="0" wp14:anchorId="22C9FB3F" wp14:editId="74620EE7">
            <wp:extent cx="4324350" cy="2466975"/>
            <wp:effectExtent l="0" t="0" r="19050" b="9525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F3A24" w:rsidRDefault="005F3A24" w:rsidP="005F3A24">
      <w:pPr>
        <w:spacing w:before="60" w:after="0" w:line="288" w:lineRule="auto"/>
        <w:jc w:val="both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Izvor: Financijska agencija, </w:t>
      </w:r>
      <w:r>
        <w:rPr>
          <w:rFonts w:ascii="Arial" w:eastAsia="Times New Roman" w:hAnsi="Arial" w:cs="Arial"/>
          <w:i/>
          <w:color w:val="244061" w:themeColor="accent1" w:themeShade="80"/>
          <w:sz w:val="19"/>
          <w:szCs w:val="19"/>
          <w:lang w:eastAsia="hr-HR"/>
        </w:rPr>
        <w:t>Upisnik založnih prava</w:t>
      </w:r>
    </w:p>
    <w:p w:rsidR="00461F6D" w:rsidRPr="009C35F6" w:rsidRDefault="00461F6D" w:rsidP="00F45C24">
      <w:pPr>
        <w:spacing w:before="120" w:after="0" w:line="240" w:lineRule="atLeast"/>
        <w:jc w:val="both"/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</w:pP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Jednostavnom pretragom na on-</w:t>
      </w:r>
      <w:proofErr w:type="spellStart"/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line</w:t>
      </w:r>
      <w:proofErr w:type="spellEnd"/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tražilici moguće je pretra</w:t>
      </w:r>
      <w:r w:rsidR="00E01148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žiti 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upis</w:t>
      </w:r>
      <w:r w:rsidR="00E01148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e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pod određenim kriterijima. Također je na 22 upisnička mjesta moguće obaviti i besplatan uvid te zatražiti izvadak ili prijepis iz zbirke isprava. </w:t>
      </w:r>
      <w:hyperlink r:id="rId9" w:history="1">
        <w:r w:rsidRPr="009C35F6">
          <w:rPr>
            <w:rStyle w:val="Hiperveza"/>
            <w:rFonts w:ascii="Arial" w:eastAsia="Times New Roman" w:hAnsi="Arial" w:cs="Arial"/>
            <w:color w:val="244061" w:themeColor="accent1" w:themeShade="80"/>
            <w:sz w:val="19"/>
            <w:szCs w:val="19"/>
            <w:lang w:eastAsia="hr-HR"/>
          </w:rPr>
          <w:t xml:space="preserve">Više o tome na </w:t>
        </w:r>
        <w:r w:rsidR="00E01148" w:rsidRPr="009C35F6">
          <w:rPr>
            <w:rStyle w:val="Hiperveza"/>
            <w:rFonts w:ascii="Arial" w:eastAsia="Times New Roman" w:hAnsi="Arial" w:cs="Arial"/>
            <w:color w:val="244061" w:themeColor="accent1" w:themeShade="80"/>
            <w:sz w:val="19"/>
            <w:szCs w:val="19"/>
            <w:lang w:eastAsia="hr-HR"/>
          </w:rPr>
          <w:t xml:space="preserve">WEB </w:t>
        </w:r>
        <w:r w:rsidRPr="009C35F6">
          <w:rPr>
            <w:rStyle w:val="Hiperveza"/>
            <w:rFonts w:ascii="Arial" w:eastAsia="Times New Roman" w:hAnsi="Arial" w:cs="Arial"/>
            <w:color w:val="244061" w:themeColor="accent1" w:themeShade="80"/>
            <w:sz w:val="19"/>
            <w:szCs w:val="19"/>
            <w:lang w:eastAsia="hr-HR"/>
          </w:rPr>
          <w:t>stranici</w:t>
        </w:r>
        <w:r w:rsidR="00E01148" w:rsidRPr="009C35F6">
          <w:rPr>
            <w:rStyle w:val="Hiperveza"/>
            <w:rFonts w:ascii="Arial" w:eastAsia="Times New Roman" w:hAnsi="Arial" w:cs="Arial"/>
            <w:color w:val="244061" w:themeColor="accent1" w:themeShade="80"/>
            <w:sz w:val="19"/>
            <w:szCs w:val="19"/>
            <w:lang w:eastAsia="hr-HR"/>
          </w:rPr>
          <w:t xml:space="preserve"> Fine .</w:t>
        </w:r>
      </w:hyperlink>
    </w:p>
    <w:p w:rsidR="00461F6D" w:rsidRPr="009C35F6" w:rsidRDefault="00461F6D" w:rsidP="00F45C24">
      <w:pPr>
        <w:spacing w:before="120" w:after="0" w:line="240" w:lineRule="atLeast"/>
        <w:jc w:val="both"/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</w:pP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Od 2</w:t>
      </w:r>
      <w:r w:rsidR="00CF4D96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2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. listopada </w:t>
      </w:r>
      <w:r w:rsidR="00F45C24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2014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. Financijska agencija uvela je novu uslugu „FINA Info šasija“ koja se odnosi na informaciju o statusu upisa tereta na vozilima u Upisniku. </w:t>
      </w:r>
      <w:r w:rsidR="00CF4D96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Slanjem SMS poruke na broj 818058 s brojem šasije automobila, korisnik će dobiti informaciju postoji li terećenje u Upisniku za navedeni automobil. 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U razdoblju od 2</w:t>
      </w:r>
      <w:r w:rsidR="007735CA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2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. listopada </w:t>
      </w:r>
      <w:r w:rsidR="00F45C24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2014. 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do </w:t>
      </w:r>
      <w:r w:rsidR="002B3830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31. </w:t>
      </w:r>
      <w:r w:rsidR="008E1773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ožujka 2018</w:t>
      </w:r>
      <w:r w:rsidR="00CD7170" w:rsidRPr="00CD7170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. poslano je </w:t>
      </w:r>
      <w:r w:rsidR="008E1773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43.309</w:t>
      </w:r>
      <w:r w:rsidR="00B34924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poruka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.</w:t>
      </w:r>
      <w:r w:rsidR="00E01148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</w:t>
      </w:r>
      <w:hyperlink r:id="rId10" w:history="1">
        <w:r w:rsidR="00E01148" w:rsidRPr="009C35F6">
          <w:rPr>
            <w:rStyle w:val="Hiperveza"/>
            <w:rFonts w:ascii="Arial" w:eastAsia="Times New Roman" w:hAnsi="Arial" w:cs="Arial"/>
            <w:color w:val="244061" w:themeColor="accent1" w:themeShade="80"/>
            <w:sz w:val="19"/>
            <w:szCs w:val="19"/>
            <w:lang w:eastAsia="hr-HR"/>
          </w:rPr>
          <w:t>Više na WEB stranici Fine .</w:t>
        </w:r>
      </w:hyperlink>
    </w:p>
    <w:sectPr w:rsidR="00461F6D" w:rsidRPr="009C35F6" w:rsidSect="00F35753">
      <w:headerReference w:type="default" r:id="rId11"/>
      <w:pgSz w:w="11906" w:h="16838"/>
      <w:pgMar w:top="1134" w:right="102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069" w:rsidRDefault="00506069" w:rsidP="00FF003B">
      <w:pPr>
        <w:spacing w:after="0" w:line="240" w:lineRule="auto"/>
      </w:pPr>
      <w:r>
        <w:separator/>
      </w:r>
    </w:p>
  </w:endnote>
  <w:endnote w:type="continuationSeparator" w:id="0">
    <w:p w:rsidR="00506069" w:rsidRDefault="00506069" w:rsidP="00FF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069" w:rsidRDefault="00506069" w:rsidP="00FF003B">
      <w:pPr>
        <w:spacing w:after="0" w:line="240" w:lineRule="auto"/>
      </w:pPr>
      <w:r>
        <w:separator/>
      </w:r>
    </w:p>
  </w:footnote>
  <w:footnote w:type="continuationSeparator" w:id="0">
    <w:p w:rsidR="00506069" w:rsidRDefault="00506069" w:rsidP="00FF0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3B" w:rsidRDefault="00FF003B">
    <w:pPr>
      <w:pStyle w:val="Zaglavlje"/>
    </w:pPr>
    <w:r>
      <w:rPr>
        <w:noProof/>
        <w:lang w:eastAsia="hr-HR"/>
      </w:rPr>
      <w:drawing>
        <wp:inline distT="0" distB="0" distL="0" distR="0" wp14:anchorId="30E8E3F7" wp14:editId="717E4641">
          <wp:extent cx="1485265" cy="358140"/>
          <wp:effectExtent l="0" t="0" r="635" b="3810"/>
          <wp:docPr id="2" name="Picture 2" descr="fin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26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B2"/>
    <w:rsid w:val="000018DC"/>
    <w:rsid w:val="000375CE"/>
    <w:rsid w:val="00063EA7"/>
    <w:rsid w:val="00077AEE"/>
    <w:rsid w:val="000B0BB3"/>
    <w:rsid w:val="000B409A"/>
    <w:rsid w:val="000D0CC2"/>
    <w:rsid w:val="00132E0C"/>
    <w:rsid w:val="00140512"/>
    <w:rsid w:val="0017568F"/>
    <w:rsid w:val="00183D5A"/>
    <w:rsid w:val="001A25DB"/>
    <w:rsid w:val="001C0824"/>
    <w:rsid w:val="001D53FE"/>
    <w:rsid w:val="001E0AF7"/>
    <w:rsid w:val="00204D4C"/>
    <w:rsid w:val="002225FC"/>
    <w:rsid w:val="002345FB"/>
    <w:rsid w:val="0023676B"/>
    <w:rsid w:val="0024337E"/>
    <w:rsid w:val="00254E17"/>
    <w:rsid w:val="002B3830"/>
    <w:rsid w:val="002E2B9D"/>
    <w:rsid w:val="002E7775"/>
    <w:rsid w:val="00303B45"/>
    <w:rsid w:val="00313855"/>
    <w:rsid w:val="00314C15"/>
    <w:rsid w:val="00315E25"/>
    <w:rsid w:val="00320535"/>
    <w:rsid w:val="00346FE2"/>
    <w:rsid w:val="00375918"/>
    <w:rsid w:val="003B3B83"/>
    <w:rsid w:val="003C6343"/>
    <w:rsid w:val="003E45BD"/>
    <w:rsid w:val="003F51C9"/>
    <w:rsid w:val="00401E35"/>
    <w:rsid w:val="00453B09"/>
    <w:rsid w:val="00461F6D"/>
    <w:rsid w:val="004620F0"/>
    <w:rsid w:val="00480C73"/>
    <w:rsid w:val="004906DB"/>
    <w:rsid w:val="00496276"/>
    <w:rsid w:val="004D0C29"/>
    <w:rsid w:val="004D2F1D"/>
    <w:rsid w:val="00505962"/>
    <w:rsid w:val="00506069"/>
    <w:rsid w:val="005255EA"/>
    <w:rsid w:val="00531127"/>
    <w:rsid w:val="005341FB"/>
    <w:rsid w:val="005566CC"/>
    <w:rsid w:val="005611FE"/>
    <w:rsid w:val="005737D2"/>
    <w:rsid w:val="005937B1"/>
    <w:rsid w:val="005C0F0D"/>
    <w:rsid w:val="005C7B29"/>
    <w:rsid w:val="005D6C3A"/>
    <w:rsid w:val="005E15DA"/>
    <w:rsid w:val="005F01A8"/>
    <w:rsid w:val="005F34E2"/>
    <w:rsid w:val="005F3A24"/>
    <w:rsid w:val="005F4CDC"/>
    <w:rsid w:val="005F6FA2"/>
    <w:rsid w:val="0060334F"/>
    <w:rsid w:val="0061160A"/>
    <w:rsid w:val="00623B7F"/>
    <w:rsid w:val="00627404"/>
    <w:rsid w:val="006365DC"/>
    <w:rsid w:val="00641446"/>
    <w:rsid w:val="0064451E"/>
    <w:rsid w:val="006B5AD2"/>
    <w:rsid w:val="006C5A1A"/>
    <w:rsid w:val="00722638"/>
    <w:rsid w:val="007563A4"/>
    <w:rsid w:val="00770B59"/>
    <w:rsid w:val="007735CA"/>
    <w:rsid w:val="007B68E6"/>
    <w:rsid w:val="007C1E0D"/>
    <w:rsid w:val="00802779"/>
    <w:rsid w:val="00837856"/>
    <w:rsid w:val="008629D7"/>
    <w:rsid w:val="00875CD6"/>
    <w:rsid w:val="008A3E7C"/>
    <w:rsid w:val="008D0EDE"/>
    <w:rsid w:val="008D3FB2"/>
    <w:rsid w:val="008E1773"/>
    <w:rsid w:val="008F1FC3"/>
    <w:rsid w:val="00903589"/>
    <w:rsid w:val="00907021"/>
    <w:rsid w:val="00936E6A"/>
    <w:rsid w:val="00953D34"/>
    <w:rsid w:val="00955015"/>
    <w:rsid w:val="00960033"/>
    <w:rsid w:val="0099475C"/>
    <w:rsid w:val="009C35F6"/>
    <w:rsid w:val="009E45DC"/>
    <w:rsid w:val="009F0525"/>
    <w:rsid w:val="00A264F2"/>
    <w:rsid w:val="00A6697E"/>
    <w:rsid w:val="00A760A6"/>
    <w:rsid w:val="00AC3D8E"/>
    <w:rsid w:val="00AC77D8"/>
    <w:rsid w:val="00B17A51"/>
    <w:rsid w:val="00B34924"/>
    <w:rsid w:val="00B567C8"/>
    <w:rsid w:val="00BC6AF7"/>
    <w:rsid w:val="00BD02F4"/>
    <w:rsid w:val="00BD2767"/>
    <w:rsid w:val="00BF1108"/>
    <w:rsid w:val="00BF2C59"/>
    <w:rsid w:val="00C57943"/>
    <w:rsid w:val="00C9024E"/>
    <w:rsid w:val="00CA1EE0"/>
    <w:rsid w:val="00CB08E1"/>
    <w:rsid w:val="00CC590B"/>
    <w:rsid w:val="00CD7170"/>
    <w:rsid w:val="00CE411F"/>
    <w:rsid w:val="00CF4D96"/>
    <w:rsid w:val="00D15092"/>
    <w:rsid w:val="00D3194F"/>
    <w:rsid w:val="00D37BBE"/>
    <w:rsid w:val="00D65C2C"/>
    <w:rsid w:val="00D80D66"/>
    <w:rsid w:val="00D82B62"/>
    <w:rsid w:val="00DA31C8"/>
    <w:rsid w:val="00DA56D8"/>
    <w:rsid w:val="00DE601F"/>
    <w:rsid w:val="00E01148"/>
    <w:rsid w:val="00E14164"/>
    <w:rsid w:val="00E1590F"/>
    <w:rsid w:val="00E1749D"/>
    <w:rsid w:val="00E24BC7"/>
    <w:rsid w:val="00E3076B"/>
    <w:rsid w:val="00E36D0C"/>
    <w:rsid w:val="00E532F2"/>
    <w:rsid w:val="00E66560"/>
    <w:rsid w:val="00E944D9"/>
    <w:rsid w:val="00EA4C7E"/>
    <w:rsid w:val="00EA70A7"/>
    <w:rsid w:val="00ED6FC1"/>
    <w:rsid w:val="00ED7E39"/>
    <w:rsid w:val="00EE1265"/>
    <w:rsid w:val="00F12547"/>
    <w:rsid w:val="00F14C2B"/>
    <w:rsid w:val="00F156B9"/>
    <w:rsid w:val="00F3064D"/>
    <w:rsid w:val="00F35753"/>
    <w:rsid w:val="00F45C24"/>
    <w:rsid w:val="00F80571"/>
    <w:rsid w:val="00F863CC"/>
    <w:rsid w:val="00F9593B"/>
    <w:rsid w:val="00FC6BD5"/>
    <w:rsid w:val="00FF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31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194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F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F003B"/>
  </w:style>
  <w:style w:type="paragraph" w:styleId="Podnoje">
    <w:name w:val="footer"/>
    <w:basedOn w:val="Normal"/>
    <w:link w:val="PodnojeChar"/>
    <w:uiPriority w:val="99"/>
    <w:unhideWhenUsed/>
    <w:rsid w:val="00FF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F003B"/>
  </w:style>
  <w:style w:type="character" w:styleId="Hiperveza">
    <w:name w:val="Hyperlink"/>
    <w:basedOn w:val="Zadanifontodlomka"/>
    <w:uiPriority w:val="99"/>
    <w:unhideWhenUsed/>
    <w:rsid w:val="00E01148"/>
    <w:rPr>
      <w:color w:val="0000FF" w:themeColor="hyperlink"/>
      <w:u w:val="single"/>
    </w:rPr>
  </w:style>
  <w:style w:type="paragraph" w:styleId="Revizija">
    <w:name w:val="Revision"/>
    <w:hidden/>
    <w:uiPriority w:val="99"/>
    <w:semiHidden/>
    <w:rsid w:val="001C08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31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194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F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F003B"/>
  </w:style>
  <w:style w:type="paragraph" w:styleId="Podnoje">
    <w:name w:val="footer"/>
    <w:basedOn w:val="Normal"/>
    <w:link w:val="PodnojeChar"/>
    <w:uiPriority w:val="99"/>
    <w:unhideWhenUsed/>
    <w:rsid w:val="00FF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F003B"/>
  </w:style>
  <w:style w:type="character" w:styleId="Hiperveza">
    <w:name w:val="Hyperlink"/>
    <w:basedOn w:val="Zadanifontodlomka"/>
    <w:uiPriority w:val="99"/>
    <w:unhideWhenUsed/>
    <w:rsid w:val="00E01148"/>
    <w:rPr>
      <w:color w:val="0000FF" w:themeColor="hyperlink"/>
      <w:u w:val="single"/>
    </w:rPr>
  </w:style>
  <w:style w:type="paragraph" w:styleId="Revizija">
    <w:name w:val="Revision"/>
    <w:hidden/>
    <w:uiPriority w:val="99"/>
    <w:semiHidden/>
    <w:rsid w:val="001C08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ina.hr/Default.aspx?sec=17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loznaprava.fina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9348004860914584"/>
          <c:y val="7.2775767893878129E-2"/>
          <c:w val="0.63077664851364945"/>
          <c:h val="0.82419698204259517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4">
                <a:lumMod val="75000"/>
              </a:schemeClr>
            </a:solidFill>
            <a:ln>
              <a:solidFill>
                <a:schemeClr val="accent4">
                  <a:lumMod val="50000"/>
                </a:schemeClr>
              </a:solidFill>
            </a:ln>
          </c:spPr>
          <c:invertIfNegative val="0"/>
          <c:cat>
            <c:strRef>
              <c:f>List3!$A$4:$A$13</c:f>
              <c:strCache>
                <c:ptCount val="10"/>
                <c:pt idx="0">
                  <c:v>ostale pokretnine i prava</c:v>
                </c:pt>
                <c:pt idx="1">
                  <c:v>vozila</c:v>
                </c:pt>
                <c:pt idx="2">
                  <c:v>računala</c:v>
                </c:pt>
                <c:pt idx="3">
                  <c:v>strojevi</c:v>
                </c:pt>
                <c:pt idx="4">
                  <c:v>stado/stoka</c:v>
                </c:pt>
                <c:pt idx="5">
                  <c:v>poljoprivredni urod</c:v>
                </c:pt>
                <c:pt idx="6">
                  <c:v>udjeli i poslovni udjeli </c:v>
                </c:pt>
                <c:pt idx="7">
                  <c:v>ukupnost stvari</c:v>
                </c:pt>
                <c:pt idx="8">
                  <c:v>dionice</c:v>
                </c:pt>
                <c:pt idx="9">
                  <c:v>patenti</c:v>
                </c:pt>
              </c:strCache>
            </c:strRef>
          </c:cat>
          <c:val>
            <c:numRef>
              <c:f>List3!$D$4:$D$13</c:f>
              <c:numCache>
                <c:formatCode>#,##0</c:formatCode>
                <c:ptCount val="10"/>
                <c:pt idx="0">
                  <c:v>324225</c:v>
                </c:pt>
                <c:pt idx="1">
                  <c:v>180154</c:v>
                </c:pt>
                <c:pt idx="2">
                  <c:v>98235</c:v>
                </c:pt>
                <c:pt idx="3">
                  <c:v>57505</c:v>
                </c:pt>
                <c:pt idx="4">
                  <c:v>51178</c:v>
                </c:pt>
                <c:pt idx="5">
                  <c:v>7669</c:v>
                </c:pt>
                <c:pt idx="6">
                  <c:v>7144</c:v>
                </c:pt>
                <c:pt idx="7">
                  <c:v>2907</c:v>
                </c:pt>
                <c:pt idx="8">
                  <c:v>13</c:v>
                </c:pt>
                <c:pt idx="9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575296"/>
        <c:axId val="37577088"/>
      </c:barChart>
      <c:catAx>
        <c:axId val="375752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tx2">
                    <a:lumMod val="50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sr-Latn-RS"/>
          </a:p>
        </c:txPr>
        <c:crossAx val="37577088"/>
        <c:crosses val="autoZero"/>
        <c:auto val="1"/>
        <c:lblAlgn val="ctr"/>
        <c:lblOffset val="100"/>
        <c:noMultiLvlLbl val="0"/>
      </c:catAx>
      <c:valAx>
        <c:axId val="37577088"/>
        <c:scaling>
          <c:orientation val="minMax"/>
        </c:scaling>
        <c:delete val="0"/>
        <c:axPos val="b"/>
        <c:majorGridlines/>
        <c:numFmt formatCode="#,##0" sourceLinked="1"/>
        <c:majorTickMark val="out"/>
        <c:minorTickMark val="none"/>
        <c:tickLblPos val="nextTo"/>
        <c:spPr>
          <a:ln w="3175">
            <a:solidFill>
              <a:schemeClr val="bg1">
                <a:lumMod val="75000"/>
              </a:schemeClr>
            </a:solidFill>
          </a:ln>
        </c:spPr>
        <c:txPr>
          <a:bodyPr/>
          <a:lstStyle/>
          <a:p>
            <a:pPr>
              <a:defRPr sz="700" baseline="0">
                <a:solidFill>
                  <a:schemeClr val="tx2">
                    <a:lumMod val="50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sr-Latn-RS"/>
          </a:p>
        </c:txPr>
        <c:crossAx val="37575296"/>
        <c:crosses val="autoZero"/>
        <c:crossBetween val="between"/>
        <c:majorUnit val="50000"/>
      </c:valAx>
      <c:spPr>
        <a:gradFill flip="none" rotWithShape="1">
          <a:gsLst>
            <a:gs pos="0">
              <a:srgbClr val="8488C4">
                <a:lumMod val="57000"/>
                <a:lumOff val="43000"/>
              </a:srgbClr>
            </a:gs>
            <a:gs pos="53000">
              <a:srgbClr val="D4DEFF">
                <a:lumMod val="29000"/>
                <a:lumOff val="71000"/>
              </a:srgbClr>
            </a:gs>
            <a:gs pos="83000">
              <a:srgbClr val="D4DEFF">
                <a:lumMod val="16000"/>
                <a:lumOff val="84000"/>
              </a:srgbClr>
            </a:gs>
            <a:gs pos="100000">
              <a:srgbClr val="96AB94">
                <a:lumMod val="32000"/>
                <a:lumOff val="68000"/>
              </a:srgbClr>
            </a:gs>
          </a:gsLst>
          <a:lin ang="16200000" scaled="1"/>
          <a:tileRect/>
        </a:gradFill>
        <a:ln>
          <a:solidFill>
            <a:schemeClr val="bg1">
              <a:lumMod val="75000"/>
            </a:schemeClr>
          </a:solidFill>
        </a:ln>
      </c:spPr>
    </c:plotArea>
    <c:plotVisOnly val="1"/>
    <c:dispBlanksAs val="gap"/>
    <c:showDLblsOverMax val="0"/>
  </c:chart>
  <c:spPr>
    <a:gradFill>
      <a:gsLst>
        <a:gs pos="0">
          <a:srgbClr val="8488C4">
            <a:lumMod val="57000"/>
            <a:lumOff val="43000"/>
          </a:srgbClr>
        </a:gs>
        <a:gs pos="53000">
          <a:srgbClr val="D4DEFF">
            <a:lumMod val="29000"/>
            <a:lumOff val="71000"/>
          </a:srgbClr>
        </a:gs>
        <a:gs pos="83000">
          <a:srgbClr val="D4DEFF">
            <a:lumMod val="16000"/>
            <a:lumOff val="84000"/>
          </a:srgbClr>
        </a:gs>
        <a:gs pos="100000">
          <a:srgbClr val="96AB94">
            <a:lumMod val="32000"/>
            <a:lumOff val="68000"/>
          </a:srgbClr>
        </a:gs>
      </a:gsLst>
      <a:lin ang="5400000" scaled="0"/>
    </a:gradFill>
    <a:ln w="3175">
      <a:solidFill>
        <a:schemeClr val="tx2">
          <a:lumMod val="50000"/>
        </a:schemeClr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C3C09-3EDF-4336-B3C6-4070B7966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Bižić</dc:creator>
  <cp:lastModifiedBy>Dario Rukavina</cp:lastModifiedBy>
  <cp:revision>4</cp:revision>
  <cp:lastPrinted>2015-06-09T05:57:00Z</cp:lastPrinted>
  <dcterms:created xsi:type="dcterms:W3CDTF">2018-01-10T07:21:00Z</dcterms:created>
  <dcterms:modified xsi:type="dcterms:W3CDTF">2018-04-11T09:39:00Z</dcterms:modified>
</cp:coreProperties>
</file>