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7" w:rsidRPr="00525791" w:rsidRDefault="00201B26" w:rsidP="00404FB3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525791">
        <w:rPr>
          <w:rFonts w:ascii="Arial" w:hAnsi="Arial" w:cs="Arial"/>
          <w:b/>
          <w:color w:val="17365D" w:themeColor="text2" w:themeShade="BF"/>
          <w:sz w:val="20"/>
          <w:szCs w:val="20"/>
        </w:rPr>
        <w:t>PODUZETNICI U PODRUČJU POSLOVANJ</w:t>
      </w:r>
      <w:r w:rsidR="00672482">
        <w:rPr>
          <w:rFonts w:ascii="Arial" w:hAnsi="Arial" w:cs="Arial"/>
          <w:b/>
          <w:color w:val="17365D" w:themeColor="text2" w:themeShade="BF"/>
          <w:sz w:val="20"/>
          <w:szCs w:val="20"/>
        </w:rPr>
        <w:t>A</w:t>
      </w:r>
      <w:r w:rsidRPr="00525791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NEKRETNINAMA U 2016. SMANJILI GUBITAK ZA 52,1 %</w:t>
      </w:r>
    </w:p>
    <w:p w:rsidR="00C95278" w:rsidRPr="008B7D5B" w:rsidRDefault="00102ED7" w:rsidP="00525791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642222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2016. godini u </w:t>
      </w:r>
      <w:r w:rsidR="00A21BAF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području </w:t>
      </w:r>
      <w:r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djelatnosti </w:t>
      </w:r>
      <w:r w:rsidR="00532AA3">
        <w:rPr>
          <w:rFonts w:ascii="Arial" w:hAnsi="Arial" w:cs="Arial"/>
          <w:color w:val="17365D" w:themeColor="text2" w:themeShade="BF"/>
          <w:sz w:val="20"/>
          <w:szCs w:val="20"/>
        </w:rPr>
        <w:t>p</w:t>
      </w:r>
      <w:r w:rsidR="00067803" w:rsidRPr="008B7D5B">
        <w:rPr>
          <w:rFonts w:ascii="Arial" w:hAnsi="Arial" w:cs="Arial"/>
          <w:color w:val="17365D" w:themeColor="text2" w:themeShade="BF"/>
          <w:sz w:val="20"/>
          <w:szCs w:val="20"/>
        </w:rPr>
        <w:t>oslovanj</w:t>
      </w:r>
      <w:r w:rsidR="00532AA3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nekret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ninama </w:t>
      </w:r>
      <w:r w:rsidR="00532AA3">
        <w:rPr>
          <w:rFonts w:ascii="Arial" w:hAnsi="Arial" w:cs="Arial"/>
          <w:color w:val="17365D" w:themeColor="text2" w:themeShade="BF"/>
          <w:sz w:val="20"/>
          <w:szCs w:val="20"/>
        </w:rPr>
        <w:t xml:space="preserve">(L),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poslovalo je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4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938</w:t>
      </w:r>
      <w:r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>poduzetnik</w:t>
      </w:r>
      <w:r w:rsidR="00D70D17" w:rsidRPr="008B7D5B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191CB8" w:rsidRPr="008B7D5B">
        <w:rPr>
          <w:rStyle w:val="FootnoteReference"/>
          <w:rFonts w:ascii="Arial" w:hAnsi="Arial" w:cs="Arial"/>
          <w:color w:val="17365D" w:themeColor="text2" w:themeShade="BF"/>
          <w:sz w:val="20"/>
          <w:szCs w:val="20"/>
        </w:rPr>
        <w:footnoteReference w:id="1"/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kod </w:t>
      </w:r>
      <w:r w:rsidR="00D70D17" w:rsidRPr="008B7D5B">
        <w:rPr>
          <w:rFonts w:ascii="Arial" w:hAnsi="Arial" w:cs="Arial"/>
          <w:color w:val="17365D" w:themeColor="text2" w:themeShade="BF"/>
          <w:sz w:val="20"/>
          <w:szCs w:val="20"/>
        </w:rPr>
        <w:t>kojih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je bilo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14</w:t>
      </w:r>
      <w:r w:rsidR="009411BD">
        <w:rPr>
          <w:rFonts w:ascii="Arial" w:hAnsi="Arial" w:cs="Arial"/>
          <w:color w:val="17365D" w:themeColor="text2" w:themeShade="BF"/>
          <w:sz w:val="20"/>
          <w:szCs w:val="20"/>
        </w:rPr>
        <w:t> 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366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32AA3">
        <w:rPr>
          <w:rFonts w:ascii="Arial" w:hAnsi="Arial" w:cs="Arial"/>
          <w:color w:val="17365D" w:themeColor="text2" w:themeShade="BF"/>
          <w:sz w:val="20"/>
          <w:szCs w:val="20"/>
        </w:rPr>
        <w:t>zaposlenih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Ostvarili su </w:t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ukupne prihode od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10,7 milijardi</w:t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kuna, ukupne rashode od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10,8</w:t>
      </w:r>
      <w:r w:rsidR="00D70D17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milijardi</w:t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kuna, 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dobit razdoblja od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1,2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milijarde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kuna, gubitak razdoblja od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1,5</w:t>
      </w:r>
      <w:r w:rsidR="00D70D17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milijardi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te iskazali neto gubitak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283,3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D70D17" w:rsidRPr="008B7D5B">
        <w:rPr>
          <w:rFonts w:ascii="Arial" w:hAnsi="Arial" w:cs="Arial"/>
          <w:color w:val="17365D" w:themeColor="text2" w:themeShade="BF"/>
          <w:sz w:val="20"/>
          <w:szCs w:val="20"/>
        </w:rPr>
        <w:t>milijuna</w:t>
      </w:r>
      <w:r w:rsidR="00AE2136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. Od ukupnog broja poduzetnika, njih 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2067 poslovalo je</w:t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s dobiti, dok je preostalih </w:t>
      </w:r>
      <w:r w:rsidR="00D70D17" w:rsidRPr="008B7D5B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8B7D5B" w:rsidRPr="008B7D5B">
        <w:rPr>
          <w:rFonts w:ascii="Arial" w:hAnsi="Arial" w:cs="Arial"/>
          <w:color w:val="17365D" w:themeColor="text2" w:themeShade="BF"/>
          <w:sz w:val="20"/>
          <w:szCs w:val="20"/>
        </w:rPr>
        <w:t>871</w:t>
      </w:r>
      <w:r w:rsidR="00191CB8" w:rsidRPr="008B7D5B">
        <w:rPr>
          <w:rFonts w:ascii="Arial" w:hAnsi="Arial" w:cs="Arial"/>
          <w:color w:val="17365D" w:themeColor="text2" w:themeShade="BF"/>
          <w:sz w:val="20"/>
          <w:szCs w:val="20"/>
        </w:rPr>
        <w:t xml:space="preserve"> iskazalo gubitke.</w:t>
      </w:r>
    </w:p>
    <w:p w:rsidR="00A21BAF" w:rsidRPr="006D40A2" w:rsidRDefault="006D40A2" w:rsidP="00BB22DA">
      <w:pPr>
        <w:spacing w:before="120" w:after="0" w:line="271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odnosu na prethodnu godinu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ukupni prihodi porasli su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12,9</w:t>
      </w:r>
      <w:r w:rsidR="00E847B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ukupni rashodi 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8,6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razdoblja 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32,0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A21BAF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gubitak razdoblja smanjen je za</w:t>
      </w:r>
      <w:r w:rsidR="002822EB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1,7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822EB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te je iskazan neto gubitak koji je smanjen za 52,1</w:t>
      </w:r>
      <w:r w:rsidR="00E847B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2822EB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Također je povećan izvoz za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32,9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i uvoz 54,4</w:t>
      </w:r>
      <w:r w:rsidR="00E847B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F46C6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te</w:t>
      </w:r>
      <w:r w:rsidR="002822EB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trgovinski suficit iznosio 101,0 milijun</w:t>
      </w:r>
      <w:r w:rsidR="002822EB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 od 18,4</w:t>
      </w:r>
      <w:r w:rsidR="00E847B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 odnosu na 2015. godinu</w:t>
      </w:r>
      <w:r w:rsidR="00EB4428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2822EB" w:rsidRPr="006D40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DB370D" w:rsidRPr="00E847B7" w:rsidRDefault="008D0789" w:rsidP="008910C4">
      <w:pPr>
        <w:tabs>
          <w:tab w:val="left" w:pos="709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>Pros</w:t>
      </w:r>
      <w:r w:rsidR="00AE2136" w:rsidRPr="00E847B7">
        <w:rPr>
          <w:rFonts w:ascii="Arial" w:hAnsi="Arial" w:cs="Arial"/>
          <w:color w:val="17365D" w:themeColor="text2" w:themeShade="BF"/>
          <w:sz w:val="20"/>
          <w:szCs w:val="20"/>
        </w:rPr>
        <w:t>j</w:t>
      </w:r>
      <w:r w:rsidR="00EA15AC" w:rsidRPr="00E847B7">
        <w:rPr>
          <w:rFonts w:ascii="Arial" w:hAnsi="Arial" w:cs="Arial"/>
          <w:color w:val="17365D" w:themeColor="text2" w:themeShade="BF"/>
          <w:sz w:val="20"/>
          <w:szCs w:val="20"/>
        </w:rPr>
        <w:t>ečna mjesečna neto plaća u 2016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iznosila je </w:t>
      </w:r>
      <w:r w:rsidR="00EA15AC" w:rsidRPr="00E847B7">
        <w:rPr>
          <w:rFonts w:ascii="Arial" w:hAnsi="Arial" w:cs="Arial"/>
          <w:color w:val="17365D" w:themeColor="text2" w:themeShade="BF"/>
          <w:sz w:val="20"/>
          <w:szCs w:val="20"/>
        </w:rPr>
        <w:t>6.162</w:t>
      </w:r>
      <w:r w:rsidR="00AB12B6"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 kune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 i </w:t>
      </w:r>
      <w:r w:rsidR="00AB12B6" w:rsidRPr="00E847B7">
        <w:rPr>
          <w:rFonts w:ascii="Arial" w:hAnsi="Arial" w:cs="Arial"/>
          <w:color w:val="17365D" w:themeColor="text2" w:themeShade="BF"/>
          <w:sz w:val="20"/>
          <w:szCs w:val="20"/>
        </w:rPr>
        <w:t>veća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 je </w:t>
      </w:r>
      <w:r w:rsidR="00AB12B6" w:rsidRPr="00E847B7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E847B7" w:rsidRPr="00E847B7">
        <w:rPr>
          <w:rFonts w:ascii="Arial" w:hAnsi="Arial" w:cs="Arial"/>
          <w:color w:val="17365D" w:themeColor="text2" w:themeShade="BF"/>
          <w:sz w:val="20"/>
          <w:szCs w:val="20"/>
        </w:rPr>
        <w:t>,2</w:t>
      </w:r>
      <w:r w:rsidR="00AB12B6"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>% u o</w:t>
      </w:r>
      <w:r w:rsidR="00E847B7" w:rsidRPr="00E847B7">
        <w:rPr>
          <w:rFonts w:ascii="Arial" w:hAnsi="Arial" w:cs="Arial"/>
          <w:color w:val="17365D" w:themeColor="text2" w:themeShade="BF"/>
          <w:sz w:val="20"/>
          <w:szCs w:val="20"/>
        </w:rPr>
        <w:t>dnosu na obračunatu plaću u 2015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>. godini</w:t>
      </w:r>
      <w:r w:rsidR="00AB12B6" w:rsidRPr="00E847B7">
        <w:rPr>
          <w:rFonts w:ascii="Arial" w:hAnsi="Arial" w:cs="Arial"/>
          <w:color w:val="17365D" w:themeColor="text2" w:themeShade="BF"/>
          <w:sz w:val="20"/>
          <w:szCs w:val="20"/>
        </w:rPr>
        <w:t>. U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natoč </w:t>
      </w:r>
      <w:r w:rsidR="002E0A62"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iskazanom 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negativnom </w:t>
      </w:r>
      <w:r w:rsidR="002E0A62" w:rsidRPr="00E847B7">
        <w:rPr>
          <w:rFonts w:ascii="Arial" w:hAnsi="Arial" w:cs="Arial"/>
          <w:color w:val="17365D" w:themeColor="text2" w:themeShade="BF"/>
          <w:sz w:val="20"/>
          <w:szCs w:val="20"/>
        </w:rPr>
        <w:t>financijskom rezultatu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 nadmašila </w:t>
      </w:r>
      <w:r w:rsidR="00AB12B6"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prosječnu mjesečnu neto plaću </w:t>
      </w:r>
      <w:r w:rsidR="009411BD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kod 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>poduzetnika Hrvatske</w:t>
      </w:r>
      <w:r w:rsidR="009411BD">
        <w:rPr>
          <w:rFonts w:ascii="Arial" w:hAnsi="Arial" w:cs="Arial"/>
          <w:color w:val="17365D" w:themeColor="text2" w:themeShade="BF"/>
          <w:sz w:val="20"/>
          <w:szCs w:val="20"/>
        </w:rPr>
        <w:t xml:space="preserve"> (5.140 kn), 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E847B7" w:rsidRPr="00E847B7">
        <w:rPr>
          <w:rFonts w:ascii="Arial" w:hAnsi="Arial" w:cs="Arial"/>
          <w:color w:val="17365D" w:themeColor="text2" w:themeShade="BF"/>
          <w:sz w:val="20"/>
          <w:szCs w:val="20"/>
        </w:rPr>
        <w:t>19,9</w:t>
      </w:r>
      <w:r w:rsidR="00AB12B6" w:rsidRPr="00E847B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E847B7">
        <w:rPr>
          <w:rFonts w:ascii="Arial" w:hAnsi="Arial" w:cs="Arial"/>
          <w:color w:val="17365D" w:themeColor="text2" w:themeShade="BF"/>
          <w:sz w:val="20"/>
          <w:szCs w:val="20"/>
        </w:rPr>
        <w:t>%.</w:t>
      </w:r>
    </w:p>
    <w:p w:rsidR="007D2CBB" w:rsidRPr="00201B26" w:rsidRDefault="007D2CBB" w:rsidP="00BB22DA">
      <w:pPr>
        <w:widowControl w:val="0"/>
        <w:tabs>
          <w:tab w:val="left" w:pos="7513"/>
          <w:tab w:val="right" w:pos="9214"/>
        </w:tabs>
        <w:spacing w:before="12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</w:pPr>
      <w:r w:rsidRPr="00201B26">
        <w:rPr>
          <w:rFonts w:ascii="Arial" w:eastAsia="Times New Roman" w:hAnsi="Arial" w:cs="Arial"/>
          <w:b/>
          <w:color w:val="17365D" w:themeColor="text2" w:themeShade="BF"/>
          <w:sz w:val="19"/>
          <w:szCs w:val="19"/>
          <w:lang w:eastAsia="hr-HR"/>
        </w:rPr>
        <w:t>Tablica 1.</w:t>
      </w:r>
      <w:r w:rsidRPr="00201B26">
        <w:rPr>
          <w:rFonts w:ascii="Arial" w:eastAsia="Times New Roman" w:hAnsi="Arial" w:cs="Arial"/>
          <w:b/>
          <w:color w:val="17365D" w:themeColor="text2" w:themeShade="BF"/>
          <w:sz w:val="19"/>
          <w:szCs w:val="19"/>
          <w:lang w:eastAsia="hr-HR"/>
        </w:rPr>
        <w:tab/>
      </w:r>
      <w:r w:rsidRPr="00CE58F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rezultati poslovanja poduzetnika u </w:t>
      </w:r>
      <w:r w:rsidR="002E0A62" w:rsidRPr="00CE58F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području djelatnosti L – Poslovanje </w:t>
      </w:r>
      <w:r w:rsidR="009C38AA" w:rsidRPr="00CE58F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nekretninama</w:t>
      </w:r>
      <w:r w:rsidR="00201B26" w:rsidRPr="00CE58F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2016</w:t>
      </w:r>
      <w:r w:rsidR="008E6DD1" w:rsidRPr="00CE58F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BF079D" w:rsidRPr="00201B26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6332AC" w:rsidRPr="00201B26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</w:t>
      </w:r>
      <w:r w:rsidRPr="00201B26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znosi: u tisućama kuna</w:t>
      </w:r>
    </w:p>
    <w:tbl>
      <w:tblPr>
        <w:tblW w:w="9708" w:type="dxa"/>
        <w:jc w:val="center"/>
        <w:tblInd w:w="-126" w:type="dxa"/>
        <w:tblLook w:val="04A0" w:firstRow="1" w:lastRow="0" w:firstColumn="1" w:lastColumn="0" w:noHBand="0" w:noVBand="1"/>
      </w:tblPr>
      <w:tblGrid>
        <w:gridCol w:w="5757"/>
        <w:gridCol w:w="1418"/>
        <w:gridCol w:w="1557"/>
        <w:gridCol w:w="976"/>
      </w:tblGrid>
      <w:tr w:rsidR="00201B26" w:rsidRPr="00CE58FF" w:rsidTr="00BB22DA">
        <w:trPr>
          <w:trHeight w:val="283"/>
          <w:tblHeader/>
          <w:jc w:val="center"/>
        </w:trPr>
        <w:tc>
          <w:tcPr>
            <w:tcW w:w="575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01B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9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01B26" w:rsidRPr="00201B26" w:rsidRDefault="001B52E6" w:rsidP="00201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Područje </w:t>
            </w:r>
            <w:r w:rsidR="00201B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L – Poslovanje nekretninama</w:t>
            </w:r>
          </w:p>
        </w:tc>
      </w:tr>
      <w:tr w:rsidR="00201B26" w:rsidRPr="00CE58FF" w:rsidTr="00BB22DA">
        <w:trPr>
          <w:trHeight w:val="255"/>
          <w:tblHeader/>
          <w:jc w:val="center"/>
        </w:trPr>
        <w:tc>
          <w:tcPr>
            <w:tcW w:w="575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01B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2015. </w:t>
            </w: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01B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2016. </w:t>
            </w:r>
          </w:p>
        </w:tc>
        <w:tc>
          <w:tcPr>
            <w:tcW w:w="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01B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</w:tr>
      <w:tr w:rsidR="00201B26" w:rsidRPr="00CE58FF" w:rsidTr="00BB22DA">
        <w:trPr>
          <w:trHeight w:val="272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4.938</w:t>
            </w:r>
          </w:p>
        </w:tc>
        <w:tc>
          <w:tcPr>
            <w:tcW w:w="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  <w:tr w:rsidR="00201B26" w:rsidRPr="00CE58FF" w:rsidTr="00BB22DA">
        <w:trPr>
          <w:trHeight w:val="272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1.801</w:t>
            </w: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2.067</w:t>
            </w:r>
          </w:p>
        </w:tc>
        <w:tc>
          <w:tcPr>
            <w:tcW w:w="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114,8</w:t>
            </w:r>
          </w:p>
        </w:tc>
      </w:tr>
      <w:tr w:rsidR="00201B26" w:rsidRPr="00CE58FF" w:rsidTr="00BB22DA">
        <w:trPr>
          <w:trHeight w:val="272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2.681</w:t>
            </w: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2.871</w:t>
            </w:r>
          </w:p>
        </w:tc>
        <w:tc>
          <w:tcPr>
            <w:tcW w:w="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107,1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13.662</w:t>
            </w: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14.366</w:t>
            </w:r>
          </w:p>
        </w:tc>
        <w:tc>
          <w:tcPr>
            <w:tcW w:w="976" w:type="dxa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105,2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9.469.921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10.690.605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112,9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9.963.178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10.824.485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108,6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968.218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1.311.079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135,4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1.461.474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1.444.959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98,9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98.466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149.409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151,7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885.613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1.169.287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132,0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1.477.336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1.452.577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98,3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72482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672482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72482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67248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-591.723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72482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67248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-283.290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72482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672482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47,9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6.029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6.162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102,2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143.166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190.286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132,9</w:t>
            </w:r>
          </w:p>
        </w:tc>
      </w:tr>
      <w:tr w:rsidR="00201B26" w:rsidRPr="00CE58FF" w:rsidTr="003B519C">
        <w:trPr>
          <w:trHeight w:val="283"/>
          <w:jc w:val="center"/>
        </w:trPr>
        <w:tc>
          <w:tcPr>
            <w:tcW w:w="5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201B26" w:rsidRDefault="00201B26" w:rsidP="00201B2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01B2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57.817</w:t>
            </w:r>
          </w:p>
        </w:tc>
        <w:tc>
          <w:tcPr>
            <w:tcW w:w="1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89.245</w:t>
            </w:r>
          </w:p>
        </w:tc>
        <w:tc>
          <w:tcPr>
            <w:tcW w:w="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01B26" w:rsidRPr="00692AB1" w:rsidRDefault="00201B26" w:rsidP="00201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92AB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154,4</w:t>
            </w:r>
          </w:p>
        </w:tc>
      </w:tr>
    </w:tbl>
    <w:p w:rsidR="00DA3E57" w:rsidRPr="00962227" w:rsidRDefault="00DA3E57" w:rsidP="00DA3E57">
      <w:pPr>
        <w:spacing w:before="40" w:after="0" w:line="240" w:lineRule="auto"/>
        <w:jc w:val="both"/>
        <w:rPr>
          <w:rFonts w:ascii="Arial" w:hAnsi="Arial" w:cs="Arial"/>
          <w:i/>
          <w:color w:val="1A3D68"/>
          <w:sz w:val="16"/>
          <w:szCs w:val="16"/>
        </w:rPr>
      </w:pPr>
      <w:r w:rsidRPr="00962227">
        <w:rPr>
          <w:rFonts w:ascii="Arial" w:hAnsi="Arial" w:cs="Arial"/>
          <w:i/>
          <w:color w:val="1A3D68"/>
          <w:sz w:val="16"/>
          <w:szCs w:val="16"/>
        </w:rPr>
        <w:t xml:space="preserve">Izvor: </w:t>
      </w:r>
      <w:r w:rsidR="00962227" w:rsidRPr="00962227">
        <w:rPr>
          <w:rFonts w:ascii="Arial" w:hAnsi="Arial" w:cs="Arial"/>
          <w:i/>
          <w:color w:val="1A3D68"/>
          <w:sz w:val="16"/>
          <w:szCs w:val="16"/>
        </w:rPr>
        <w:t xml:space="preserve">Fina - </w:t>
      </w:r>
      <w:r w:rsidRPr="00962227">
        <w:rPr>
          <w:rFonts w:ascii="Arial" w:hAnsi="Arial" w:cs="Arial"/>
          <w:i/>
          <w:color w:val="1A3D68"/>
          <w:sz w:val="16"/>
          <w:szCs w:val="16"/>
        </w:rPr>
        <w:t>Registar godišnjih financijskih izvještaja</w:t>
      </w:r>
    </w:p>
    <w:p w:rsidR="00404FB3" w:rsidRDefault="00404FB3" w:rsidP="00BB22DA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>Podaci prema oblicima vlasništva pokazuju da su jedino poduzetnici državnog sektora vlasništva</w:t>
      </w:r>
      <w:r w:rsidR="00BB22DA">
        <w:rPr>
          <w:rFonts w:ascii="Arial" w:hAnsi="Arial" w:cs="Arial"/>
          <w:color w:val="17365D" w:themeColor="text2" w:themeShade="BF"/>
          <w:sz w:val="20"/>
          <w:szCs w:val="20"/>
        </w:rPr>
        <w:t xml:space="preserve"> (92)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 xml:space="preserve"> ostvarili neto dobit u iznosu od 91,8 milijuna kuna što je povećanje od 3,7 %. Najveći neto gubitak</w:t>
      </w:r>
      <w:r w:rsidR="004B49DC" w:rsidRPr="004B49DC">
        <w:t xml:space="preserve"> </w:t>
      </w:r>
      <w:r w:rsidR="004B49DC" w:rsidRPr="004B49DC">
        <w:rPr>
          <w:rFonts w:ascii="Arial" w:hAnsi="Arial" w:cs="Arial"/>
          <w:color w:val="17365D" w:themeColor="text2" w:themeShade="BF"/>
          <w:sz w:val="20"/>
          <w:szCs w:val="20"/>
        </w:rPr>
        <w:t>od 348,5 milijuna kuna (smanjenje od 47,7 %)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 xml:space="preserve">iskazali su poduzetnici 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>privatno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>m vlasništvu</w:t>
      </w:r>
      <w:r w:rsidR="00BB22DA">
        <w:rPr>
          <w:rFonts w:ascii="Arial" w:hAnsi="Arial" w:cs="Arial"/>
          <w:color w:val="17365D" w:themeColor="text2" w:themeShade="BF"/>
          <w:sz w:val="20"/>
          <w:szCs w:val="20"/>
        </w:rPr>
        <w:t xml:space="preserve"> (4866)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Poduzetnici 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>mješovito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>m vlasništvu</w:t>
      </w:r>
      <w:r w:rsidR="00BB22DA">
        <w:rPr>
          <w:rFonts w:ascii="Arial" w:hAnsi="Arial" w:cs="Arial"/>
          <w:color w:val="17365D" w:themeColor="text2" w:themeShade="BF"/>
          <w:sz w:val="20"/>
          <w:szCs w:val="20"/>
        </w:rPr>
        <w:t xml:space="preserve"> (27)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>iskazali su neto gubitak od 26,6 milijuna kuna (povećanje od 87,7 %), a tri poduzetnika zadružno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>m vlasništvu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 xml:space="preserve"> neto gubitak od 58 tisuća kuna. Najveći broj poduzetnika bio je u privatnom 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>vlasništvu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 xml:space="preserve"> (4866), a najveći broj zaposlenih 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 xml:space="preserve">kod poduzetnika u 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 xml:space="preserve">državnom </w:t>
      </w:r>
      <w:r w:rsidR="004B49DC">
        <w:rPr>
          <w:rFonts w:ascii="Arial" w:hAnsi="Arial" w:cs="Arial"/>
          <w:color w:val="17365D" w:themeColor="text2" w:themeShade="BF"/>
          <w:sz w:val="20"/>
          <w:szCs w:val="20"/>
        </w:rPr>
        <w:t>vlasništvu</w:t>
      </w:r>
      <w:r w:rsidR="00BB22DA">
        <w:rPr>
          <w:rFonts w:ascii="Arial" w:hAnsi="Arial" w:cs="Arial"/>
          <w:color w:val="17365D" w:themeColor="text2" w:themeShade="BF"/>
          <w:sz w:val="20"/>
          <w:szCs w:val="20"/>
        </w:rPr>
        <w:t xml:space="preserve"> (92)</w:t>
      </w:r>
      <w:r w:rsidRPr="00007FCA">
        <w:rPr>
          <w:rFonts w:ascii="Arial" w:hAnsi="Arial" w:cs="Arial"/>
          <w:color w:val="17365D" w:themeColor="text2" w:themeShade="BF"/>
          <w:sz w:val="20"/>
          <w:szCs w:val="20"/>
        </w:rPr>
        <w:t xml:space="preserve">, njih 8883. </w:t>
      </w:r>
      <w:r w:rsidR="00BB22DA" w:rsidRPr="00BB22DA">
        <w:rPr>
          <w:rFonts w:ascii="Arial" w:hAnsi="Arial" w:cs="Arial"/>
          <w:color w:val="17365D" w:themeColor="text2" w:themeShade="BF"/>
          <w:sz w:val="20"/>
          <w:szCs w:val="20"/>
        </w:rPr>
        <w:t>Najveću prosječnu mjesečnu neto plaću obračunali su poduzetnici u državnom vlasništvu, 7.130 kuna, što je 15,7 % više od prosječne plaće svih poduzetnika područja poslovanja nekretninama i 10,2 % više od prosječne plaće državnog sektora poduzetnika RH.</w:t>
      </w:r>
    </w:p>
    <w:p w:rsidR="00BB22DA" w:rsidRPr="00BB22DA" w:rsidRDefault="00BB22DA" w:rsidP="00BB22DA">
      <w:pPr>
        <w:tabs>
          <w:tab w:val="left" w:pos="1134"/>
        </w:tabs>
        <w:spacing w:before="180" w:after="0" w:line="240" w:lineRule="auto"/>
        <w:ind w:left="1134" w:hanging="1134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BB22DA">
        <w:rPr>
          <w:rFonts w:ascii="Arial" w:hAnsi="Arial" w:cs="Arial"/>
          <w:b/>
          <w:color w:val="17365D" w:themeColor="text2" w:themeShade="BF"/>
          <w:sz w:val="18"/>
          <w:szCs w:val="18"/>
        </w:rPr>
        <w:t>Tablica 2.</w:t>
      </w:r>
      <w:r w:rsidRPr="00BB22DA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>
        <w:rPr>
          <w:rFonts w:ascii="Arial" w:hAnsi="Arial" w:cs="Arial"/>
          <w:b/>
          <w:color w:val="17365D" w:themeColor="text2" w:themeShade="BF"/>
          <w:sz w:val="18"/>
          <w:szCs w:val="18"/>
        </w:rPr>
        <w:t>Broj poduzetn</w:t>
      </w:r>
      <w:bookmarkStart w:id="0" w:name="_GoBack"/>
      <w:bookmarkEnd w:id="0"/>
      <w:r>
        <w:rPr>
          <w:rFonts w:ascii="Arial" w:hAnsi="Arial" w:cs="Arial"/>
          <w:b/>
          <w:color w:val="17365D" w:themeColor="text2" w:themeShade="BF"/>
          <w:sz w:val="18"/>
          <w:szCs w:val="18"/>
        </w:rPr>
        <w:t>ika i zaposlenih, ukupan prihod i dobit/gubitak razdoblja u 2016. g. prema oblicima vlasništva</w:t>
      </w:r>
    </w:p>
    <w:tbl>
      <w:tblPr>
        <w:tblW w:w="9751" w:type="dxa"/>
        <w:tblInd w:w="93" w:type="dxa"/>
        <w:tblLook w:val="04A0" w:firstRow="1" w:lastRow="0" w:firstColumn="1" w:lastColumn="0" w:noHBand="0" w:noVBand="1"/>
      </w:tblPr>
      <w:tblGrid>
        <w:gridCol w:w="3855"/>
        <w:gridCol w:w="1474"/>
        <w:gridCol w:w="1474"/>
        <w:gridCol w:w="1474"/>
        <w:gridCol w:w="1474"/>
      </w:tblGrid>
      <w:tr w:rsidR="00BB22DA" w:rsidRPr="008E77B6" w:rsidTr="00703803">
        <w:trPr>
          <w:trHeight w:val="272"/>
        </w:trPr>
        <w:tc>
          <w:tcPr>
            <w:tcW w:w="38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Zadružno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Mješovito</w:t>
            </w:r>
          </w:p>
        </w:tc>
      </w:tr>
      <w:tr w:rsidR="008E77B6" w:rsidRPr="008E77B6" w:rsidTr="00703803">
        <w:trPr>
          <w:trHeight w:val="272"/>
        </w:trPr>
        <w:tc>
          <w:tcPr>
            <w:tcW w:w="3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4.866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</w:t>
            </w:r>
          </w:p>
        </w:tc>
      </w:tr>
      <w:tr w:rsidR="008E77B6" w:rsidRPr="008E77B6" w:rsidTr="00703803">
        <w:trPr>
          <w:trHeight w:val="272"/>
        </w:trPr>
        <w:tc>
          <w:tcPr>
            <w:tcW w:w="3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8.883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5.364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115</w:t>
            </w:r>
          </w:p>
        </w:tc>
      </w:tr>
      <w:tr w:rsidR="008E77B6" w:rsidRPr="008E77B6" w:rsidTr="00703803">
        <w:trPr>
          <w:trHeight w:val="272"/>
        </w:trPr>
        <w:tc>
          <w:tcPr>
            <w:tcW w:w="3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3.656.942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6.948.047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84.705</w:t>
            </w:r>
          </w:p>
        </w:tc>
      </w:tr>
      <w:tr w:rsidR="008E77B6" w:rsidRPr="008E77B6" w:rsidTr="00703803">
        <w:trPr>
          <w:trHeight w:val="272"/>
        </w:trPr>
        <w:tc>
          <w:tcPr>
            <w:tcW w:w="3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91.830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-348.493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-58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E77B6" w:rsidRPr="008E77B6" w:rsidRDefault="008E77B6" w:rsidP="008E77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8E77B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-26.569</w:t>
            </w:r>
          </w:p>
        </w:tc>
      </w:tr>
    </w:tbl>
    <w:p w:rsidR="00404FB3" w:rsidRDefault="00085688" w:rsidP="00BB22DA">
      <w:pPr>
        <w:pageBreakBefore/>
        <w:spacing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 xml:space="preserve">Podaci prema veličini poduzetnika pokazuju da su </w:t>
      </w:r>
      <w:r w:rsidR="00404FB3" w:rsidRPr="002B2668">
        <w:rPr>
          <w:rFonts w:ascii="Arial" w:hAnsi="Arial" w:cs="Arial"/>
          <w:color w:val="17365D" w:themeColor="text2" w:themeShade="BF"/>
          <w:sz w:val="20"/>
          <w:szCs w:val="20"/>
        </w:rPr>
        <w:t>srednji</w:t>
      </w:r>
      <w:r w:rsidR="0049320A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8E77B6">
        <w:rPr>
          <w:rFonts w:ascii="Arial" w:hAnsi="Arial" w:cs="Arial"/>
          <w:color w:val="17365D" w:themeColor="text2" w:themeShade="BF"/>
          <w:sz w:val="20"/>
          <w:szCs w:val="20"/>
        </w:rPr>
        <w:t>13</w:t>
      </w:r>
      <w:r w:rsidR="0049320A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404FB3" w:rsidRPr="002B2668">
        <w:rPr>
          <w:rFonts w:ascii="Arial" w:hAnsi="Arial" w:cs="Arial"/>
          <w:color w:val="17365D" w:themeColor="text2" w:themeShade="BF"/>
          <w:sz w:val="20"/>
          <w:szCs w:val="20"/>
        </w:rPr>
        <w:t xml:space="preserve"> i veliki </w:t>
      </w:r>
      <w:r w:rsidR="0049320A">
        <w:rPr>
          <w:rFonts w:ascii="Arial" w:hAnsi="Arial" w:cs="Arial"/>
          <w:color w:val="17365D" w:themeColor="text2" w:themeShade="BF"/>
          <w:sz w:val="20"/>
          <w:szCs w:val="20"/>
        </w:rPr>
        <w:t xml:space="preserve">(2) </w:t>
      </w:r>
      <w:r w:rsidR="00404FB3" w:rsidRPr="002B2668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poduzetnici poslovali pozitivno (srednji su ostvarili 34,6 milijuna kuna neto dobiti, a veliki 307,2 milijuna kuna).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>Mikro</w:t>
      </w:r>
      <w:r w:rsidR="008E77B6">
        <w:rPr>
          <w:rFonts w:ascii="Arial" w:hAnsi="Arial" w:cs="Arial"/>
          <w:color w:val="17365D" w:themeColor="text2" w:themeShade="BF"/>
          <w:sz w:val="20"/>
          <w:szCs w:val="20"/>
        </w:rPr>
        <w:t xml:space="preserve"> (4701)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 i mali </w:t>
      </w:r>
      <w:r w:rsidR="008E77B6">
        <w:rPr>
          <w:rFonts w:ascii="Arial" w:hAnsi="Arial" w:cs="Arial"/>
          <w:color w:val="17365D" w:themeColor="text2" w:themeShade="BF"/>
          <w:sz w:val="20"/>
          <w:szCs w:val="20"/>
        </w:rPr>
        <w:t xml:space="preserve">(222)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poduzetnici iskazali su neto gubitak i to mikro poduzetnici u iznosu od 588,0 milijuna kuna, a mali poduzetnici od 37,1 milijun kuna (smanjenje od 88,2 %). Najviše </w:t>
      </w:r>
      <w:r w:rsidR="004A2D48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>bilo mikro poduzetnika (4701), a najviše zaposlenih kod velikih poduzetnika</w:t>
      </w:r>
      <w:r w:rsidR="000B450E">
        <w:rPr>
          <w:rFonts w:ascii="Arial" w:hAnsi="Arial" w:cs="Arial"/>
          <w:color w:val="17365D" w:themeColor="text2" w:themeShade="BF"/>
          <w:sz w:val="20"/>
          <w:szCs w:val="20"/>
        </w:rPr>
        <w:t xml:space="preserve"> (2), </w:t>
      </w:r>
      <w:hyperlink r:id="rId9" w:history="1">
        <w:r w:rsidR="000B450E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</w:t>
        </w:r>
        <w:r w:rsidR="000B450E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OG</w:t>
        </w:r>
        <w:r w:rsidR="000B450E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HOLDING</w:t>
        </w:r>
        <w:r w:rsidR="000B450E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</w:t>
        </w:r>
        <w:r w:rsidR="000B450E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0B450E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B45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0B450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hyperlink r:id="rId10" w:history="1">
        <w:r w:rsidR="000B450E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Alpe</w:t>
        </w:r>
        <w:r w:rsidR="000B450E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-</w:t>
        </w:r>
        <w:r w:rsidR="000B450E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Adria Poslovodstv</w:t>
        </w:r>
        <w:r w:rsidR="000B450E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</w:t>
        </w:r>
        <w:r w:rsidR="000B450E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0B450E">
        <w:rPr>
          <w:rFonts w:ascii="Arial" w:hAnsi="Arial" w:cs="Arial"/>
          <w:color w:val="17365D" w:themeColor="text2" w:themeShade="BF"/>
          <w:sz w:val="20"/>
          <w:szCs w:val="20"/>
        </w:rPr>
        <w:t xml:space="preserve">ukupno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8117). Najveću prosječnu mjesečnu neto plaću obračunali su veliki poduzetnici, </w:t>
      </w:r>
      <w:hyperlink r:id="rId11" w:history="1">
        <w:r w:rsidR="0049320A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ZAGREBAČKI HOLDING d.o.o.</w:t>
        </w:r>
      </w:hyperlink>
      <w:r w:rsidR="0049320A" w:rsidRPr="0049320A">
        <w:rPr>
          <w:rStyle w:val="Hyperlink"/>
          <w:rFonts w:ascii="Arial" w:eastAsia="Times New Roman" w:hAnsi="Arial" w:cs="Arial"/>
          <w:color w:val="17365D" w:themeColor="text2" w:themeShade="BF"/>
          <w:sz w:val="20"/>
          <w:szCs w:val="20"/>
          <w:u w:val="none"/>
          <w:lang w:eastAsia="hr-HR"/>
        </w:rPr>
        <w:t xml:space="preserve"> i </w:t>
      </w:r>
      <w:r w:rsidR="0049320A" w:rsidRPr="0049320A">
        <w:rPr>
          <w:rStyle w:val="Hyperlink"/>
          <w:rFonts w:ascii="Arial" w:eastAsia="Times New Roman" w:hAnsi="Arial" w:cs="Arial"/>
          <w:sz w:val="20"/>
          <w:szCs w:val="20"/>
          <w:lang w:eastAsia="hr-HR"/>
          <w14:textFill>
            <w14:solidFill>
              <w14:srgbClr w14:val="0000FF">
                <w14:lumMod w14:val="75000"/>
              </w14:srgbClr>
            </w14:solidFill>
          </w14:textFill>
        </w:rPr>
        <w:t>Alpe-Adria Poslovodstvo d.o.o.</w:t>
      </w:r>
      <w:r w:rsidR="0049320A">
        <w:rPr>
          <w:rStyle w:val="Hyperlink"/>
          <w:rFonts w:ascii="Arial" w:eastAsia="Times New Roman" w:hAnsi="Arial" w:cs="Arial"/>
          <w:sz w:val="20"/>
          <w:szCs w:val="20"/>
          <w:lang w:eastAsia="hr-HR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,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>7.275 kuna</w:t>
      </w:r>
      <w:r w:rsidR="0049320A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 što je 18,1 % više od prosječne plaće područja i 11,2 % više od prosječne </w:t>
      </w:r>
      <w:r w:rsidR="0049320A">
        <w:rPr>
          <w:rFonts w:ascii="Arial" w:hAnsi="Arial" w:cs="Arial"/>
          <w:color w:val="17365D" w:themeColor="text2" w:themeShade="BF"/>
          <w:sz w:val="20"/>
          <w:szCs w:val="20"/>
        </w:rPr>
        <w:t xml:space="preserve">mjesečne neto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plaće </w:t>
      </w:r>
      <w:r w:rsidR="0049320A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kod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>velikih poduzetnika Hrvatske.</w:t>
      </w:r>
      <w:r w:rsidR="008E77B6">
        <w:rPr>
          <w:rFonts w:ascii="Arial" w:hAnsi="Arial" w:cs="Arial"/>
          <w:color w:val="17365D" w:themeColor="text2" w:themeShade="BF"/>
          <w:sz w:val="20"/>
          <w:szCs w:val="20"/>
        </w:rPr>
        <w:t xml:space="preserve"> Više informacija prezentirano je u Excel dokumentu, u prilogu.</w:t>
      </w:r>
    </w:p>
    <w:p w:rsidR="00532AA3" w:rsidRDefault="00532AA3" w:rsidP="0049320A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32AA3">
        <w:rPr>
          <w:rFonts w:ascii="Arial" w:hAnsi="Arial" w:cs="Arial"/>
          <w:color w:val="17365D" w:themeColor="text2" w:themeShade="BF"/>
          <w:sz w:val="20"/>
          <w:szCs w:val="20"/>
        </w:rPr>
        <w:t>Analiza financijskih rezultata u petogodišnjem razdoblju pokazala je da su poduzetnici u području djelatnosti poslovanja nekretninama ostvarili negativan rezultat. Najveći neto gubitak bio je u 2014. godini i iznosio je gotovo 1,8 milijardi kuna, a najmanji je bio u 2016. godini u iznosu od 283,3 milijuna kuna, što je 52,1 % manje u odnosu na 2015., a 518,8 % umanje u odnosu na 2014. godinu.</w:t>
      </w:r>
    </w:p>
    <w:p w:rsidR="007170CB" w:rsidRPr="00374218" w:rsidRDefault="007170CB" w:rsidP="00525791">
      <w:pPr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eastAsiaTheme="minorHAnsi" w:hAnsi="Arial" w:cs="Arial"/>
          <w:color w:val="17365D" w:themeColor="text2" w:themeShade="BF"/>
          <w:sz w:val="19"/>
          <w:szCs w:val="19"/>
        </w:rPr>
      </w:pPr>
      <w:r w:rsidRPr="00374218">
        <w:rPr>
          <w:rFonts w:ascii="Arial" w:eastAsiaTheme="minorHAnsi" w:hAnsi="Arial" w:cs="Arial"/>
          <w:b/>
          <w:color w:val="17365D" w:themeColor="text2" w:themeShade="BF"/>
          <w:sz w:val="19"/>
          <w:szCs w:val="19"/>
        </w:rPr>
        <w:t>Grafikon 1.</w:t>
      </w:r>
      <w:r w:rsidRPr="00374218">
        <w:rPr>
          <w:rFonts w:ascii="Arial" w:eastAsiaTheme="minorHAnsi" w:hAnsi="Arial" w:cs="Arial"/>
          <w:b/>
          <w:color w:val="17365D" w:themeColor="text2" w:themeShade="BF"/>
          <w:sz w:val="19"/>
          <w:szCs w:val="19"/>
        </w:rPr>
        <w:tab/>
      </w:r>
      <w:r w:rsidR="00374218" w:rsidRPr="006B5F27">
        <w:rPr>
          <w:rFonts w:ascii="Arial" w:eastAsiaTheme="minorHAnsi" w:hAnsi="Arial" w:cs="Arial"/>
          <w:b/>
          <w:color w:val="17365D" w:themeColor="text2" w:themeShade="BF"/>
          <w:sz w:val="18"/>
          <w:szCs w:val="18"/>
        </w:rPr>
        <w:t xml:space="preserve">Neto gubitak poslovnih subjekata </w:t>
      </w:r>
      <w:r w:rsidR="009A725D">
        <w:rPr>
          <w:rFonts w:ascii="Arial" w:eastAsiaTheme="minorHAnsi" w:hAnsi="Arial" w:cs="Arial"/>
          <w:b/>
          <w:color w:val="17365D" w:themeColor="text2" w:themeShade="BF"/>
          <w:sz w:val="18"/>
          <w:szCs w:val="18"/>
        </w:rPr>
        <w:t xml:space="preserve">u </w:t>
      </w:r>
      <w:r w:rsidR="00374218" w:rsidRPr="006B5F27">
        <w:rPr>
          <w:rFonts w:ascii="Arial" w:eastAsiaTheme="minorHAnsi" w:hAnsi="Arial" w:cs="Arial"/>
          <w:b/>
          <w:color w:val="17365D" w:themeColor="text2" w:themeShade="BF"/>
          <w:sz w:val="18"/>
          <w:szCs w:val="18"/>
        </w:rPr>
        <w:t>područj</w:t>
      </w:r>
      <w:r w:rsidR="009A725D">
        <w:rPr>
          <w:rFonts w:ascii="Arial" w:eastAsiaTheme="minorHAnsi" w:hAnsi="Arial" w:cs="Arial"/>
          <w:b/>
          <w:color w:val="17365D" w:themeColor="text2" w:themeShade="BF"/>
          <w:sz w:val="18"/>
          <w:szCs w:val="18"/>
        </w:rPr>
        <w:t>u</w:t>
      </w:r>
      <w:r w:rsidR="00374218" w:rsidRPr="006B5F27">
        <w:rPr>
          <w:rFonts w:ascii="Arial" w:eastAsiaTheme="minorHAnsi" w:hAnsi="Arial" w:cs="Arial"/>
          <w:b/>
          <w:color w:val="17365D" w:themeColor="text2" w:themeShade="BF"/>
          <w:sz w:val="18"/>
          <w:szCs w:val="18"/>
        </w:rPr>
        <w:t xml:space="preserve"> poslovanja nekretninama od 2012. do 2016</w:t>
      </w:r>
      <w:r w:rsidRPr="00374218">
        <w:rPr>
          <w:rFonts w:ascii="Arial" w:eastAsiaTheme="minorHAnsi" w:hAnsi="Arial" w:cs="Arial"/>
          <w:color w:val="17365D" w:themeColor="text2" w:themeShade="BF"/>
          <w:sz w:val="19"/>
          <w:szCs w:val="19"/>
        </w:rPr>
        <w:t>.</w:t>
      </w:r>
      <w:r w:rsidR="007C76B0">
        <w:rPr>
          <w:rStyle w:val="FootnoteReference"/>
          <w:rFonts w:ascii="Arial" w:eastAsiaTheme="minorHAnsi" w:hAnsi="Arial" w:cs="Arial"/>
          <w:color w:val="17365D" w:themeColor="text2" w:themeShade="BF"/>
          <w:sz w:val="19"/>
          <w:szCs w:val="19"/>
        </w:rPr>
        <w:footnoteReference w:id="2"/>
      </w:r>
    </w:p>
    <w:p w:rsidR="007170CB" w:rsidRPr="006B5F27" w:rsidRDefault="00AD43BC" w:rsidP="006B5F27">
      <w:pPr>
        <w:tabs>
          <w:tab w:val="left" w:pos="567"/>
          <w:tab w:val="left" w:pos="1134"/>
          <w:tab w:val="left" w:pos="7797"/>
        </w:tabs>
        <w:spacing w:before="40" w:after="0"/>
        <w:ind w:left="1134" w:hanging="1134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7365D" w:themeColor="text2" w:themeShade="BF"/>
          <w:sz w:val="19"/>
          <w:szCs w:val="19"/>
          <w:lang w:eastAsia="hr-HR"/>
        </w:rPr>
        <w:drawing>
          <wp:inline distT="0" distB="0" distL="0" distR="0" wp14:anchorId="4FE32EF1">
            <wp:extent cx="6019200" cy="2016000"/>
            <wp:effectExtent l="0" t="0" r="635" b="3810"/>
            <wp:docPr id="9" name="Slik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00" cy="2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0CB" w:rsidRPr="007170CB" w:rsidRDefault="007170CB" w:rsidP="00525791">
      <w:pPr>
        <w:tabs>
          <w:tab w:val="left" w:pos="567"/>
          <w:tab w:val="left" w:pos="1134"/>
          <w:tab w:val="left" w:pos="7797"/>
        </w:tabs>
        <w:spacing w:before="40" w:after="0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9"/>
          <w:szCs w:val="19"/>
          <w:lang w:eastAsia="hr-HR"/>
        </w:rPr>
      </w:pPr>
      <w:r w:rsidRPr="00E05B10">
        <w:rPr>
          <w:rFonts w:ascii="Arial" w:eastAsia="Times New Roman" w:hAnsi="Arial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374218">
        <w:rPr>
          <w:rFonts w:ascii="Arial" w:eastAsia="Times New Roman" w:hAnsi="Arial"/>
          <w:bCs/>
          <w:i/>
          <w:color w:val="244061" w:themeColor="accent1" w:themeShade="80"/>
          <w:sz w:val="16"/>
          <w:szCs w:val="18"/>
          <w:lang w:eastAsia="hr-HR"/>
        </w:rPr>
        <w:t>izvještaja, obrada GFI-a za 2016</w:t>
      </w:r>
      <w:r w:rsidRPr="00E05B10">
        <w:rPr>
          <w:rFonts w:ascii="Arial" w:eastAsia="Times New Roman" w:hAnsi="Arial"/>
          <w:bCs/>
          <w:i/>
          <w:color w:val="244061" w:themeColor="accent1" w:themeShade="80"/>
          <w:sz w:val="16"/>
          <w:szCs w:val="18"/>
          <w:lang w:eastAsia="hr-HR"/>
        </w:rPr>
        <w:t xml:space="preserve">. </w:t>
      </w:r>
      <w:r w:rsidRPr="007170CB">
        <w:rPr>
          <w:rFonts w:ascii="Arial" w:eastAsia="Times New Roman" w:hAnsi="Arial"/>
          <w:bCs/>
          <w:i/>
          <w:color w:val="17365D" w:themeColor="text2" w:themeShade="BF"/>
          <w:sz w:val="16"/>
          <w:szCs w:val="18"/>
          <w:lang w:eastAsia="hr-HR"/>
        </w:rPr>
        <w:t>godinu</w:t>
      </w:r>
    </w:p>
    <w:p w:rsidR="00A21BAF" w:rsidRPr="00CD290F" w:rsidRDefault="00A21BAF" w:rsidP="000D5E86">
      <w:pPr>
        <w:tabs>
          <w:tab w:val="left" w:pos="7797"/>
        </w:tabs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8F7B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ostvarilo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hyperlink r:id="rId13" w:history="1">
        <w:r w:rsidR="008F7BDF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Alpe</w:t>
        </w:r>
        <w:r w:rsidR="008F7BDF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-</w:t>
        </w:r>
        <w:r w:rsidR="008F7BDF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Adria Poslovodstvo </w:t>
        </w:r>
        <w:r w:rsidR="00B41EFB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d.o.o.</w:t>
        </w:r>
      </w:hyperlink>
      <w:r w:rsidR="000B27C8" w:rsidRPr="000B27C8">
        <w:t xml:space="preserve"> </w:t>
      </w:r>
      <w:r w:rsidR="000B27C8" w:rsidRPr="000B27C8">
        <w:rPr>
          <w:rStyle w:val="Hyperlink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(prije HYPO-LEASING KROATIEN d.o.o.)</w:t>
      </w:r>
      <w:r w:rsidR="008F7BDF" w:rsidRPr="000B27C8">
        <w:rPr>
          <w:rStyle w:val="FootnoteReference"/>
          <w:rFonts w:ascii="Arial" w:eastAsia="Times New Roman" w:hAnsi="Arial" w:cs="Arial"/>
          <w:color w:val="17365D" w:themeColor="text2" w:themeShade="BF"/>
          <w:sz w:val="20"/>
          <w:szCs w:val="20"/>
          <w:u w:val="single"/>
          <w:lang w:eastAsia="hr-HR"/>
        </w:rPr>
        <w:footnoteReference w:id="3"/>
      </w:r>
      <w:r w:rsidRPr="000B27C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ona je iznosila </w:t>
      </w:r>
      <w:r w:rsidR="00692AB1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241,8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0F6D24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067803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što je </w:t>
      </w:r>
      <w:r w:rsidR="004B49D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udio od </w:t>
      </w:r>
      <w:r w:rsidR="00692AB1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20,7</w:t>
      </w:r>
      <w:r w:rsidR="00DB4637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4B49D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razdoblja svih poduzetnika </w:t>
      </w:r>
      <w:r w:rsidR="000F6D24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područja L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Na drugom </w:t>
      </w:r>
      <w:r w:rsidR="00CE58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mjestu </w:t>
      </w:r>
      <w:hyperlink r:id="rId14" w:history="1">
        <w:r w:rsidR="00DB4637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ZAGREBAČKI HOLDING</w:t>
        </w:r>
        <w:r w:rsidR="000F6D24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0F6D24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722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 </w:t>
      </w:r>
      <w:r w:rsidR="000F6D24"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</w:t>
      </w:r>
      <w:r w:rsidR="00F722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enom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dobit</w:t>
      </w:r>
      <w:r w:rsidR="00F722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692A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razdoblja u </w:t>
      </w:r>
      <w:r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iznosu </w:t>
      </w:r>
      <w:r w:rsidR="000F6D24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</w:t>
      </w:r>
      <w:r w:rsidR="00692AB1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65,4</w:t>
      </w:r>
      <w:r w:rsidR="00DB4637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692AB1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C84E7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(5,6 % dobiti svih poduzetnika područja</w:t>
      </w:r>
      <w:r w:rsidR="004B49D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L</w:t>
      </w:r>
      <w:r w:rsidR="00C84E73" w:rsidRPr="00F722D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  <w:r w:rsidR="00F722DF" w:rsidRPr="00F722D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Najveći gubitak razdoblja iskazao je </w:t>
      </w:r>
      <w:r w:rsidR="00DB4637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 </w:t>
      </w:r>
      <w:hyperlink r:id="rId15" w:history="1">
        <w:r w:rsidR="00692AB1"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MEJAŠI PRVI</w:t>
        </w:r>
        <w:r w:rsidRPr="003B74CD">
          <w:rPr>
            <w:rStyle w:val="Hyperlink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CD290F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116,1 milijun</w:t>
      </w:r>
      <w:r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</w:t>
      </w:r>
      <w:r w:rsidR="000F6D24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4B49D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udio od </w:t>
      </w:r>
      <w:r w:rsidR="00CD290F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8 </w:t>
      </w:r>
      <w:r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4B49D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gubitk</w:t>
      </w:r>
      <w:r w:rsidR="004B49D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razdoblja </w:t>
      </w:r>
      <w:r w:rsidR="000F6D24" w:rsidRP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područja L</w:t>
      </w:r>
      <w:r w:rsidR="00CD29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4B49D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4041E5" w:rsidRPr="006255C1" w:rsidRDefault="004041E5" w:rsidP="00404FB3">
      <w:pPr>
        <w:tabs>
          <w:tab w:val="left" w:pos="567"/>
          <w:tab w:val="left" w:pos="1134"/>
          <w:tab w:val="left" w:pos="7797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BB22D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5 poduzetnika </w:t>
      </w:r>
      <w:r w:rsidR="00133279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s </w:t>
      </w:r>
      <w:r w:rsidR="00BF079D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najvećom dobiti razdoblja</w:t>
      </w:r>
      <w:r w:rsidR="00133279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top 5 poduzetnika s </w:t>
      </w:r>
      <w:r w:rsidR="00BF079D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najvećim gubitkom razdoblja</w:t>
      </w:r>
      <w:r w:rsidR="00133279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255C1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 2016</w:t>
      </w:r>
      <w:r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962227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</w:t>
      </w:r>
      <w:r w:rsidR="009C38AA" w:rsidRPr="003861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 poslovanja nekretninama</w:t>
      </w:r>
      <w:r w:rsidRPr="006255C1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6255C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</w:t>
      </w:r>
    </w:p>
    <w:tbl>
      <w:tblPr>
        <w:tblW w:w="9694" w:type="dxa"/>
        <w:jc w:val="center"/>
        <w:tblInd w:w="-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1"/>
        <w:gridCol w:w="964"/>
        <w:gridCol w:w="3855"/>
        <w:gridCol w:w="964"/>
      </w:tblGrid>
      <w:tr w:rsidR="00404FB3" w:rsidRPr="006B5F27" w:rsidTr="00BB22DA">
        <w:trPr>
          <w:trHeight w:val="227"/>
          <w:jc w:val="center"/>
        </w:trPr>
        <w:tc>
          <w:tcPr>
            <w:tcW w:w="3911" w:type="dxa"/>
            <w:shd w:val="clear" w:color="000000" w:fill="00325A"/>
            <w:vAlign w:val="center"/>
          </w:tcPr>
          <w:p w:rsidR="00404FB3" w:rsidRPr="00404FB3" w:rsidRDefault="00404FB3" w:rsidP="00404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04FB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poslovnog subjekta</w:t>
            </w:r>
          </w:p>
        </w:tc>
        <w:tc>
          <w:tcPr>
            <w:tcW w:w="964" w:type="dxa"/>
            <w:shd w:val="clear" w:color="000000" w:fill="00325A"/>
            <w:vAlign w:val="center"/>
            <w:hideMark/>
          </w:tcPr>
          <w:p w:rsidR="00404FB3" w:rsidRPr="00404FB3" w:rsidRDefault="00404FB3" w:rsidP="00404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04FB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3855" w:type="dxa"/>
            <w:shd w:val="clear" w:color="000000" w:fill="00325A"/>
            <w:vAlign w:val="center"/>
          </w:tcPr>
          <w:p w:rsidR="00404FB3" w:rsidRPr="00404FB3" w:rsidRDefault="00404FB3" w:rsidP="00404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04FB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poslovnog subjekta</w:t>
            </w:r>
          </w:p>
        </w:tc>
        <w:tc>
          <w:tcPr>
            <w:tcW w:w="964" w:type="dxa"/>
            <w:shd w:val="clear" w:color="000000" w:fill="00325A"/>
            <w:vAlign w:val="center"/>
            <w:hideMark/>
          </w:tcPr>
          <w:p w:rsidR="00404FB3" w:rsidRPr="00404FB3" w:rsidRDefault="00404FB3" w:rsidP="00404F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04FB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Gubitak razdoblja</w:t>
            </w:r>
          </w:p>
        </w:tc>
      </w:tr>
      <w:tr w:rsidR="00404FB3" w:rsidRPr="006B5F27" w:rsidTr="00D450F9">
        <w:trPr>
          <w:trHeight w:val="144"/>
          <w:jc w:val="center"/>
        </w:trPr>
        <w:tc>
          <w:tcPr>
            <w:tcW w:w="3911" w:type="dxa"/>
            <w:shd w:val="clear" w:color="000000" w:fill="DBE5F1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6" w:history="1">
              <w:r w:rsidR="008F7BDF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Alpe</w:t>
              </w:r>
              <w:r w:rsidR="008F7BDF">
                <w:rPr>
                  <w:rStyle w:val="Hyperlink"/>
                  <w:rFonts w:ascii="Arial" w:hAnsi="Arial" w:cs="Arial"/>
                  <w:sz w:val="18"/>
                  <w:szCs w:val="18"/>
                </w:rPr>
                <w:t>-</w:t>
              </w:r>
              <w:r w:rsidR="008F7BDF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Adria Poslovodstvo </w:t>
              </w:r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964" w:type="dxa"/>
            <w:shd w:val="clear" w:color="000000" w:fill="DBE5F1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241.760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7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MEJAŠI PRVI d.o.o.</w:t>
              </w:r>
            </w:hyperlink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116.072</w:t>
            </w:r>
          </w:p>
        </w:tc>
      </w:tr>
      <w:tr w:rsidR="00404FB3" w:rsidRPr="006B5F27" w:rsidTr="00BB22DA">
        <w:trPr>
          <w:trHeight w:val="142"/>
          <w:jc w:val="center"/>
        </w:trPr>
        <w:tc>
          <w:tcPr>
            <w:tcW w:w="3911" w:type="dxa"/>
            <w:shd w:val="clear" w:color="000000" w:fill="DBE5F1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8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ZAGREBAČKI HOLDING d.o.o.</w:t>
              </w:r>
            </w:hyperlink>
          </w:p>
        </w:tc>
        <w:tc>
          <w:tcPr>
            <w:tcW w:w="964" w:type="dxa"/>
            <w:shd w:val="clear" w:color="000000" w:fill="DBE5F1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65.443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19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MARLERA GOLF LD d.o.o.</w:t>
              </w:r>
            </w:hyperlink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99.193</w:t>
            </w:r>
          </w:p>
        </w:tc>
      </w:tr>
      <w:tr w:rsidR="00404FB3" w:rsidRPr="006B5F27" w:rsidTr="00BB22DA">
        <w:trPr>
          <w:trHeight w:val="142"/>
          <w:jc w:val="center"/>
        </w:trPr>
        <w:tc>
          <w:tcPr>
            <w:tcW w:w="3911" w:type="dxa"/>
            <w:shd w:val="clear" w:color="000000" w:fill="DBE5F1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0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NIKMARK d.o.o.</w:t>
              </w:r>
            </w:hyperlink>
          </w:p>
        </w:tc>
        <w:tc>
          <w:tcPr>
            <w:tcW w:w="964" w:type="dxa"/>
            <w:shd w:val="clear" w:color="000000" w:fill="DBE5F1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42.646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1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ANDRE´d.o.o.</w:t>
              </w:r>
            </w:hyperlink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64.742</w:t>
            </w:r>
          </w:p>
        </w:tc>
      </w:tr>
      <w:tr w:rsidR="00404FB3" w:rsidRPr="006B5F27" w:rsidTr="00BB22DA">
        <w:trPr>
          <w:trHeight w:val="142"/>
          <w:jc w:val="center"/>
        </w:trPr>
        <w:tc>
          <w:tcPr>
            <w:tcW w:w="3911" w:type="dxa"/>
            <w:shd w:val="clear" w:color="000000" w:fill="DBE5F1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2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IVAMIL d.o.o.</w:t>
              </w:r>
            </w:hyperlink>
          </w:p>
        </w:tc>
        <w:tc>
          <w:tcPr>
            <w:tcW w:w="964" w:type="dxa"/>
            <w:shd w:val="clear" w:color="000000" w:fill="DBE5F1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36.595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3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UNITED EUROPE ULAGANJA d.o.o.</w:t>
              </w:r>
            </w:hyperlink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52.641</w:t>
            </w:r>
          </w:p>
        </w:tc>
      </w:tr>
      <w:tr w:rsidR="00404FB3" w:rsidRPr="006B5F27" w:rsidTr="00BB22DA">
        <w:trPr>
          <w:trHeight w:val="142"/>
          <w:jc w:val="center"/>
        </w:trPr>
        <w:tc>
          <w:tcPr>
            <w:tcW w:w="3911" w:type="dxa"/>
            <w:shd w:val="clear" w:color="000000" w:fill="DBE5F1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4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INPROX ZAGREB d.o.o.</w:t>
              </w:r>
            </w:hyperlink>
          </w:p>
        </w:tc>
        <w:tc>
          <w:tcPr>
            <w:tcW w:w="964" w:type="dxa"/>
            <w:shd w:val="clear" w:color="000000" w:fill="DBE5F1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33.652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:rsidR="00404FB3" w:rsidRPr="00404FB3" w:rsidRDefault="00121CA9" w:rsidP="00525791">
            <w:pPr>
              <w:spacing w:after="0"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hyperlink r:id="rId25" w:history="1">
              <w:r w:rsidR="00404FB3" w:rsidRPr="00404FB3">
                <w:rPr>
                  <w:rStyle w:val="Hyperlink"/>
                  <w:rFonts w:ascii="Arial" w:hAnsi="Arial" w:cs="Arial"/>
                  <w:sz w:val="18"/>
                  <w:szCs w:val="18"/>
                </w:rPr>
                <w:t>MINACO d.o.o.</w:t>
              </w:r>
            </w:hyperlink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404FB3" w:rsidRPr="00404FB3" w:rsidRDefault="00404FB3" w:rsidP="00525791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404FB3">
              <w:rPr>
                <w:rFonts w:ascii="Arial" w:hAnsi="Arial" w:cs="Arial"/>
                <w:color w:val="003366"/>
                <w:sz w:val="18"/>
                <w:szCs w:val="18"/>
              </w:rPr>
              <w:t>40.924</w:t>
            </w:r>
          </w:p>
        </w:tc>
      </w:tr>
      <w:tr w:rsidR="00CE58FF" w:rsidRPr="006B5F27" w:rsidTr="00BB22DA">
        <w:trPr>
          <w:trHeight w:val="142"/>
          <w:jc w:val="center"/>
        </w:trPr>
        <w:tc>
          <w:tcPr>
            <w:tcW w:w="3911" w:type="dxa"/>
            <w:shd w:val="clear" w:color="auto" w:fill="BFBFBF" w:themeFill="background1" w:themeFillShade="BF"/>
            <w:vAlign w:val="center"/>
          </w:tcPr>
          <w:p w:rsidR="00245E0F" w:rsidRPr="00CE58FF" w:rsidRDefault="00BF079D" w:rsidP="00525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CE58FF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Ukupna dobit</w:t>
            </w:r>
            <w:r w:rsidR="00245E0F" w:rsidRPr="00CE58FF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 top 5 poduzetnika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245E0F" w:rsidRPr="00CE58FF" w:rsidRDefault="00337E12" w:rsidP="005257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CE58FF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420.096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:rsidR="00245E0F" w:rsidRPr="00CE58FF" w:rsidRDefault="00BF079D" w:rsidP="00525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CE58FF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Ukupan gubitak </w:t>
            </w:r>
            <w:r w:rsidR="00245E0F" w:rsidRPr="00CE58FF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top 5 poduzetnika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  <w:hideMark/>
          </w:tcPr>
          <w:p w:rsidR="00245E0F" w:rsidRPr="00CE58FF" w:rsidRDefault="00337E12" w:rsidP="005257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CE58FF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373.572</w:t>
            </w:r>
          </w:p>
        </w:tc>
      </w:tr>
      <w:tr w:rsidR="00CE58FF" w:rsidRPr="006B5F27" w:rsidTr="00BB22DA">
        <w:trPr>
          <w:trHeight w:val="142"/>
          <w:jc w:val="center"/>
        </w:trPr>
        <w:tc>
          <w:tcPr>
            <w:tcW w:w="3911" w:type="dxa"/>
            <w:shd w:val="clear" w:color="auto" w:fill="B8CCE4" w:themeFill="accent1" w:themeFillTint="66"/>
            <w:vAlign w:val="center"/>
          </w:tcPr>
          <w:p w:rsidR="00BF079D" w:rsidRPr="00404FB3" w:rsidRDefault="00BF079D" w:rsidP="00525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404FB3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Ukupno svi poduzetnici u djelatnosti L</w:t>
            </w: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:rsidR="00BF079D" w:rsidRPr="00404FB3" w:rsidRDefault="00337E12" w:rsidP="005257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404FB3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1.169.287</w:t>
            </w:r>
          </w:p>
        </w:tc>
        <w:tc>
          <w:tcPr>
            <w:tcW w:w="3855" w:type="dxa"/>
            <w:shd w:val="clear" w:color="auto" w:fill="B8CCE4" w:themeFill="accent1" w:themeFillTint="66"/>
            <w:vAlign w:val="center"/>
          </w:tcPr>
          <w:p w:rsidR="00BF079D" w:rsidRPr="00404FB3" w:rsidRDefault="006D7177" w:rsidP="00525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404FB3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Ukupno svi poduzetnici u djelatnosti L</w:t>
            </w: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:rsidR="00BF079D" w:rsidRPr="00404FB3" w:rsidRDefault="00337E12" w:rsidP="005257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404FB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1.452.577</w:t>
            </w:r>
          </w:p>
        </w:tc>
      </w:tr>
    </w:tbl>
    <w:p w:rsidR="00DA3E57" w:rsidRPr="00B94021" w:rsidRDefault="007C597C" w:rsidP="00DA3E5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B94021">
        <w:rPr>
          <w:rFonts w:ascii="Arial" w:hAnsi="Arial" w:cs="Arial"/>
          <w:i/>
          <w:color w:val="17365D" w:themeColor="text2" w:themeShade="BF"/>
          <w:sz w:val="16"/>
          <w:szCs w:val="16"/>
        </w:rPr>
        <w:t>I</w:t>
      </w:r>
      <w:r w:rsidR="00DA3E57" w:rsidRPr="00B94021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zvor: </w:t>
      </w:r>
      <w:r w:rsidR="00962227" w:rsidRPr="00B94021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="00DA3E57" w:rsidRPr="00B94021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F5040D" w:rsidRDefault="000B27C8" w:rsidP="00BB22DA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P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>rvi na listi po ukupnim prihodima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je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hyperlink r:id="rId26" w:history="1">
        <w:r w:rsidR="00F5040D" w:rsidRPr="003B74CD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ZAGREBAČKI HOLDING d.o.o.</w:t>
        </w:r>
      </w:hyperlink>
      <w:r w:rsidR="005122AA">
        <w:rPr>
          <w:rStyle w:val="FootnoteReference"/>
          <w:rFonts w:ascii="Arial" w:hAnsi="Arial" w:cs="Arial"/>
          <w:color w:val="0000FF"/>
          <w:sz w:val="20"/>
          <w:szCs w:val="20"/>
          <w:u w:val="single"/>
          <w14:textFill>
            <w14:solidFill>
              <w14:srgbClr w14:val="0000FF">
                <w14:lumMod w14:val="75000"/>
              </w14:srgbClr>
            </w14:solidFill>
          </w14:textFill>
        </w:rPr>
        <w:footnoteReference w:id="4"/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722DF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ostvar</w:t>
      </w:r>
      <w:r w:rsidR="00F722DF">
        <w:rPr>
          <w:rFonts w:ascii="Arial" w:hAnsi="Arial" w:cs="Arial"/>
          <w:color w:val="17365D" w:themeColor="text2" w:themeShade="BF"/>
          <w:sz w:val="20"/>
          <w:szCs w:val="20"/>
        </w:rPr>
        <w:t>enih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0410E" w:rsidRPr="00B0410E">
        <w:rPr>
          <w:rFonts w:ascii="Arial" w:hAnsi="Arial" w:cs="Arial"/>
          <w:color w:val="17365D" w:themeColor="text2" w:themeShade="BF"/>
          <w:sz w:val="20"/>
          <w:szCs w:val="20"/>
        </w:rPr>
        <w:t>3,4</w:t>
      </w:r>
      <w:r w:rsidR="00570382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milijarde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kuna što je </w:t>
      </w:r>
      <w:r w:rsidR="00B0410E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31,4 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% prihoda svih poduzetnika područja djelatnosti L – Poslovanje nekretninama. Drugi na listi po prihodima, </w:t>
      </w:r>
      <w:r w:rsidR="00570382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a prvi po </w:t>
      </w:r>
      <w:r w:rsidR="00212185" w:rsidRPr="00B0410E">
        <w:rPr>
          <w:rFonts w:ascii="Arial" w:hAnsi="Arial" w:cs="Arial"/>
          <w:color w:val="17365D" w:themeColor="text2" w:themeShade="BF"/>
          <w:sz w:val="20"/>
          <w:szCs w:val="20"/>
        </w:rPr>
        <w:t>dobiti</w:t>
      </w:r>
      <w:r w:rsidR="00570382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razdoblja</w:t>
      </w:r>
      <w:r w:rsidR="00F722DF">
        <w:rPr>
          <w:rFonts w:ascii="Arial" w:hAnsi="Arial" w:cs="Arial"/>
          <w:color w:val="17365D" w:themeColor="text2" w:themeShade="BF"/>
          <w:sz w:val="20"/>
          <w:szCs w:val="20"/>
        </w:rPr>
        <w:t xml:space="preserve"> je veliki poduzetnik </w:t>
      </w:r>
      <w:hyperlink r:id="rId27" w:history="1">
        <w:r w:rsidR="008F7BDF" w:rsidRPr="003B74CD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Alpe-Adria Poslovodstvo</w:t>
        </w:r>
        <w:r w:rsidR="00F5040D" w:rsidRPr="003B74CD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F722DF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70382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s </w:t>
      </w:r>
      <w:r w:rsidR="00B0410E" w:rsidRPr="00B0410E">
        <w:rPr>
          <w:rFonts w:ascii="Arial" w:hAnsi="Arial" w:cs="Arial"/>
          <w:color w:val="17365D" w:themeColor="text2" w:themeShade="BF"/>
          <w:sz w:val="20"/>
          <w:szCs w:val="20"/>
        </w:rPr>
        <w:t>36</w:t>
      </w:r>
      <w:r w:rsidR="00212185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</w:t>
      </w:r>
      <w:r w:rsidR="00F722DF">
        <w:rPr>
          <w:rFonts w:ascii="Arial" w:hAnsi="Arial" w:cs="Arial"/>
          <w:color w:val="17365D" w:themeColor="text2" w:themeShade="BF"/>
          <w:sz w:val="20"/>
          <w:szCs w:val="20"/>
        </w:rPr>
        <w:t xml:space="preserve"> koji su 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>ostvari</w:t>
      </w:r>
      <w:r w:rsidR="00F722DF">
        <w:rPr>
          <w:rFonts w:ascii="Arial" w:hAnsi="Arial" w:cs="Arial"/>
          <w:color w:val="17365D" w:themeColor="text2" w:themeShade="BF"/>
          <w:sz w:val="20"/>
          <w:szCs w:val="20"/>
        </w:rPr>
        <w:t>li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212185" w:rsidRPr="00B0410E">
        <w:rPr>
          <w:rFonts w:ascii="Arial" w:hAnsi="Arial" w:cs="Arial"/>
          <w:color w:val="17365D" w:themeColor="text2" w:themeShade="BF"/>
          <w:sz w:val="20"/>
          <w:szCs w:val="20"/>
        </w:rPr>
        <w:t>ukupne prihode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 w:rsidR="00B0410E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370,8 </w:t>
      </w:r>
      <w:r w:rsidR="00212185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milijuna kuna, 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odnosno </w:t>
      </w:r>
      <w:r w:rsidR="00B0410E" w:rsidRPr="00B0410E">
        <w:rPr>
          <w:rFonts w:ascii="Arial" w:hAnsi="Arial" w:cs="Arial"/>
          <w:color w:val="17365D" w:themeColor="text2" w:themeShade="BF"/>
          <w:sz w:val="20"/>
          <w:szCs w:val="20"/>
        </w:rPr>
        <w:t xml:space="preserve">3,5 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>% prihoda područja</w:t>
      </w:r>
      <w:r w:rsidR="00F722DF">
        <w:rPr>
          <w:rFonts w:ascii="Arial" w:hAnsi="Arial" w:cs="Arial"/>
          <w:color w:val="17365D" w:themeColor="text2" w:themeShade="BF"/>
          <w:sz w:val="20"/>
          <w:szCs w:val="20"/>
        </w:rPr>
        <w:t xml:space="preserve"> djelatnosti poslovanja nekretninama</w:t>
      </w:r>
      <w:r w:rsidR="00F5040D" w:rsidRPr="00B0410E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CA2A25" w:rsidRPr="002879F8" w:rsidRDefault="004628DE" w:rsidP="00BB22DA">
      <w:pPr>
        <w:widowControl w:val="0"/>
        <w:spacing w:before="180" w:after="40" w:line="240" w:lineRule="auto"/>
        <w:ind w:left="1134" w:hanging="1134"/>
        <w:rPr>
          <w:rFonts w:ascii="Arial" w:hAnsi="Arial" w:cs="Arial"/>
          <w:color w:val="17365D" w:themeColor="text2" w:themeShade="BF"/>
          <w:sz w:val="19"/>
          <w:szCs w:val="19"/>
        </w:rPr>
      </w:pPr>
      <w:r>
        <w:rPr>
          <w:rFonts w:ascii="Arial" w:hAnsi="Arial" w:cs="Arial"/>
          <w:b/>
          <w:color w:val="17365D" w:themeColor="text2" w:themeShade="BF"/>
          <w:sz w:val="18"/>
          <w:szCs w:val="18"/>
        </w:rPr>
        <w:t>Grafikon 2</w:t>
      </w:r>
      <w:r w:rsidR="00CA2A25" w:rsidRPr="003861DB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CA2A25" w:rsidRPr="003861DB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hyperlink r:id="rId28" w:history="1">
        <w:r w:rsidR="002879F8" w:rsidRPr="003861DB">
          <w:rPr>
            <w:rStyle w:val="Hyperlink"/>
            <w:rFonts w:ascii="Arial" w:hAnsi="Arial" w:cs="Arial"/>
            <w:b/>
            <w:sz w:val="18"/>
            <w:szCs w:val="1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ZAGREBAČKI HOLDING</w:t>
        </w:r>
        <w:r w:rsidR="009F68EA" w:rsidRPr="003861DB">
          <w:rPr>
            <w:rStyle w:val="Hyperlink"/>
            <w:rFonts w:ascii="Arial" w:hAnsi="Arial" w:cs="Arial"/>
            <w:b/>
            <w:sz w:val="18"/>
            <w:szCs w:val="1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="00242CFE">
        <w:rPr>
          <w:rStyle w:val="FootnoteReference"/>
          <w:rFonts w:ascii="Arial" w:hAnsi="Arial" w:cs="Arial"/>
          <w:b/>
          <w:color w:val="0000FF"/>
          <w:sz w:val="18"/>
          <w:szCs w:val="18"/>
          <w:u w:val="single"/>
          <w14:textFill>
            <w14:solidFill>
              <w14:srgbClr w14:val="0000FF">
                <w14:lumMod w14:val="75000"/>
              </w14:srgbClr>
            </w14:solidFill>
          </w14:textFill>
        </w:rPr>
        <w:footnoteReference w:id="5"/>
      </w:r>
      <w:r w:rsidR="00CA2A25" w:rsidRPr="003861DB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396BA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– ukupan prihod </w:t>
      </w:r>
      <w:r w:rsidR="005122AA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i broj zaposlenih </w:t>
      </w:r>
      <w:r w:rsidR="00396BAD">
        <w:rPr>
          <w:rFonts w:ascii="Arial" w:hAnsi="Arial" w:cs="Arial"/>
          <w:b/>
          <w:color w:val="17365D" w:themeColor="text2" w:themeShade="BF"/>
          <w:sz w:val="18"/>
          <w:szCs w:val="18"/>
        </w:rPr>
        <w:t>u razdoblju od 2011. do 2016. godine</w:t>
      </w:r>
      <w:r w:rsidR="00CA2A25" w:rsidRPr="003861DB">
        <w:rPr>
          <w:rFonts w:ascii="Arial" w:hAnsi="Arial" w:cs="Arial"/>
          <w:b/>
          <w:i/>
          <w:color w:val="17365D" w:themeColor="text2" w:themeShade="BF"/>
          <w:sz w:val="18"/>
          <w:szCs w:val="18"/>
        </w:rPr>
        <w:t xml:space="preserve"> –</w:t>
      </w:r>
      <w:r w:rsidR="00CA2A25" w:rsidRPr="003861DB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niže prikazani podaci objavljeni su na</w:t>
      </w:r>
      <w:r w:rsidR="00242CFE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hyperlink r:id="rId29" w:history="1">
        <w:r w:rsidR="00242CFE" w:rsidRPr="00242CFE">
          <w:rPr>
            <w:rFonts w:ascii="Arial" w:hAnsi="Arial" w:cs="Arial"/>
            <w:b/>
            <w:color w:val="0000FF"/>
            <w:sz w:val="18"/>
            <w:szCs w:val="18"/>
            <w:u w:val="single"/>
          </w:rPr>
          <w:t>info.BIZ servisu</w:t>
        </w:r>
      </w:hyperlink>
    </w:p>
    <w:tbl>
      <w:tblPr>
        <w:tblW w:w="9715" w:type="dxa"/>
        <w:jc w:val="center"/>
        <w:tblInd w:w="1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447"/>
        <w:gridCol w:w="794"/>
        <w:gridCol w:w="1474"/>
      </w:tblGrid>
      <w:tr w:rsidR="00242CFE" w:rsidRPr="003861DB" w:rsidTr="00BB22DA">
        <w:trPr>
          <w:trHeight w:val="397"/>
          <w:jc w:val="center"/>
        </w:trPr>
        <w:tc>
          <w:tcPr>
            <w:tcW w:w="7447" w:type="dxa"/>
            <w:vMerge w:val="restar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2CFE" w:rsidRPr="009F68EA" w:rsidRDefault="00242CFE" w:rsidP="00242CFE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B0EDA50" wp14:editId="13D9FF17">
                  <wp:extent cx="4644000" cy="1728000"/>
                  <wp:effectExtent l="0" t="0" r="4445" b="5715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4" t="25610" r="23805" b="29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42CFE" w:rsidRPr="00242CFE" w:rsidRDefault="00242CFE" w:rsidP="00242CFE">
            <w:pPr>
              <w:tabs>
                <w:tab w:val="left" w:pos="696"/>
              </w:tabs>
              <w:spacing w:after="0" w:line="240" w:lineRule="auto"/>
              <w:ind w:right="-62" w:hanging="25"/>
              <w:jc w:val="center"/>
              <w:rPr>
                <w:rFonts w:ascii="Arial" w:hAnsi="Arial" w:cs="Arial"/>
                <w:b/>
                <w:noProof/>
                <w:color w:val="17365D" w:themeColor="text2" w:themeShade="BF"/>
                <w:sz w:val="17"/>
                <w:szCs w:val="17"/>
                <w:lang w:eastAsia="hr-HR"/>
              </w:rPr>
            </w:pPr>
            <w:r w:rsidRPr="00242CFE">
              <w:rPr>
                <w:rFonts w:ascii="Arial" w:hAnsi="Arial" w:cs="Arial"/>
                <w:b/>
                <w:noProof/>
                <w:color w:val="17365D" w:themeColor="text2" w:themeShade="BF"/>
                <w:sz w:val="17"/>
                <w:szCs w:val="17"/>
                <w:lang w:eastAsia="hr-HR"/>
              </w:rPr>
              <w:t>Godina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42CFE" w:rsidRPr="00242CFE" w:rsidRDefault="00242CFE" w:rsidP="00D450F9">
            <w:pPr>
              <w:spacing w:after="0" w:line="240" w:lineRule="auto"/>
              <w:ind w:left="90" w:hanging="147"/>
              <w:jc w:val="center"/>
              <w:rPr>
                <w:rFonts w:ascii="Arial" w:hAnsi="Arial" w:cs="Arial"/>
                <w:b/>
                <w:noProof/>
                <w:color w:val="17365D" w:themeColor="text2" w:themeShade="BF"/>
                <w:sz w:val="17"/>
                <w:szCs w:val="17"/>
                <w:lang w:eastAsia="hr-HR"/>
              </w:rPr>
            </w:pPr>
            <w:r w:rsidRPr="00242CFE">
              <w:rPr>
                <w:rFonts w:ascii="Arial" w:hAnsi="Arial" w:cs="Arial"/>
                <w:b/>
                <w:noProof/>
                <w:color w:val="17365D" w:themeColor="text2" w:themeShade="BF"/>
                <w:sz w:val="17"/>
                <w:szCs w:val="17"/>
                <w:lang w:eastAsia="hr-HR"/>
              </w:rPr>
              <w:t>Broj zaposlenih</w:t>
            </w:r>
          </w:p>
        </w:tc>
      </w:tr>
      <w:tr w:rsidR="00242CFE" w:rsidRPr="003861DB" w:rsidTr="00BB22DA">
        <w:trPr>
          <w:trHeight w:val="397"/>
          <w:jc w:val="center"/>
        </w:trPr>
        <w:tc>
          <w:tcPr>
            <w:tcW w:w="7447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Default="00242CFE" w:rsidP="00554941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BB4F23">
            <w:pPr>
              <w:tabs>
                <w:tab w:val="left" w:pos="696"/>
              </w:tabs>
              <w:spacing w:after="0" w:line="240" w:lineRule="auto"/>
              <w:ind w:right="-62" w:hanging="25"/>
              <w:jc w:val="center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2011.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5122AA" w:rsidP="009A725D">
            <w:pPr>
              <w:spacing w:after="0" w:line="240" w:lineRule="auto"/>
              <w:ind w:right="269"/>
              <w:jc w:val="right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11.685</w:t>
            </w:r>
          </w:p>
        </w:tc>
      </w:tr>
      <w:tr w:rsidR="00242CFE" w:rsidRPr="003861DB" w:rsidTr="00BB22DA">
        <w:trPr>
          <w:trHeight w:val="397"/>
          <w:jc w:val="center"/>
        </w:trPr>
        <w:tc>
          <w:tcPr>
            <w:tcW w:w="7447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Default="00242CFE" w:rsidP="00554941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BB4F23">
            <w:pPr>
              <w:tabs>
                <w:tab w:val="left" w:pos="696"/>
              </w:tabs>
              <w:spacing w:after="0" w:line="240" w:lineRule="auto"/>
              <w:ind w:right="-62" w:hanging="25"/>
              <w:jc w:val="center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2012.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5122AA" w:rsidP="009A725D">
            <w:pPr>
              <w:spacing w:after="0" w:line="240" w:lineRule="auto"/>
              <w:ind w:right="269"/>
              <w:jc w:val="right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11.623</w:t>
            </w:r>
          </w:p>
        </w:tc>
      </w:tr>
      <w:tr w:rsidR="00242CFE" w:rsidRPr="003861DB" w:rsidTr="00BB22DA">
        <w:trPr>
          <w:trHeight w:val="397"/>
          <w:jc w:val="center"/>
        </w:trPr>
        <w:tc>
          <w:tcPr>
            <w:tcW w:w="7447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Default="00242CFE" w:rsidP="00554941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BB4F23">
            <w:pPr>
              <w:tabs>
                <w:tab w:val="left" w:pos="696"/>
              </w:tabs>
              <w:spacing w:after="0" w:line="240" w:lineRule="auto"/>
              <w:ind w:right="-62" w:hanging="25"/>
              <w:jc w:val="center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2013.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5122AA" w:rsidP="009A725D">
            <w:pPr>
              <w:spacing w:after="0" w:line="240" w:lineRule="auto"/>
              <w:ind w:right="269"/>
              <w:jc w:val="right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11.359</w:t>
            </w:r>
          </w:p>
        </w:tc>
      </w:tr>
      <w:tr w:rsidR="00242CFE" w:rsidRPr="003861DB" w:rsidTr="00BB22DA">
        <w:trPr>
          <w:trHeight w:val="397"/>
          <w:jc w:val="center"/>
        </w:trPr>
        <w:tc>
          <w:tcPr>
            <w:tcW w:w="7447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Default="00242CFE" w:rsidP="00554941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BB4F23">
            <w:pPr>
              <w:tabs>
                <w:tab w:val="left" w:pos="696"/>
              </w:tabs>
              <w:spacing w:after="0" w:line="240" w:lineRule="auto"/>
              <w:ind w:right="-62" w:hanging="25"/>
              <w:jc w:val="center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2014.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5122AA" w:rsidP="009A725D">
            <w:pPr>
              <w:spacing w:after="0" w:line="240" w:lineRule="auto"/>
              <w:ind w:right="269"/>
              <w:jc w:val="right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8.435</w:t>
            </w:r>
          </w:p>
        </w:tc>
      </w:tr>
      <w:tr w:rsidR="00242CFE" w:rsidRPr="003861DB" w:rsidTr="00BB22DA">
        <w:trPr>
          <w:trHeight w:val="397"/>
          <w:jc w:val="center"/>
        </w:trPr>
        <w:tc>
          <w:tcPr>
            <w:tcW w:w="7447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Default="00242CFE" w:rsidP="00554941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BB4F23">
            <w:pPr>
              <w:tabs>
                <w:tab w:val="left" w:pos="696"/>
              </w:tabs>
              <w:spacing w:after="0" w:line="240" w:lineRule="auto"/>
              <w:ind w:right="-62" w:hanging="25"/>
              <w:jc w:val="center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9A725D">
            <w:pPr>
              <w:spacing w:after="0" w:line="240" w:lineRule="auto"/>
              <w:ind w:right="269"/>
              <w:jc w:val="right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8.008</w:t>
            </w:r>
          </w:p>
        </w:tc>
      </w:tr>
      <w:tr w:rsidR="00242CFE" w:rsidRPr="003861DB" w:rsidTr="00BB22DA">
        <w:trPr>
          <w:trHeight w:val="397"/>
          <w:jc w:val="center"/>
        </w:trPr>
        <w:tc>
          <w:tcPr>
            <w:tcW w:w="7447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Default="00242CFE" w:rsidP="00554941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242CFE">
            <w:pPr>
              <w:tabs>
                <w:tab w:val="left" w:pos="696"/>
              </w:tabs>
              <w:spacing w:after="0" w:line="240" w:lineRule="auto"/>
              <w:ind w:right="-62" w:hanging="25"/>
              <w:jc w:val="center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2CFE" w:rsidRPr="009F68EA" w:rsidRDefault="00242CFE" w:rsidP="009A725D">
            <w:pPr>
              <w:spacing w:after="0" w:line="240" w:lineRule="auto"/>
              <w:ind w:right="269"/>
              <w:jc w:val="right"/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eastAsia="hr-HR"/>
              </w:rPr>
              <w:t>8.081</w:t>
            </w:r>
          </w:p>
        </w:tc>
      </w:tr>
    </w:tbl>
    <w:p w:rsidR="00CA2A25" w:rsidRDefault="00CA2A25" w:rsidP="00CA2A25">
      <w:pPr>
        <w:spacing w:before="40" w:after="0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7260E6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>Izvor: Financijska agencija – Registar godišnjih financijskih izvještaja</w:t>
      </w:r>
    </w:p>
    <w:p w:rsidR="005122AA" w:rsidRDefault="000D5E86" w:rsidP="00672482">
      <w:pPr>
        <w:spacing w:before="180" w:after="0"/>
        <w:jc w:val="both"/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Najveći broj zaposlenih bio je </w:t>
      </w:r>
      <w:r w:rsidR="00672482" w:rsidRPr="00EB403C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hyperlink r:id="rId31" w:history="1">
        <w:r w:rsidR="00672482" w:rsidRPr="00886E02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ZAGREBAČKOM HOLDINGU d.o.o.</w:t>
        </w:r>
      </w:hyperlink>
      <w:r>
        <w:rPr>
          <w:rStyle w:val="Hyperlink"/>
          <w:rFonts w:ascii="Arial" w:hAnsi="Arial" w:cs="Arial"/>
          <w:sz w:val="20"/>
          <w:szCs w:val="20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, </w:t>
      </w:r>
      <w:r w:rsidRPr="000D5E86">
        <w:rPr>
          <w:rStyle w:val="Hyperlink"/>
          <w:rFonts w:ascii="Arial" w:hAnsi="Arial" w:cs="Arial"/>
          <w:color w:val="17365D" w:themeColor="text2" w:themeShade="BF"/>
          <w:sz w:val="20"/>
          <w:szCs w:val="20"/>
          <w:u w:val="none"/>
        </w:rPr>
        <w:t>8081, po čemu je ovo društvo četvrto na rang ljestvici poduzetnika</w:t>
      </w:r>
      <w:r w:rsidR="00672482" w:rsidRPr="000D5E86">
        <w:rPr>
          <w:rStyle w:val="Hyperlink"/>
          <w:rFonts w:ascii="Arial" w:hAnsi="Arial" w:cs="Arial"/>
          <w:color w:val="17365D" w:themeColor="text2" w:themeShade="BF"/>
          <w:sz w:val="20"/>
          <w:szCs w:val="20"/>
          <w:u w:val="none"/>
        </w:rPr>
        <w:t xml:space="preserve"> </w:t>
      </w:r>
      <w:r w:rsidRPr="000D5E86">
        <w:rPr>
          <w:rStyle w:val="Hyperlink"/>
          <w:rFonts w:ascii="Arial" w:hAnsi="Arial" w:cs="Arial"/>
          <w:color w:val="17365D" w:themeColor="text2" w:themeShade="BF"/>
          <w:sz w:val="20"/>
          <w:szCs w:val="20"/>
          <w:u w:val="none"/>
        </w:rPr>
        <w:t>u RH. Smanjenje broja zaposlenih</w:t>
      </w:r>
      <w:r>
        <w:rPr>
          <w:rStyle w:val="Hyperlink"/>
          <w:rFonts w:ascii="Arial" w:hAnsi="Arial" w:cs="Arial"/>
          <w:color w:val="17365D" w:themeColor="text2" w:themeShade="BF"/>
          <w:sz w:val="20"/>
          <w:szCs w:val="20"/>
          <w:u w:val="none"/>
        </w:rPr>
        <w:t xml:space="preserve"> </w:t>
      </w:r>
      <w:r w:rsidRPr="00EB403C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hyperlink r:id="rId32" w:history="1">
        <w:r w:rsidRPr="00886E02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ZAGREBAČKOM HOLDINGU d.o.o.</w:t>
        </w:r>
      </w:hyperlink>
      <w:r>
        <w:rPr>
          <w:rStyle w:val="Hyperlink"/>
          <w:rFonts w:ascii="Arial" w:hAnsi="Arial" w:cs="Arial"/>
          <w:sz w:val="20"/>
          <w:szCs w:val="20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 </w:t>
      </w:r>
      <w:r w:rsidRPr="000D5E86">
        <w:rPr>
          <w:rStyle w:val="Hyperlink"/>
          <w:rFonts w:ascii="Arial" w:hAnsi="Arial" w:cs="Arial"/>
          <w:color w:val="17365D" w:themeColor="text2" w:themeShade="BF"/>
          <w:sz w:val="20"/>
          <w:szCs w:val="20"/>
          <w:u w:val="none"/>
        </w:rPr>
        <w:t>kroz razdoblje od 2011. do 2016. godine</w:t>
      </w:r>
      <w:r>
        <w:rPr>
          <w:rStyle w:val="Hyperlink"/>
          <w:rFonts w:ascii="Arial" w:hAnsi="Arial" w:cs="Arial"/>
          <w:color w:val="17365D" w:themeColor="text2" w:themeShade="BF"/>
          <w:sz w:val="20"/>
          <w:szCs w:val="20"/>
          <w:u w:val="none"/>
        </w:rPr>
        <w:t>,</w:t>
      </w:r>
      <w:r w:rsidRPr="000D5E86">
        <w:rPr>
          <w:rStyle w:val="Hyperlink"/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7248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dijelom je po</w:t>
      </w:r>
      <w:r w:rsidR="0067248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sljedica je izdvajanja njegovih podružnica.</w:t>
      </w:r>
      <w:r w:rsidR="00672482" w:rsidRPr="0067248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</w:t>
      </w:r>
      <w:r w:rsidR="0067248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AGM, d.o.o.</w:t>
      </w:r>
      <w:r w:rsidR="0067248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je </w:t>
      </w:r>
      <w:r w:rsidR="0067248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od 2007. bio je u sastavu HOLDING-a, a početkom studenog</w:t>
      </w:r>
      <w:r w:rsidR="0067248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a</w:t>
      </w:r>
      <w:r w:rsidR="0067248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2013. godine se izdvaja te postaje samostalna pravna osoba. Gradsko stambeno-komunalno gospodarstvo d.o.o. krajem 2005. godine preimenovano je u Podružnicu GSKG, koja je poslovala u</w:t>
      </w:r>
      <w:r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sastavu</w:t>
      </w:r>
      <w:r w:rsidR="0067248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HOLDING-a, a od studenoga 2013. godine ponovno postaje samostalna pravna osoba.</w:t>
      </w:r>
      <w:r w:rsidR="0067248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</w:t>
      </w:r>
      <w:r w:rsidR="00886E0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Vodoopskrba i odvodnja d.o.o. od kraja 2005. godine posl</w:t>
      </w:r>
      <w:r w:rsidR="00D450F9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oval</w:t>
      </w:r>
      <w:r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a</w:t>
      </w:r>
      <w:r w:rsidR="00D450F9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je kao podružnica</w:t>
      </w:r>
      <w:r w:rsidR="00886E0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</w:t>
      </w:r>
      <w:hyperlink r:id="rId33" w:history="1">
        <w:r w:rsidR="00886E02" w:rsidRPr="003B74CD">
          <w:rPr>
            <w:rStyle w:val="Hyperlink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ZAGREBAČKI HOLDING d.o.o.</w:t>
        </w:r>
      </w:hyperlink>
      <w:r w:rsidR="00886E0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, a od studenoga 2013. godine društvo </w:t>
      </w:r>
      <w:r w:rsidR="00D450F9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je </w:t>
      </w:r>
      <w:r w:rsidR="00886E0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ponovno počelo poslovati samostaln</w:t>
      </w:r>
      <w:r w:rsidR="00611473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o</w:t>
      </w:r>
      <w:r w:rsidR="00886E02" w:rsidRPr="00886E02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.</w:t>
      </w:r>
      <w:r w:rsidR="00911B6F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</w:t>
      </w:r>
    </w:p>
    <w:p w:rsidR="00886E02" w:rsidRPr="004628DE" w:rsidRDefault="004628DE" w:rsidP="00BB22DA">
      <w:pPr>
        <w:tabs>
          <w:tab w:val="right" w:pos="0"/>
          <w:tab w:val="left" w:pos="1134"/>
        </w:tabs>
        <w:spacing w:before="140" w:after="20" w:line="240" w:lineRule="auto"/>
        <w:ind w:left="1134" w:right="-28" w:hanging="1134"/>
        <w:rPr>
          <w:rStyle w:val="Hyperlink"/>
          <w:rFonts w:ascii="Arial" w:hAnsi="Arial" w:cs="Arial"/>
          <w:b/>
          <w:color w:val="244061" w:themeColor="accent1" w:themeShade="80"/>
          <w:sz w:val="18"/>
          <w:szCs w:val="18"/>
          <w:u w:val="none"/>
        </w:rPr>
      </w:pPr>
      <w:r w:rsidRPr="004628DE">
        <w:rPr>
          <w:rStyle w:val="Hyperlink"/>
          <w:rFonts w:ascii="Arial" w:hAnsi="Arial" w:cs="Arial"/>
          <w:b/>
          <w:color w:val="244061" w:themeColor="accent1" w:themeShade="80"/>
          <w:sz w:val="18"/>
          <w:szCs w:val="18"/>
          <w:u w:val="none"/>
        </w:rPr>
        <w:t xml:space="preserve">Tablica </w:t>
      </w:r>
      <w:r w:rsidR="00BB22DA">
        <w:rPr>
          <w:rStyle w:val="Hyperlink"/>
          <w:rFonts w:ascii="Arial" w:hAnsi="Arial" w:cs="Arial"/>
          <w:b/>
          <w:color w:val="244061" w:themeColor="accent1" w:themeShade="80"/>
          <w:sz w:val="18"/>
          <w:szCs w:val="18"/>
          <w:u w:val="none"/>
        </w:rPr>
        <w:t>4</w:t>
      </w:r>
      <w:r w:rsidRPr="004628DE">
        <w:rPr>
          <w:rStyle w:val="Hyperlink"/>
          <w:rFonts w:ascii="Arial" w:hAnsi="Arial" w:cs="Arial"/>
          <w:b/>
          <w:color w:val="244061" w:themeColor="accent1" w:themeShade="80"/>
          <w:sz w:val="18"/>
          <w:szCs w:val="18"/>
          <w:u w:val="none"/>
        </w:rPr>
        <w:t>.</w:t>
      </w:r>
      <w:r>
        <w:rPr>
          <w:rStyle w:val="Hyperlink"/>
          <w:rFonts w:ascii="Arial" w:hAnsi="Arial" w:cs="Arial"/>
          <w:b/>
          <w:color w:val="244061" w:themeColor="accent1" w:themeShade="80"/>
          <w:sz w:val="18"/>
          <w:szCs w:val="18"/>
          <w:u w:val="none"/>
        </w:rPr>
        <w:tab/>
        <w:t xml:space="preserve">Broj zaposlenih u bivšim podružnicama </w:t>
      </w:r>
      <w:hyperlink r:id="rId34" w:history="1">
        <w:r w:rsidRPr="004628DE">
          <w:rPr>
            <w:rStyle w:val="Hyperlink"/>
            <w:rFonts w:ascii="Arial" w:hAnsi="Arial" w:cs="Arial"/>
            <w:b/>
            <w:sz w:val="18"/>
            <w:szCs w:val="1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ZAGREBAČKOG HOLDINGA d.o.o.</w:t>
        </w:r>
      </w:hyperlink>
      <w:r>
        <w:rPr>
          <w:rStyle w:val="Hyperlink"/>
          <w:rFonts w:ascii="Arial" w:hAnsi="Arial" w:cs="Arial"/>
          <w:b/>
          <w:sz w:val="18"/>
          <w:szCs w:val="18"/>
          <w14:textFill>
            <w14:solidFill>
              <w14:srgbClr w14:val="0000FF">
                <w14:lumMod w14:val="75000"/>
              </w14:srgbClr>
            </w14:solidFill>
          </w14:textFill>
        </w:rPr>
        <w:t>,</w:t>
      </w:r>
      <w:r w:rsidRPr="004628DE">
        <w:rPr>
          <w:rStyle w:val="Hyperlink"/>
          <w:rFonts w:ascii="Arial" w:hAnsi="Arial" w:cs="Arial"/>
          <w:b/>
          <w:color w:val="17365D" w:themeColor="text2" w:themeShade="BF"/>
          <w:sz w:val="18"/>
          <w:szCs w:val="18"/>
          <w:u w:val="none"/>
        </w:rPr>
        <w:t xml:space="preserve"> koje su od 2013. godine samostalna društva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611473" w:rsidRPr="00EB403C" w:rsidTr="004628DE">
        <w:trPr>
          <w:trHeight w:val="255"/>
        </w:trPr>
        <w:tc>
          <w:tcPr>
            <w:tcW w:w="425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11473" w:rsidRPr="00611473" w:rsidRDefault="00611473" w:rsidP="00611473">
            <w:pPr>
              <w:tabs>
                <w:tab w:val="left" w:pos="0"/>
                <w:tab w:val="right" w:pos="1134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611473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Naziv poslovnog subjekta</w:t>
            </w:r>
          </w:p>
        </w:tc>
        <w:tc>
          <w:tcPr>
            <w:tcW w:w="54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11473" w:rsidRPr="00611473" w:rsidRDefault="00611473" w:rsidP="00611473">
            <w:pPr>
              <w:tabs>
                <w:tab w:val="left" w:pos="0"/>
                <w:tab w:val="right" w:pos="1134"/>
              </w:tabs>
              <w:spacing w:after="0" w:line="240" w:lineRule="auto"/>
              <w:ind w:right="-28"/>
              <w:jc w:val="center"/>
              <w:rPr>
                <w:b/>
                <w:sz w:val="17"/>
                <w:szCs w:val="17"/>
              </w:rPr>
            </w:pP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 xml:space="preserve">Broj zaposlenih </w:t>
            </w:r>
          </w:p>
        </w:tc>
      </w:tr>
      <w:tr w:rsidR="00611473" w:rsidRPr="00EB403C" w:rsidTr="00BB22DA">
        <w:trPr>
          <w:trHeight w:val="255"/>
        </w:trPr>
        <w:tc>
          <w:tcPr>
            <w:tcW w:w="425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11473" w:rsidRPr="00611473" w:rsidRDefault="00611473" w:rsidP="00611473">
            <w:pPr>
              <w:tabs>
                <w:tab w:val="left" w:pos="0"/>
                <w:tab w:val="right" w:pos="1134"/>
              </w:tabs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11473" w:rsidRPr="00611473" w:rsidRDefault="00611473" w:rsidP="00611473">
            <w:pPr>
              <w:tabs>
                <w:tab w:val="left" w:pos="0"/>
                <w:tab w:val="right" w:pos="1134"/>
              </w:tabs>
              <w:spacing w:after="0" w:line="240" w:lineRule="auto"/>
              <w:ind w:right="-28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2013.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11473" w:rsidRPr="00611473" w:rsidRDefault="00611473" w:rsidP="006114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201</w:t>
            </w: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4</w:t>
            </w: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11473" w:rsidRPr="00611473" w:rsidRDefault="00611473" w:rsidP="006114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201</w:t>
            </w: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5</w:t>
            </w: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11473" w:rsidRPr="00611473" w:rsidRDefault="00611473" w:rsidP="006114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201</w:t>
            </w: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6</w:t>
            </w:r>
            <w:r w:rsidRPr="00611473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.</w:t>
            </w:r>
          </w:p>
        </w:tc>
      </w:tr>
      <w:tr w:rsidR="00886E02" w:rsidRPr="00EB403C" w:rsidTr="00BB22DA">
        <w:trPr>
          <w:trHeight w:val="255"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EB403C" w:rsidRDefault="00886E02" w:rsidP="00611473">
            <w:pPr>
              <w:tabs>
                <w:tab w:val="left" w:pos="0"/>
                <w:tab w:val="right" w:pos="1134"/>
              </w:tabs>
              <w:spacing w:after="0" w:line="240" w:lineRule="auto"/>
              <w:ind w:right="-108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EB403C">
              <w:rPr>
                <w:rStyle w:val="Hyperlink"/>
                <w:rFonts w:ascii="Arial" w:hAnsi="Arial" w:cs="Arial"/>
                <w:color w:val="244061" w:themeColor="accent1" w:themeShade="80"/>
                <w:sz w:val="18"/>
                <w:szCs w:val="18"/>
                <w:u w:val="none"/>
              </w:rPr>
              <w:t>AGM, d.o.o</w:t>
            </w:r>
            <w:r w:rsidR="00EB403C">
              <w:rPr>
                <w:rStyle w:val="Hyperlink"/>
                <w:rFonts w:ascii="Arial" w:hAnsi="Arial" w:cs="Arial"/>
                <w:color w:val="244061" w:themeColor="accent1" w:themeShade="80"/>
                <w:sz w:val="18"/>
                <w:szCs w:val="18"/>
                <w:u w:val="none"/>
              </w:rPr>
              <w:t>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EB403C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35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30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26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26</w:t>
            </w:r>
          </w:p>
        </w:tc>
      </w:tr>
      <w:tr w:rsidR="00886E02" w:rsidRPr="00EB403C" w:rsidTr="00BB22DA">
        <w:trPr>
          <w:trHeight w:val="255"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886E02" w:rsidP="00611473">
            <w:pPr>
              <w:tabs>
                <w:tab w:val="left" w:pos="0"/>
                <w:tab w:val="right" w:pos="1134"/>
              </w:tabs>
              <w:spacing w:after="0" w:line="240" w:lineRule="auto"/>
              <w:ind w:right="-108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886E02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Gradsko stambeno-komunalno gospodarstvo d.o.o.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295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248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268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250</w:t>
            </w:r>
          </w:p>
        </w:tc>
      </w:tr>
      <w:tr w:rsidR="00886E02" w:rsidRPr="00EB403C" w:rsidTr="00BB22DA">
        <w:trPr>
          <w:trHeight w:val="255"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611473" w:rsidP="00611473">
            <w:pPr>
              <w:tabs>
                <w:tab w:val="left" w:pos="0"/>
                <w:tab w:val="right" w:pos="1134"/>
              </w:tabs>
              <w:spacing w:after="0" w:line="240" w:lineRule="auto"/>
              <w:ind w:right="-108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611473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Vodoopskrba i odvodnja d.o.o</w:t>
            </w: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1.133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1.153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1.069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E02" w:rsidRPr="00886E02" w:rsidRDefault="00203A2E" w:rsidP="00203A2E">
            <w:pPr>
              <w:tabs>
                <w:tab w:val="left" w:pos="0"/>
                <w:tab w:val="right" w:pos="1134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1.100</w:t>
            </w:r>
          </w:p>
        </w:tc>
      </w:tr>
    </w:tbl>
    <w:p w:rsidR="004628DE" w:rsidRDefault="004628DE" w:rsidP="004628DE">
      <w:pPr>
        <w:spacing w:before="40" w:after="0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7260E6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>Izvor: Financijska agencija – Registar godišnjih financijskih izvještaja</w:t>
      </w:r>
    </w:p>
    <w:p w:rsidR="00721B40" w:rsidRPr="003861DB" w:rsidRDefault="00721B40" w:rsidP="00BB22DA">
      <w:pPr>
        <w:tabs>
          <w:tab w:val="left" w:pos="0"/>
          <w:tab w:val="right" w:pos="1134"/>
        </w:tabs>
        <w:spacing w:before="140" w:after="0"/>
        <w:ind w:right="-28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775C9">
        <w:rPr>
          <w:rFonts w:ascii="Arial" w:hAnsi="Arial" w:cs="Arial"/>
          <w:color w:val="17365D" w:themeColor="text2" w:themeShade="BF"/>
          <w:sz w:val="20"/>
          <w:szCs w:val="20"/>
        </w:rPr>
        <w:t>U niže</w:t>
      </w:r>
      <w:r w:rsidR="00052FFE" w:rsidRPr="009775C9">
        <w:rPr>
          <w:rFonts w:ascii="Arial" w:hAnsi="Arial" w:cs="Arial"/>
          <w:color w:val="17365D" w:themeColor="text2" w:themeShade="BF"/>
          <w:sz w:val="20"/>
          <w:szCs w:val="20"/>
        </w:rPr>
        <w:t xml:space="preserve"> navedenom grafikonu uspoređen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a je </w:t>
      </w:r>
      <w:r w:rsidR="00404FB3" w:rsidRP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prosječna </w:t>
      </w:r>
      <w:r w:rsidR="00404FB3" w:rsidRPr="005122AA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bruto plaća</w:t>
      </w:r>
      <w:r w:rsidR="00404FB3" w:rsidRP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</w:t>
      </w:r>
      <w:r w:rsidR="00404FB3" w:rsidRP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u 2016. godini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 xml:space="preserve">kod </w:t>
      </w:r>
      <w:r w:rsidR="00052FFE" w:rsidRPr="009775C9">
        <w:rPr>
          <w:rFonts w:ascii="Arial" w:hAnsi="Arial" w:cs="Arial"/>
          <w:color w:val="17365D" w:themeColor="text2" w:themeShade="BF"/>
          <w:sz w:val="20"/>
          <w:szCs w:val="20"/>
        </w:rPr>
        <w:t xml:space="preserve">prvih </w:t>
      </w:r>
      <w:r w:rsidR="00404FB3">
        <w:rPr>
          <w:rFonts w:ascii="Arial" w:hAnsi="Arial" w:cs="Arial"/>
          <w:color w:val="17365D" w:themeColor="text2" w:themeShade="BF"/>
          <w:sz w:val="20"/>
          <w:szCs w:val="20"/>
        </w:rPr>
        <w:t>pet</w:t>
      </w:r>
      <w:r w:rsidR="00052FFE" w:rsidRPr="009775C9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u području djelatnosti L – Poslovanje nekretninama prema </w:t>
      </w:r>
      <w:r w:rsidR="002154AC" w:rsidRPr="009775C9">
        <w:rPr>
          <w:rFonts w:ascii="Arial" w:hAnsi="Arial" w:cs="Arial"/>
          <w:color w:val="17365D" w:themeColor="text2" w:themeShade="BF"/>
          <w:sz w:val="20"/>
          <w:szCs w:val="20"/>
        </w:rPr>
        <w:t>ukupnim prihodima</w:t>
      </w:r>
      <w:r w:rsidR="00052FFE" w:rsidRPr="009775C9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</w:p>
    <w:p w:rsidR="00721B40" w:rsidRPr="00404FB3" w:rsidRDefault="004628DE" w:rsidP="00BB22DA">
      <w:pPr>
        <w:tabs>
          <w:tab w:val="right" w:pos="142"/>
          <w:tab w:val="left" w:pos="1134"/>
        </w:tabs>
        <w:spacing w:before="140" w:after="2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hAnsi="Arial" w:cs="Arial"/>
          <w:b/>
          <w:color w:val="17365D" w:themeColor="text2" w:themeShade="BF"/>
          <w:sz w:val="18"/>
          <w:szCs w:val="18"/>
        </w:rPr>
        <w:t>Grafikon 3</w:t>
      </w:r>
      <w:r w:rsidR="00721B40" w:rsidRPr="00404FB3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721B40" w:rsidRPr="00404FB3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Usporedni prikaz </w:t>
      </w:r>
      <w:r w:rsidR="006A2EC7" w:rsidRPr="00404FB3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prosječne </w:t>
      </w:r>
      <w:r w:rsidR="006A2EC7" w:rsidRPr="00404FB3">
        <w:rPr>
          <w:rFonts w:ascii="Arial" w:hAnsi="Arial" w:cs="Arial"/>
          <w:b/>
          <w:color w:val="17365D" w:themeColor="text2" w:themeShade="BF"/>
          <w:sz w:val="18"/>
          <w:szCs w:val="18"/>
          <w:u w:val="single"/>
        </w:rPr>
        <w:t>bruto</w:t>
      </w:r>
      <w:r w:rsidR="006A2EC7" w:rsidRPr="00404FB3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plaće</w:t>
      </w:r>
      <w:r w:rsidR="00721B40" w:rsidRPr="00404FB3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p</w:t>
      </w:r>
      <w:r w:rsidR="00721B40" w:rsidRP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rvih 5</w:t>
      </w:r>
      <w:r w:rsidR="00A24994" w:rsidRP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po </w:t>
      </w:r>
      <w:r w:rsidR="002879F8" w:rsidRP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ukupnom prihodu</w:t>
      </w:r>
      <w:r w:rsidR="00721B40" w:rsidRP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</w:t>
      </w:r>
      <w:r w:rsidR="002879F8" w:rsidRP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području djelatnosti </w:t>
      </w:r>
      <w:r w:rsid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L - </w:t>
      </w:r>
      <w:r w:rsidR="00052FFE" w:rsidRP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Poslovanje nekretninama</w:t>
      </w:r>
      <w:r w:rsidR="002879F8" w:rsidRPr="00404FB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2016. godini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45"/>
        <w:gridCol w:w="3594"/>
      </w:tblGrid>
      <w:tr w:rsidR="003F2EFF" w:rsidRPr="003861DB" w:rsidTr="00BB22DA">
        <w:trPr>
          <w:cantSplit/>
          <w:trHeight w:val="454"/>
          <w:jc w:val="center"/>
        </w:trPr>
        <w:tc>
          <w:tcPr>
            <w:tcW w:w="6045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3F2EFF" w:rsidRPr="00E503E4" w:rsidRDefault="006A2EC7" w:rsidP="00F07E7D">
            <w:pPr>
              <w:spacing w:after="0" w:line="240" w:lineRule="auto"/>
              <w:rPr>
                <w:color w:val="0F243E"/>
                <w:sz w:val="18"/>
                <w:szCs w:val="1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8968458" wp14:editId="615FEE4C">
                  <wp:extent cx="3754800" cy="1728000"/>
                  <wp:effectExtent l="0" t="0" r="0" b="5715"/>
                  <wp:docPr id="7" name="Slika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5"/>
                          <a:srcRect t="3128" b="2712"/>
                          <a:stretch/>
                        </pic:blipFill>
                        <pic:spPr bwMode="auto">
                          <a:xfrm>
                            <a:off x="0" y="0"/>
                            <a:ext cx="3754800" cy="172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FFFFFF" w:themeColor="background1"/>
              <w:right w:val="single" w:sz="2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2EFF" w:rsidRPr="00A24994" w:rsidRDefault="003F2EFF" w:rsidP="00BB22DA">
            <w:pPr>
              <w:spacing w:after="0" w:line="240" w:lineRule="auto"/>
              <w:ind w:left="113" w:hanging="113"/>
              <w:rPr>
                <w:rFonts w:ascii="Arial" w:hAnsi="Arial" w:cs="Arial"/>
                <w:color w:val="244061"/>
                <w:sz w:val="17"/>
                <w:szCs w:val="17"/>
              </w:rPr>
            </w:pPr>
            <w:r w:rsidRPr="00A24994">
              <w:rPr>
                <w:rFonts w:ascii="Arial" w:hAnsi="Arial" w:cs="Arial"/>
                <w:b/>
                <w:color w:val="244061"/>
                <w:sz w:val="17"/>
                <w:szCs w:val="17"/>
              </w:rPr>
              <w:t>A</w:t>
            </w:r>
            <w:r w:rsidRPr="00A24994">
              <w:rPr>
                <w:rFonts w:ascii="Arial" w:hAnsi="Arial" w:cs="Arial"/>
                <w:color w:val="244061"/>
                <w:sz w:val="17"/>
                <w:szCs w:val="17"/>
              </w:rPr>
              <w:t xml:space="preserve"> </w:t>
            </w:r>
            <w:hyperlink r:id="rId36" w:history="1">
              <w:r w:rsidR="006A2EC7" w:rsidRPr="003B74CD">
                <w:rPr>
                  <w:rStyle w:val="Hyperlink"/>
                  <w:rFonts w:ascii="Arial" w:hAnsi="Arial" w:cs="Arial"/>
                  <w:sz w:val="17"/>
                  <w:szCs w:val="17"/>
                </w:rPr>
                <w:t>ZAGREBAČKI HOLDING</w:t>
              </w:r>
              <w:r w:rsidRPr="003B74CD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d.o.o.</w:t>
              </w:r>
            </w:hyperlink>
            <w:r>
              <w:rPr>
                <w:rStyle w:val="Hyperlink"/>
                <w:rFonts w:ascii="Arial" w:hAnsi="Arial" w:cs="Arial"/>
                <w:sz w:val="17"/>
                <w:szCs w:val="17"/>
              </w:rPr>
              <w:br/>
            </w:r>
            <w:r w:rsidR="002154AC">
              <w:rPr>
                <w:rFonts w:ascii="Arial" w:hAnsi="Arial" w:cs="Arial"/>
                <w:color w:val="244061"/>
                <w:sz w:val="17"/>
                <w:szCs w:val="17"/>
              </w:rPr>
              <w:t>Ukupni prihodi</w:t>
            </w:r>
            <w:r>
              <w:rPr>
                <w:rFonts w:ascii="Arial" w:hAnsi="Arial" w:cs="Arial"/>
                <w:color w:val="244061"/>
                <w:sz w:val="17"/>
                <w:szCs w:val="17"/>
              </w:rPr>
              <w:t xml:space="preserve"> </w:t>
            </w:r>
            <w:r w:rsidR="002154AC">
              <w:rPr>
                <w:rFonts w:ascii="Arial" w:hAnsi="Arial" w:cs="Arial"/>
                <w:color w:val="244061"/>
                <w:sz w:val="17"/>
                <w:szCs w:val="17"/>
              </w:rPr>
              <w:t xml:space="preserve">3.352.692.401 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kn</w:t>
            </w:r>
          </w:p>
        </w:tc>
      </w:tr>
      <w:tr w:rsidR="003F2EFF" w:rsidRPr="003861DB" w:rsidTr="00BB22DA">
        <w:trPr>
          <w:cantSplit/>
          <w:trHeight w:val="454"/>
          <w:jc w:val="center"/>
        </w:trPr>
        <w:tc>
          <w:tcPr>
            <w:tcW w:w="6045" w:type="dxa"/>
            <w:vMerge/>
            <w:tcBorders>
              <w:left w:val="single" w:sz="2" w:space="0" w:color="A6A6A6"/>
              <w:right w:val="single" w:sz="2" w:space="0" w:color="A6A6A6" w:themeColor="background1" w:themeShade="A6"/>
            </w:tcBorders>
            <w:shd w:val="clear" w:color="auto" w:fill="auto"/>
          </w:tcPr>
          <w:p w:rsidR="003F2EFF" w:rsidRPr="00B5414C" w:rsidRDefault="003F2EFF" w:rsidP="00126E68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594" w:type="dxa"/>
            <w:tcBorders>
              <w:top w:val="single" w:sz="2" w:space="0" w:color="FFFFFF" w:themeColor="background1"/>
              <w:left w:val="single" w:sz="2" w:space="0" w:color="A6A6A6" w:themeColor="background1" w:themeShade="A6"/>
              <w:bottom w:val="single" w:sz="2" w:space="0" w:color="FFFFFF" w:themeColor="background1"/>
              <w:right w:val="single" w:sz="2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80576" w:rsidRDefault="003F2EFF" w:rsidP="00BB22DA">
            <w:pPr>
              <w:spacing w:after="0" w:line="240" w:lineRule="auto"/>
              <w:ind w:left="113" w:hanging="113"/>
              <w:rPr>
                <w:rStyle w:val="Hyperlink"/>
                <w:rFonts w:ascii="Arial" w:hAnsi="Arial" w:cs="Arial"/>
                <w:sz w:val="17"/>
                <w:szCs w:val="17"/>
              </w:rPr>
            </w:pPr>
            <w:r w:rsidRPr="00A24994">
              <w:rPr>
                <w:rFonts w:ascii="Arial" w:hAnsi="Arial" w:cs="Arial"/>
                <w:b/>
                <w:color w:val="244061"/>
                <w:sz w:val="17"/>
                <w:szCs w:val="17"/>
              </w:rPr>
              <w:t>B</w:t>
            </w:r>
            <w:r w:rsidRPr="00A24994">
              <w:rPr>
                <w:rFonts w:ascii="Arial" w:hAnsi="Arial" w:cs="Arial"/>
                <w:color w:val="244061"/>
                <w:sz w:val="17"/>
                <w:szCs w:val="17"/>
              </w:rPr>
              <w:t xml:space="preserve"> </w:t>
            </w:r>
            <w:hyperlink r:id="rId37" w:history="1">
              <w:r w:rsidR="008F7BDF" w:rsidRPr="003B74CD">
                <w:rPr>
                  <w:rStyle w:val="Hyperlink"/>
                  <w:rFonts w:ascii="Arial" w:hAnsi="Arial" w:cs="Arial"/>
                  <w:sz w:val="17"/>
                  <w:szCs w:val="17"/>
                </w:rPr>
                <w:t>Alpe-Adria Poslovodstvo</w:t>
              </w:r>
              <w:r w:rsidR="006A2EC7" w:rsidRPr="003B74CD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d.o.o.</w:t>
              </w:r>
            </w:hyperlink>
            <w:r w:rsidR="006A2EC7">
              <w:rPr>
                <w:rStyle w:val="Hyperlink"/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3F2EFF" w:rsidRPr="00A24994" w:rsidRDefault="00C80576" w:rsidP="00BB22DA">
            <w:pPr>
              <w:spacing w:after="0" w:line="240" w:lineRule="auto"/>
              <w:ind w:left="113" w:hanging="113"/>
              <w:rPr>
                <w:rFonts w:ascii="Arial" w:hAnsi="Arial" w:cs="Arial"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color w:val="244061"/>
                <w:sz w:val="17"/>
                <w:szCs w:val="17"/>
              </w:rPr>
              <w:t xml:space="preserve">   </w:t>
            </w:r>
            <w:r w:rsidR="002154AC">
              <w:rPr>
                <w:rFonts w:ascii="Arial" w:hAnsi="Arial" w:cs="Arial"/>
                <w:color w:val="244061"/>
                <w:sz w:val="17"/>
                <w:szCs w:val="17"/>
              </w:rPr>
              <w:t>Ukupni prihodi 370.759.648</w:t>
            </w:r>
            <w:r w:rsidR="003F2EFF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kn</w:t>
            </w:r>
          </w:p>
        </w:tc>
      </w:tr>
      <w:tr w:rsidR="003F2EFF" w:rsidRPr="003861DB" w:rsidTr="00BB22DA">
        <w:trPr>
          <w:cantSplit/>
          <w:trHeight w:val="454"/>
          <w:jc w:val="center"/>
        </w:trPr>
        <w:tc>
          <w:tcPr>
            <w:tcW w:w="6045" w:type="dxa"/>
            <w:vMerge/>
            <w:tcBorders>
              <w:left w:val="single" w:sz="2" w:space="0" w:color="A6A6A6"/>
              <w:right w:val="single" w:sz="2" w:space="0" w:color="A6A6A6" w:themeColor="background1" w:themeShade="A6"/>
            </w:tcBorders>
            <w:shd w:val="clear" w:color="auto" w:fill="auto"/>
          </w:tcPr>
          <w:p w:rsidR="003F2EFF" w:rsidRPr="00B5414C" w:rsidRDefault="003F2EFF" w:rsidP="00126E68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594" w:type="dxa"/>
            <w:tcBorders>
              <w:top w:val="single" w:sz="2" w:space="0" w:color="FFFFFF" w:themeColor="background1"/>
              <w:left w:val="single" w:sz="2" w:space="0" w:color="A6A6A6" w:themeColor="background1" w:themeShade="A6"/>
              <w:bottom w:val="single" w:sz="2" w:space="0" w:color="FFFFFF" w:themeColor="background1"/>
              <w:right w:val="single" w:sz="2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2EFF" w:rsidRPr="000A4D6D" w:rsidRDefault="003F2EFF" w:rsidP="00BB22DA">
            <w:pPr>
              <w:spacing w:after="0" w:line="240" w:lineRule="auto"/>
              <w:ind w:left="113" w:hanging="113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0A4D6D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>C</w:t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  <w:bookmarkStart w:id="1" w:name="OLE_LINK1"/>
            <w:r w:rsidR="003B74C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="003B74CD">
              <w:rPr>
                <w:rFonts w:ascii="Arial" w:hAnsi="Arial" w:cs="Arial"/>
                <w:sz w:val="17"/>
                <w:szCs w:val="17"/>
              </w:rPr>
              <w:instrText xml:space="preserve"> HYPERLINK "https://www.transparentno.hr/pregled/83997642580/c508aabdb15282a9accb0038037181568cfbcf62efebbed3facce3bbd693c13c8eae6d5e96588bc928b5ef03c3fbbb5e94dd56ed782cb43e79c20de943843842" </w:instrText>
            </w:r>
            <w:r w:rsidR="003B74C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154AC" w:rsidRPr="003B74CD">
              <w:rPr>
                <w:rStyle w:val="Hyperlink"/>
                <w:rFonts w:ascii="Arial" w:hAnsi="Arial" w:cs="Arial"/>
                <w:sz w:val="17"/>
                <w:szCs w:val="17"/>
              </w:rPr>
              <w:t>A</w:t>
            </w:r>
            <w:r w:rsidR="008F7BDF" w:rsidRPr="003B74CD">
              <w:rPr>
                <w:rStyle w:val="Hyperlink"/>
                <w:rFonts w:ascii="Arial" w:hAnsi="Arial" w:cs="Arial"/>
                <w:sz w:val="17"/>
                <w:szCs w:val="17"/>
              </w:rPr>
              <w:t>rena Cent</w:t>
            </w:r>
            <w:r w:rsidR="004B689D">
              <w:rPr>
                <w:rStyle w:val="Hyperlink"/>
                <w:rFonts w:ascii="Arial" w:hAnsi="Arial" w:cs="Arial"/>
                <w:sz w:val="17"/>
                <w:szCs w:val="17"/>
              </w:rPr>
              <w:t>e</w:t>
            </w:r>
            <w:r w:rsidR="008F7BDF" w:rsidRPr="003B74CD">
              <w:rPr>
                <w:rStyle w:val="Hyperlink"/>
                <w:rFonts w:ascii="Arial" w:hAnsi="Arial" w:cs="Arial"/>
                <w:sz w:val="17"/>
                <w:szCs w:val="17"/>
              </w:rPr>
              <w:t>r Zagreb</w:t>
            </w:r>
            <w:r w:rsidR="000A4D6D" w:rsidRPr="003B74CD">
              <w:rPr>
                <w:rStyle w:val="Hyperlink"/>
                <w:rFonts w:ascii="Arial" w:hAnsi="Arial" w:cs="Arial"/>
                <w:sz w:val="17"/>
                <w:szCs w:val="17"/>
              </w:rPr>
              <w:t xml:space="preserve"> d.o.o.</w:t>
            </w:r>
            <w:bookmarkEnd w:id="1"/>
            <w:r w:rsidR="003B74CD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br/>
            </w:r>
            <w:r w:rsidR="002154AC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Ukupni prihodi 172.693.477</w:t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kn</w:t>
            </w:r>
          </w:p>
        </w:tc>
      </w:tr>
      <w:tr w:rsidR="003F2EFF" w:rsidRPr="003861DB" w:rsidTr="00BB22DA">
        <w:trPr>
          <w:cantSplit/>
          <w:trHeight w:val="454"/>
          <w:jc w:val="center"/>
        </w:trPr>
        <w:tc>
          <w:tcPr>
            <w:tcW w:w="6045" w:type="dxa"/>
            <w:vMerge/>
            <w:tcBorders>
              <w:left w:val="single" w:sz="2" w:space="0" w:color="A6A6A6"/>
              <w:right w:val="single" w:sz="2" w:space="0" w:color="A6A6A6" w:themeColor="background1" w:themeShade="A6"/>
            </w:tcBorders>
            <w:shd w:val="clear" w:color="auto" w:fill="auto"/>
          </w:tcPr>
          <w:p w:rsidR="003F2EFF" w:rsidRPr="00B5414C" w:rsidRDefault="003F2EFF" w:rsidP="00126E68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594" w:type="dxa"/>
            <w:tcBorders>
              <w:top w:val="single" w:sz="2" w:space="0" w:color="FFFFFF" w:themeColor="background1"/>
              <w:left w:val="single" w:sz="2" w:space="0" w:color="A6A6A6" w:themeColor="background1" w:themeShade="A6"/>
              <w:bottom w:val="single" w:sz="2" w:space="0" w:color="FFFFFF" w:themeColor="background1"/>
              <w:right w:val="single" w:sz="2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2EFF" w:rsidRPr="000A4D6D" w:rsidRDefault="003F2EFF" w:rsidP="00BB22DA">
            <w:pPr>
              <w:spacing w:after="0" w:line="240" w:lineRule="auto"/>
              <w:ind w:left="113" w:hanging="113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0A4D6D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>D</w:t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  <w:hyperlink r:id="rId38" w:history="1">
              <w:r w:rsidR="002154AC" w:rsidRPr="003B74CD">
                <w:rPr>
                  <w:rStyle w:val="Hyperlink"/>
                  <w:rFonts w:ascii="Arial" w:hAnsi="Arial" w:cs="Arial"/>
                  <w:sz w:val="17"/>
                  <w:szCs w:val="17"/>
                </w:rPr>
                <w:t>SB TORANJ</w:t>
              </w:r>
              <w:r w:rsidR="000A4D6D" w:rsidRPr="003B74CD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d.o.o.</w:t>
              </w:r>
            </w:hyperlink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br/>
            </w:r>
            <w:r w:rsidR="002154AC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Ukupni prihodi 168.695.096</w:t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kn</w:t>
            </w:r>
          </w:p>
        </w:tc>
      </w:tr>
      <w:tr w:rsidR="003F2EFF" w:rsidRPr="003861DB" w:rsidTr="00BB22DA">
        <w:trPr>
          <w:cantSplit/>
          <w:trHeight w:val="454"/>
          <w:jc w:val="center"/>
        </w:trPr>
        <w:tc>
          <w:tcPr>
            <w:tcW w:w="6045" w:type="dxa"/>
            <w:vMerge/>
            <w:tcBorders>
              <w:left w:val="single" w:sz="2" w:space="0" w:color="A6A6A6"/>
              <w:right w:val="single" w:sz="2" w:space="0" w:color="A6A6A6" w:themeColor="background1" w:themeShade="A6"/>
            </w:tcBorders>
            <w:shd w:val="clear" w:color="auto" w:fill="auto"/>
          </w:tcPr>
          <w:p w:rsidR="003F2EFF" w:rsidRPr="00B5414C" w:rsidRDefault="003F2EFF" w:rsidP="00126E68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594" w:type="dxa"/>
            <w:tcBorders>
              <w:top w:val="single" w:sz="2" w:space="0" w:color="FFFFFF" w:themeColor="background1"/>
              <w:left w:val="single" w:sz="2" w:space="0" w:color="A6A6A6" w:themeColor="background1" w:themeShade="A6"/>
              <w:bottom w:val="single" w:sz="2" w:space="0" w:color="FFFFFF" w:themeColor="background1"/>
              <w:right w:val="single" w:sz="2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2EFF" w:rsidRPr="000A4D6D" w:rsidRDefault="003F2EFF" w:rsidP="00BB22DA">
            <w:pPr>
              <w:spacing w:after="0" w:line="240" w:lineRule="auto"/>
              <w:ind w:left="113" w:hanging="113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0A4D6D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>E</w:t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  <w:hyperlink r:id="rId39" w:history="1">
              <w:r w:rsidR="002154AC" w:rsidRPr="003B74CD">
                <w:rPr>
                  <w:rStyle w:val="Hyperlink"/>
                  <w:rFonts w:ascii="Arial" w:hAnsi="Arial" w:cs="Arial"/>
                  <w:sz w:val="17"/>
                  <w:szCs w:val="17"/>
                </w:rPr>
                <w:t>ADRIA GRUPA d.o.o.</w:t>
              </w:r>
            </w:hyperlink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br/>
            </w:r>
            <w:r w:rsidR="002154AC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Ukupni prihodi 157.686.029</w:t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  <w:shd w:val="clear" w:color="auto" w:fill="F8F8F8"/>
              </w:rPr>
              <w:t xml:space="preserve"> </w:t>
            </w:r>
            <w:r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kn</w:t>
            </w:r>
          </w:p>
        </w:tc>
      </w:tr>
      <w:tr w:rsidR="003F2EFF" w:rsidRPr="003861DB" w:rsidTr="00BB22DA">
        <w:trPr>
          <w:cantSplit/>
          <w:trHeight w:val="397"/>
          <w:jc w:val="center"/>
        </w:trPr>
        <w:tc>
          <w:tcPr>
            <w:tcW w:w="6045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 w:themeColor="background1" w:themeShade="A6"/>
            </w:tcBorders>
            <w:shd w:val="clear" w:color="auto" w:fill="auto"/>
          </w:tcPr>
          <w:p w:rsidR="003F2EFF" w:rsidRPr="00B5414C" w:rsidRDefault="003F2EFF" w:rsidP="00126E68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594" w:type="dxa"/>
            <w:tcBorders>
              <w:top w:val="single" w:sz="2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:rsidR="003861DB" w:rsidRDefault="003F2EFF" w:rsidP="002154AC">
            <w:pPr>
              <w:spacing w:after="0" w:line="240" w:lineRule="auto"/>
              <w:ind w:left="186" w:hanging="186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0A4D6D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>P</w:t>
            </w:r>
            <w:r w:rsidR="00C80576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 xml:space="preserve">odručje </w:t>
            </w:r>
            <w:r w:rsidRPr="000A4D6D"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  <w:t>djelatnosti L</w:t>
            </w:r>
            <w:r w:rsidR="003861DB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</w:p>
          <w:p w:rsidR="003F2EFF" w:rsidRPr="000A4D6D" w:rsidRDefault="002154AC" w:rsidP="002154AC">
            <w:pPr>
              <w:spacing w:after="0" w:line="240" w:lineRule="auto"/>
              <w:ind w:left="186" w:hanging="186"/>
              <w:rPr>
                <w:rFonts w:ascii="Arial" w:hAnsi="Arial" w:cs="Arial"/>
                <w:b/>
                <w:color w:val="17365D" w:themeColor="text2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Ukupni prihodi</w:t>
            </w:r>
            <w:r w:rsidR="003F2EFF"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10.690.604.860</w:t>
            </w:r>
            <w:r w:rsidR="00F07E7D" w:rsidRPr="000A4D6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kn</w:t>
            </w:r>
          </w:p>
        </w:tc>
      </w:tr>
    </w:tbl>
    <w:p w:rsidR="00721B40" w:rsidRDefault="00721B40" w:rsidP="00A91F2A">
      <w:pPr>
        <w:spacing w:before="40" w:after="0" w:line="240" w:lineRule="auto"/>
        <w:jc w:val="both"/>
        <w:rPr>
          <w:rStyle w:val="Hyperlink"/>
          <w:rFonts w:ascii="Arial" w:hAnsi="Arial" w:cs="Arial"/>
          <w:i/>
          <w:sz w:val="16"/>
          <w:szCs w:val="16"/>
        </w:rPr>
      </w:pPr>
      <w:r w:rsidRPr="002E6D38">
        <w:rPr>
          <w:rFonts w:ascii="Arial" w:hAnsi="Arial" w:cs="Arial"/>
          <w:i/>
          <w:color w:val="17365D"/>
          <w:sz w:val="16"/>
          <w:szCs w:val="16"/>
        </w:rPr>
        <w:t xml:space="preserve">Izvor: Fina, web servis – </w:t>
      </w:r>
      <w:hyperlink r:id="rId40" w:history="1">
        <w:r w:rsidRPr="002E6D38">
          <w:rPr>
            <w:rStyle w:val="Hyperlink"/>
            <w:rFonts w:ascii="Arial" w:hAnsi="Arial" w:cs="Arial"/>
            <w:i/>
            <w:sz w:val="16"/>
            <w:szCs w:val="16"/>
          </w:rPr>
          <w:t>info.BIZ</w:t>
        </w:r>
      </w:hyperlink>
    </w:p>
    <w:sectPr w:rsidR="00721B40" w:rsidSect="00F722DF">
      <w:headerReference w:type="default" r:id="rId41"/>
      <w:footerReference w:type="default" r:id="rId42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A9" w:rsidRDefault="00121CA9" w:rsidP="007B2A8F">
      <w:pPr>
        <w:spacing w:after="0" w:line="240" w:lineRule="auto"/>
      </w:pPr>
      <w:r>
        <w:separator/>
      </w:r>
    </w:p>
  </w:endnote>
  <w:endnote w:type="continuationSeparator" w:id="0">
    <w:p w:rsidR="00121CA9" w:rsidRDefault="00121CA9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27" w:rsidRPr="006B5F27" w:rsidRDefault="006B5F27" w:rsidP="006B5F27">
    <w:pPr>
      <w:pStyle w:val="Footer"/>
      <w:spacing w:after="0" w:line="240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A9" w:rsidRDefault="00121CA9" w:rsidP="007B2A8F">
      <w:pPr>
        <w:spacing w:after="0" w:line="240" w:lineRule="auto"/>
      </w:pPr>
      <w:r>
        <w:separator/>
      </w:r>
    </w:p>
  </w:footnote>
  <w:footnote w:type="continuationSeparator" w:id="0">
    <w:p w:rsidR="00121CA9" w:rsidRDefault="00121CA9" w:rsidP="007B2A8F">
      <w:pPr>
        <w:spacing w:after="0" w:line="240" w:lineRule="auto"/>
      </w:pPr>
      <w:r>
        <w:continuationSeparator/>
      </w:r>
    </w:p>
  </w:footnote>
  <w:footnote w:id="1">
    <w:p w:rsidR="00191CB8" w:rsidRPr="00BB22DA" w:rsidRDefault="00191CB8">
      <w:pPr>
        <w:pStyle w:val="FootnoteText"/>
        <w:rPr>
          <w:rFonts w:ascii="Arial" w:hAnsi="Arial" w:cs="Arial"/>
          <w:color w:val="17365D" w:themeColor="text2" w:themeShade="BF"/>
          <w:sz w:val="17"/>
          <w:szCs w:val="17"/>
        </w:rPr>
      </w:pPr>
      <w:r w:rsidRPr="00BB22DA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BB22DA">
        <w:rPr>
          <w:rFonts w:ascii="Arial" w:hAnsi="Arial" w:cs="Arial"/>
          <w:color w:val="17365D" w:themeColor="text2" w:themeShade="BF"/>
          <w:sz w:val="17"/>
          <w:szCs w:val="17"/>
        </w:rPr>
        <w:t xml:space="preserve"> Broj poduzetnika koji su u Registar godišnjih financijskih </w:t>
      </w:r>
      <w:r w:rsidR="00201B26" w:rsidRPr="00BB22DA">
        <w:rPr>
          <w:rFonts w:ascii="Arial" w:hAnsi="Arial" w:cs="Arial"/>
          <w:color w:val="17365D" w:themeColor="text2" w:themeShade="BF"/>
          <w:sz w:val="17"/>
          <w:szCs w:val="17"/>
        </w:rPr>
        <w:t>izvještaja podnijeli GFI za 2016</w:t>
      </w:r>
      <w:r w:rsidRPr="00BB22DA">
        <w:rPr>
          <w:rFonts w:ascii="Arial" w:hAnsi="Arial" w:cs="Arial"/>
          <w:color w:val="17365D" w:themeColor="text2" w:themeShade="BF"/>
          <w:sz w:val="17"/>
          <w:szCs w:val="17"/>
        </w:rPr>
        <w:t>. godinu</w:t>
      </w:r>
      <w:r w:rsidR="00525791" w:rsidRPr="00BB22DA"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2">
    <w:p w:rsidR="007C76B0" w:rsidRPr="00525791" w:rsidRDefault="007C76B0" w:rsidP="008F7BDF">
      <w:pPr>
        <w:pStyle w:val="FootnoteText"/>
        <w:rPr>
          <w:rFonts w:ascii="Arial" w:hAnsi="Arial" w:cs="Arial"/>
          <w:sz w:val="17"/>
          <w:szCs w:val="17"/>
        </w:rPr>
      </w:pPr>
      <w:r w:rsidRPr="00525791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525791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="00AD2105" w:rsidRPr="00525791">
        <w:rPr>
          <w:rFonts w:ascii="Arial" w:hAnsi="Arial" w:cs="Arial"/>
          <w:color w:val="17365D" w:themeColor="text2" w:themeShade="BF"/>
          <w:sz w:val="17"/>
          <w:szCs w:val="17"/>
        </w:rPr>
        <w:t>Serija podataka u grafikonu za sve godine prikazana je iz godišnjeg financijskog izvještaja iz kolone tekuće godine</w:t>
      </w:r>
      <w:r w:rsidR="006B5F27" w:rsidRPr="00525791"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3">
    <w:p w:rsidR="008F7BDF" w:rsidRPr="00525791" w:rsidRDefault="008F7BDF" w:rsidP="00D450F9">
      <w:pPr>
        <w:pStyle w:val="FootnoteText"/>
        <w:spacing w:before="4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52579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525791">
        <w:rPr>
          <w:rFonts w:ascii="Arial" w:hAnsi="Arial" w:cs="Arial"/>
          <w:color w:val="244061" w:themeColor="accent1" w:themeShade="80"/>
          <w:sz w:val="17"/>
          <w:szCs w:val="17"/>
        </w:rPr>
        <w:t xml:space="preserve"> Društvo je u </w:t>
      </w:r>
      <w:r w:rsidR="00A91F2A" w:rsidRPr="00525791">
        <w:rPr>
          <w:rFonts w:ascii="Arial" w:hAnsi="Arial" w:cs="Arial"/>
          <w:color w:val="244061" w:themeColor="accent1" w:themeShade="80"/>
          <w:sz w:val="17"/>
          <w:szCs w:val="17"/>
        </w:rPr>
        <w:t>privatnom, stranom</w:t>
      </w:r>
      <w:r w:rsidRPr="00525791">
        <w:rPr>
          <w:rFonts w:ascii="Arial" w:hAnsi="Arial" w:cs="Arial"/>
          <w:color w:val="244061" w:themeColor="accent1" w:themeShade="80"/>
          <w:sz w:val="17"/>
          <w:szCs w:val="17"/>
        </w:rPr>
        <w:t xml:space="preserve"> vlasništvu, a jedini osnivač je HETA Asset Resolution Hrvatska</w:t>
      </w:r>
      <w:r w:rsidR="000B27C8">
        <w:rPr>
          <w:rFonts w:ascii="Arial" w:hAnsi="Arial" w:cs="Arial"/>
          <w:color w:val="244061" w:themeColor="accent1" w:themeShade="80"/>
          <w:sz w:val="17"/>
          <w:szCs w:val="17"/>
        </w:rPr>
        <w:t xml:space="preserve">, čiji je jedini osnivač </w:t>
      </w:r>
      <w:r w:rsidR="000B27C8" w:rsidRPr="000B27C8">
        <w:rPr>
          <w:rFonts w:ascii="Arial" w:hAnsi="Arial" w:cs="Arial"/>
          <w:color w:val="244061" w:themeColor="accent1" w:themeShade="80"/>
          <w:sz w:val="17"/>
          <w:szCs w:val="17"/>
        </w:rPr>
        <w:t>HAR GmbH, Austrija</w:t>
      </w:r>
      <w:r w:rsidRPr="00525791">
        <w:rPr>
          <w:rFonts w:ascii="Arial" w:hAnsi="Arial" w:cs="Arial"/>
          <w:color w:val="244061" w:themeColor="accent1" w:themeShade="80"/>
          <w:sz w:val="17"/>
          <w:szCs w:val="17"/>
        </w:rPr>
        <w:t>. Izvor: Sudski registar, preuzeto 6. travnja 2018. godine.</w:t>
      </w:r>
    </w:p>
  </w:footnote>
  <w:footnote w:id="4">
    <w:p w:rsidR="005122AA" w:rsidRPr="00525791" w:rsidRDefault="005122AA" w:rsidP="00D450F9">
      <w:pPr>
        <w:pStyle w:val="FootnoteText"/>
        <w:spacing w:before="4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52579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525791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="00A91F2A" w:rsidRPr="00525791">
        <w:rPr>
          <w:rFonts w:ascii="Arial" w:hAnsi="Arial" w:cs="Arial"/>
          <w:color w:val="244061" w:themeColor="accent1" w:themeShade="80"/>
          <w:sz w:val="17"/>
          <w:szCs w:val="17"/>
        </w:rPr>
        <w:t>Društvo je u državnom, domaćem vlasništvu, a jedini osnivač je Grad Zagreb. Izvor: Sudski registar, preuzeto 6. travnja 2018. g</w:t>
      </w:r>
      <w:r w:rsidR="00D450F9">
        <w:rPr>
          <w:rFonts w:ascii="Arial" w:hAnsi="Arial" w:cs="Arial"/>
          <w:color w:val="244061" w:themeColor="accent1" w:themeShade="80"/>
          <w:sz w:val="17"/>
          <w:szCs w:val="17"/>
        </w:rPr>
        <w:t>.</w:t>
      </w:r>
    </w:p>
  </w:footnote>
  <w:footnote w:id="5">
    <w:p w:rsidR="00242CFE" w:rsidRPr="00BB22DA" w:rsidRDefault="00242CFE" w:rsidP="00A91F2A">
      <w:pPr>
        <w:pStyle w:val="FootnoteText"/>
        <w:spacing w:before="40"/>
        <w:rPr>
          <w:rFonts w:ascii="Arial" w:hAnsi="Arial" w:cs="Arial"/>
          <w:sz w:val="17"/>
          <w:szCs w:val="17"/>
        </w:rPr>
      </w:pPr>
      <w:r w:rsidRPr="00BB22DA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BB22DA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="00D450F9" w:rsidRPr="00BB22DA">
        <w:rPr>
          <w:rFonts w:ascii="Arial" w:hAnsi="Arial" w:cs="Arial"/>
          <w:color w:val="244061" w:themeColor="accent1" w:themeShade="80"/>
          <w:sz w:val="17"/>
          <w:szCs w:val="17"/>
        </w:rPr>
        <w:t>O</w:t>
      </w:r>
      <w:r w:rsidRPr="00BB22DA">
        <w:rPr>
          <w:rFonts w:ascii="Arial" w:eastAsia="BatangChe" w:hAnsi="Arial" w:cs="Arial"/>
          <w:color w:val="244061" w:themeColor="accent1" w:themeShade="80"/>
          <w:sz w:val="17"/>
          <w:szCs w:val="17"/>
        </w:rPr>
        <w:t xml:space="preserve">snovni </w:t>
      </w:r>
      <w:r w:rsidRPr="00BB22DA">
        <w:rPr>
          <w:rFonts w:ascii="Arial" w:eastAsia="BatangChe" w:hAnsi="Arial" w:cs="Arial"/>
          <w:color w:val="244061"/>
          <w:sz w:val="17"/>
          <w:szCs w:val="17"/>
        </w:rPr>
        <w:t>rezultati poslovanja društava te kolike su prosječne mjesečne neto plaće</w:t>
      </w:r>
      <w:r w:rsidR="00D450F9" w:rsidRPr="00BB22DA">
        <w:rPr>
          <w:rFonts w:ascii="Arial" w:eastAsia="BatangChe" w:hAnsi="Arial" w:cs="Arial"/>
          <w:color w:val="244061"/>
          <w:sz w:val="17"/>
          <w:szCs w:val="17"/>
        </w:rPr>
        <w:t xml:space="preserve">, informacije su dostupne </w:t>
      </w:r>
      <w:r w:rsidRPr="00BB22DA">
        <w:rPr>
          <w:rFonts w:ascii="Arial" w:eastAsia="BatangChe" w:hAnsi="Arial" w:cs="Arial"/>
          <w:color w:val="244061"/>
          <w:sz w:val="17"/>
          <w:szCs w:val="17"/>
        </w:rPr>
        <w:t xml:space="preserve">na </w:t>
      </w:r>
      <w:hyperlink r:id="rId1" w:history="1">
        <w:r w:rsidRPr="00BB22DA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BB22DA">
        <w:rPr>
          <w:rFonts w:ascii="Arial" w:eastAsia="BatangChe" w:hAnsi="Arial" w:cs="Arial"/>
          <w:color w:val="244061"/>
          <w:sz w:val="17"/>
          <w:szCs w:val="17"/>
        </w:rPr>
        <w:t>, jednostavno i bez novca, kori</w:t>
      </w:r>
      <w:r w:rsidR="00D450F9" w:rsidRPr="00BB22DA">
        <w:rPr>
          <w:rFonts w:ascii="Arial" w:eastAsia="BatangChe" w:hAnsi="Arial" w:cs="Arial"/>
          <w:color w:val="244061"/>
          <w:sz w:val="17"/>
          <w:szCs w:val="17"/>
        </w:rPr>
        <w:t>štenjem</w:t>
      </w:r>
      <w:r w:rsidRPr="00BB22DA">
        <w:rPr>
          <w:rFonts w:ascii="Arial" w:eastAsia="BatangChe" w:hAnsi="Arial" w:cs="Arial"/>
          <w:color w:val="244061"/>
          <w:sz w:val="17"/>
          <w:szCs w:val="17"/>
        </w:rPr>
        <w:t xml:space="preserve"> VINGD bodov</w:t>
      </w:r>
      <w:r w:rsidR="009A725D" w:rsidRPr="00BB22DA">
        <w:rPr>
          <w:rFonts w:ascii="Arial" w:eastAsia="BatangChe" w:hAnsi="Arial" w:cs="Arial"/>
          <w:color w:val="244061"/>
          <w:sz w:val="17"/>
          <w:szCs w:val="17"/>
        </w:rPr>
        <w:t>a</w:t>
      </w:r>
      <w:r w:rsidRPr="00BB22DA">
        <w:rPr>
          <w:rFonts w:ascii="Arial" w:eastAsia="BatangChe" w:hAnsi="Arial" w:cs="Arial"/>
          <w:color w:val="244061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A8F" w:rsidRPr="006B5F27" w:rsidRDefault="00404FB3" w:rsidP="006B5F27">
    <w:pPr>
      <w:pStyle w:val="Header"/>
      <w:spacing w:after="0"/>
      <w:rPr>
        <w:sz w:val="4"/>
        <w:szCs w:val="4"/>
      </w:rPr>
    </w:pPr>
    <w:r>
      <w:rPr>
        <w:rFonts w:ascii="Arial" w:eastAsia="Times New Roman" w:hAnsi="Arial" w:cs="Arial"/>
        <w:noProof/>
        <w:color w:val="00325A"/>
        <w:sz w:val="16"/>
        <w:szCs w:val="16"/>
        <w:lang w:eastAsia="hr-HR"/>
      </w:rPr>
      <w:drawing>
        <wp:inline distT="0" distB="0" distL="0" distR="0" wp14:anchorId="44B4E668" wp14:editId="6AF7EF75">
          <wp:extent cx="1000760" cy="215900"/>
          <wp:effectExtent l="0" t="0" r="8890" b="0"/>
          <wp:docPr id="2" name="Picture 2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00281"/>
    <w:rsid w:val="00001F0A"/>
    <w:rsid w:val="00007FCA"/>
    <w:rsid w:val="0001377E"/>
    <w:rsid w:val="000322F9"/>
    <w:rsid w:val="00034238"/>
    <w:rsid w:val="00047C88"/>
    <w:rsid w:val="00052FFE"/>
    <w:rsid w:val="0005463A"/>
    <w:rsid w:val="0006358C"/>
    <w:rsid w:val="00067803"/>
    <w:rsid w:val="00085688"/>
    <w:rsid w:val="000A0305"/>
    <w:rsid w:val="000A4D6D"/>
    <w:rsid w:val="000A674B"/>
    <w:rsid w:val="000B27C8"/>
    <w:rsid w:val="000B450E"/>
    <w:rsid w:val="000C1F17"/>
    <w:rsid w:val="000C79BE"/>
    <w:rsid w:val="000D5E86"/>
    <w:rsid w:val="000E0B63"/>
    <w:rsid w:val="000F6D24"/>
    <w:rsid w:val="00101DAB"/>
    <w:rsid w:val="00102ED7"/>
    <w:rsid w:val="0010755E"/>
    <w:rsid w:val="00121CA9"/>
    <w:rsid w:val="00127784"/>
    <w:rsid w:val="00133279"/>
    <w:rsid w:val="00137767"/>
    <w:rsid w:val="001442BD"/>
    <w:rsid w:val="0018588F"/>
    <w:rsid w:val="00191CB8"/>
    <w:rsid w:val="0019506D"/>
    <w:rsid w:val="00195DA2"/>
    <w:rsid w:val="001B52E6"/>
    <w:rsid w:val="001C75B5"/>
    <w:rsid w:val="001D06D1"/>
    <w:rsid w:val="001D1411"/>
    <w:rsid w:val="00201B26"/>
    <w:rsid w:val="00203A2E"/>
    <w:rsid w:val="00212185"/>
    <w:rsid w:val="002154AC"/>
    <w:rsid w:val="002418FA"/>
    <w:rsid w:val="00242CFE"/>
    <w:rsid w:val="00245E0F"/>
    <w:rsid w:val="002545AE"/>
    <w:rsid w:val="002800DD"/>
    <w:rsid w:val="002822EB"/>
    <w:rsid w:val="002879F8"/>
    <w:rsid w:val="002A3FB1"/>
    <w:rsid w:val="002B2668"/>
    <w:rsid w:val="002E0A62"/>
    <w:rsid w:val="002E5F90"/>
    <w:rsid w:val="00337E12"/>
    <w:rsid w:val="00355FA9"/>
    <w:rsid w:val="00373CC2"/>
    <w:rsid w:val="00374218"/>
    <w:rsid w:val="00384500"/>
    <w:rsid w:val="003861DB"/>
    <w:rsid w:val="00391A46"/>
    <w:rsid w:val="00396BAD"/>
    <w:rsid w:val="003A6042"/>
    <w:rsid w:val="003B519C"/>
    <w:rsid w:val="003B6B3B"/>
    <w:rsid w:val="003B74CD"/>
    <w:rsid w:val="003F2EFF"/>
    <w:rsid w:val="004041E5"/>
    <w:rsid w:val="00404FB3"/>
    <w:rsid w:val="00413019"/>
    <w:rsid w:val="00423049"/>
    <w:rsid w:val="004516AB"/>
    <w:rsid w:val="004628DE"/>
    <w:rsid w:val="00477EC5"/>
    <w:rsid w:val="00481684"/>
    <w:rsid w:val="00481CCE"/>
    <w:rsid w:val="0049320A"/>
    <w:rsid w:val="004A2D48"/>
    <w:rsid w:val="004B49DC"/>
    <w:rsid w:val="004B689D"/>
    <w:rsid w:val="004C184C"/>
    <w:rsid w:val="004E72FB"/>
    <w:rsid w:val="005122AA"/>
    <w:rsid w:val="0052245C"/>
    <w:rsid w:val="00525320"/>
    <w:rsid w:val="005254B0"/>
    <w:rsid w:val="00525791"/>
    <w:rsid w:val="00532AA3"/>
    <w:rsid w:val="00540601"/>
    <w:rsid w:val="00551D4A"/>
    <w:rsid w:val="00556DF3"/>
    <w:rsid w:val="00570382"/>
    <w:rsid w:val="00573C2F"/>
    <w:rsid w:val="005744D5"/>
    <w:rsid w:val="00586AA4"/>
    <w:rsid w:val="005A3E3C"/>
    <w:rsid w:val="005A7266"/>
    <w:rsid w:val="005B474F"/>
    <w:rsid w:val="005B6647"/>
    <w:rsid w:val="005D46CF"/>
    <w:rsid w:val="005E1569"/>
    <w:rsid w:val="005E54CC"/>
    <w:rsid w:val="00610E3B"/>
    <w:rsid w:val="00611473"/>
    <w:rsid w:val="006255C1"/>
    <w:rsid w:val="006332AC"/>
    <w:rsid w:val="00642222"/>
    <w:rsid w:val="006645DB"/>
    <w:rsid w:val="00672482"/>
    <w:rsid w:val="00692AB1"/>
    <w:rsid w:val="006A01B7"/>
    <w:rsid w:val="006A2EC7"/>
    <w:rsid w:val="006B5F27"/>
    <w:rsid w:val="006C35E1"/>
    <w:rsid w:val="006C4256"/>
    <w:rsid w:val="006C5A01"/>
    <w:rsid w:val="006D40A2"/>
    <w:rsid w:val="006D5612"/>
    <w:rsid w:val="006D7177"/>
    <w:rsid w:val="006E52F6"/>
    <w:rsid w:val="00703803"/>
    <w:rsid w:val="007170CB"/>
    <w:rsid w:val="00721B40"/>
    <w:rsid w:val="0073037A"/>
    <w:rsid w:val="00732E81"/>
    <w:rsid w:val="007342E3"/>
    <w:rsid w:val="0073551B"/>
    <w:rsid w:val="00740F8C"/>
    <w:rsid w:val="007570F2"/>
    <w:rsid w:val="00761A28"/>
    <w:rsid w:val="00783897"/>
    <w:rsid w:val="007B2A8F"/>
    <w:rsid w:val="007C49CE"/>
    <w:rsid w:val="007C597C"/>
    <w:rsid w:val="007C76B0"/>
    <w:rsid w:val="007D2CBB"/>
    <w:rsid w:val="007E5BC2"/>
    <w:rsid w:val="00802D76"/>
    <w:rsid w:val="00821945"/>
    <w:rsid w:val="00833BC6"/>
    <w:rsid w:val="00856DD2"/>
    <w:rsid w:val="00881574"/>
    <w:rsid w:val="00886E02"/>
    <w:rsid w:val="00890957"/>
    <w:rsid w:val="008910C4"/>
    <w:rsid w:val="008A0A1B"/>
    <w:rsid w:val="008B343D"/>
    <w:rsid w:val="008B7D5B"/>
    <w:rsid w:val="008D0789"/>
    <w:rsid w:val="008D288E"/>
    <w:rsid w:val="008E545C"/>
    <w:rsid w:val="008E6DD1"/>
    <w:rsid w:val="008E77B6"/>
    <w:rsid w:val="008F7BDF"/>
    <w:rsid w:val="00901696"/>
    <w:rsid w:val="00905FA9"/>
    <w:rsid w:val="009075FB"/>
    <w:rsid w:val="00911B6F"/>
    <w:rsid w:val="00913A67"/>
    <w:rsid w:val="009156B1"/>
    <w:rsid w:val="0092232B"/>
    <w:rsid w:val="009411BD"/>
    <w:rsid w:val="009568D1"/>
    <w:rsid w:val="00962227"/>
    <w:rsid w:val="00974186"/>
    <w:rsid w:val="009775C9"/>
    <w:rsid w:val="00991BD0"/>
    <w:rsid w:val="00996089"/>
    <w:rsid w:val="009A725D"/>
    <w:rsid w:val="009C38AA"/>
    <w:rsid w:val="009F68EA"/>
    <w:rsid w:val="009F71BE"/>
    <w:rsid w:val="00A075C3"/>
    <w:rsid w:val="00A11600"/>
    <w:rsid w:val="00A1471E"/>
    <w:rsid w:val="00A21BAF"/>
    <w:rsid w:val="00A246B1"/>
    <w:rsid w:val="00A24994"/>
    <w:rsid w:val="00A363A0"/>
    <w:rsid w:val="00A87C05"/>
    <w:rsid w:val="00A90526"/>
    <w:rsid w:val="00A91F2A"/>
    <w:rsid w:val="00AA1955"/>
    <w:rsid w:val="00AB12B6"/>
    <w:rsid w:val="00AB6470"/>
    <w:rsid w:val="00AD2105"/>
    <w:rsid w:val="00AD4134"/>
    <w:rsid w:val="00AD43BC"/>
    <w:rsid w:val="00AE2136"/>
    <w:rsid w:val="00B0410E"/>
    <w:rsid w:val="00B13B6B"/>
    <w:rsid w:val="00B172E6"/>
    <w:rsid w:val="00B32EBF"/>
    <w:rsid w:val="00B41EFB"/>
    <w:rsid w:val="00B52712"/>
    <w:rsid w:val="00B758E8"/>
    <w:rsid w:val="00B80899"/>
    <w:rsid w:val="00B830FF"/>
    <w:rsid w:val="00B90138"/>
    <w:rsid w:val="00B94021"/>
    <w:rsid w:val="00BA202B"/>
    <w:rsid w:val="00BA3B09"/>
    <w:rsid w:val="00BB0137"/>
    <w:rsid w:val="00BB22DA"/>
    <w:rsid w:val="00BC5E6D"/>
    <w:rsid w:val="00BD2F64"/>
    <w:rsid w:val="00BE5A27"/>
    <w:rsid w:val="00BF079D"/>
    <w:rsid w:val="00C556E7"/>
    <w:rsid w:val="00C60F43"/>
    <w:rsid w:val="00C77930"/>
    <w:rsid w:val="00C80576"/>
    <w:rsid w:val="00C82919"/>
    <w:rsid w:val="00C84E73"/>
    <w:rsid w:val="00C85395"/>
    <w:rsid w:val="00C95278"/>
    <w:rsid w:val="00CA0EAF"/>
    <w:rsid w:val="00CA2A25"/>
    <w:rsid w:val="00CB1AC9"/>
    <w:rsid w:val="00CC3B18"/>
    <w:rsid w:val="00CD290F"/>
    <w:rsid w:val="00CE58FF"/>
    <w:rsid w:val="00CF129F"/>
    <w:rsid w:val="00CF4E6F"/>
    <w:rsid w:val="00D12E85"/>
    <w:rsid w:val="00D2356A"/>
    <w:rsid w:val="00D25B0D"/>
    <w:rsid w:val="00D450F9"/>
    <w:rsid w:val="00D70D17"/>
    <w:rsid w:val="00D77488"/>
    <w:rsid w:val="00DA3E57"/>
    <w:rsid w:val="00DB370D"/>
    <w:rsid w:val="00DB4637"/>
    <w:rsid w:val="00DC16EC"/>
    <w:rsid w:val="00DE2EC1"/>
    <w:rsid w:val="00DE5AA5"/>
    <w:rsid w:val="00DF2B42"/>
    <w:rsid w:val="00DF476F"/>
    <w:rsid w:val="00E03E5A"/>
    <w:rsid w:val="00E12716"/>
    <w:rsid w:val="00E24445"/>
    <w:rsid w:val="00E328B3"/>
    <w:rsid w:val="00E51614"/>
    <w:rsid w:val="00E847B7"/>
    <w:rsid w:val="00E906D5"/>
    <w:rsid w:val="00E96412"/>
    <w:rsid w:val="00EA15AC"/>
    <w:rsid w:val="00EB3FA4"/>
    <w:rsid w:val="00EB403C"/>
    <w:rsid w:val="00EB4428"/>
    <w:rsid w:val="00EE2312"/>
    <w:rsid w:val="00EE659A"/>
    <w:rsid w:val="00EF5B25"/>
    <w:rsid w:val="00EF7B67"/>
    <w:rsid w:val="00F052E0"/>
    <w:rsid w:val="00F07E7D"/>
    <w:rsid w:val="00F338B3"/>
    <w:rsid w:val="00F46A4A"/>
    <w:rsid w:val="00F46C69"/>
    <w:rsid w:val="00F5040D"/>
    <w:rsid w:val="00F53EE3"/>
    <w:rsid w:val="00F60A90"/>
    <w:rsid w:val="00F638E9"/>
    <w:rsid w:val="00F722DF"/>
    <w:rsid w:val="00F903C2"/>
    <w:rsid w:val="00F906DB"/>
    <w:rsid w:val="00FB0AC3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46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6B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853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B2A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B2A8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222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2227"/>
    <w:rPr>
      <w:vertAlign w:val="superscript"/>
    </w:rPr>
  </w:style>
  <w:style w:type="character" w:customStyle="1" w:styleId="fmt-zeropad8">
    <w:name w:val="fmt-zeropad8"/>
    <w:basedOn w:val="DefaultParagraphFont"/>
    <w:rsid w:val="00000281"/>
  </w:style>
  <w:style w:type="character" w:customStyle="1" w:styleId="fmt-integer">
    <w:name w:val="fmt-integer"/>
    <w:basedOn w:val="DefaultParagraphFont"/>
    <w:rsid w:val="00000281"/>
  </w:style>
  <w:style w:type="table" w:styleId="TableGrid">
    <w:name w:val="Table Grid"/>
    <w:basedOn w:val="TableNormal"/>
    <w:uiPriority w:val="59"/>
    <w:rsid w:val="00CA0E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51D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46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6B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853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B2A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B2A8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222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2227"/>
    <w:rPr>
      <w:vertAlign w:val="superscript"/>
    </w:rPr>
  </w:style>
  <w:style w:type="character" w:customStyle="1" w:styleId="fmt-zeropad8">
    <w:name w:val="fmt-zeropad8"/>
    <w:basedOn w:val="DefaultParagraphFont"/>
    <w:rsid w:val="00000281"/>
  </w:style>
  <w:style w:type="character" w:customStyle="1" w:styleId="fmt-integer">
    <w:name w:val="fmt-integer"/>
    <w:basedOn w:val="DefaultParagraphFont"/>
    <w:rsid w:val="00000281"/>
  </w:style>
  <w:style w:type="table" w:styleId="TableGrid">
    <w:name w:val="Table Grid"/>
    <w:basedOn w:val="TableNormal"/>
    <w:uiPriority w:val="59"/>
    <w:rsid w:val="00CA0E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51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99488126785/d878da4d6dd050949aadecd62d270bebaa132570ba7d819e5d52a3b3620f15abe414a72f02eb6e6b378e64c8beb062e75c2390d94a375f894dc569ad982aeb4a" TargetMode="External"/><Relationship Id="rId18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26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39" Type="http://schemas.openxmlformats.org/officeDocument/2006/relationships/hyperlink" Target="https://www.transparentno.hr/pregled/06637660960/f6105f75d7ddb38715633c8f08b9ff4352d877d001548a17ce6043880753d6b8bc63b60a641e0d1a4b85d2e3feda26201791633970ff0aae40888cbc5c387d77" TargetMode="External"/><Relationship Id="rId21" Type="http://schemas.openxmlformats.org/officeDocument/2006/relationships/hyperlink" Target="https://www.transparentno.hr/pregled/41262440321/36036a1ec4d5f5dd1349be494e3d695e940eb8072495b4d8238c2835b9d7e8dd7e278e855167a5b20faae01dd7b30cc481e87eb2a84444b033f89d0eb0f45b01" TargetMode="External"/><Relationship Id="rId34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99488126785/d878da4d6dd050949aadecd62d270bebaa132570ba7d819e5d52a3b3620f15abe414a72f02eb6e6b378e64c8beb062e75c2390d94a375f894dc569ad982aeb4a" TargetMode="External"/><Relationship Id="rId20" Type="http://schemas.openxmlformats.org/officeDocument/2006/relationships/hyperlink" Target="https://www.transparentno.hr/pregled/68755851941/9228e5492a089d31c091918f14092a4b9e4a9839f47fc0226abb7cc3dc1c1a6a9a1e26a63fd8e7fd2e064af3bff157679f198ac934506221f8190c31cbb511b7" TargetMode="External"/><Relationship Id="rId29" Type="http://schemas.openxmlformats.org/officeDocument/2006/relationships/hyperlink" Target="https://servisi.fina.hr/IPaket-login.web/pSubjektTrazi.do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24" Type="http://schemas.openxmlformats.org/officeDocument/2006/relationships/hyperlink" Target="https://www.transparentno.hr/pregled/28449669517/80fa7e1edcfc4b4775523b3d6ccd7ca0704ff143b6370de5ba31811cf8865e919efa3852b68c091dd465f9446cd830ae57cd518111608279905fa3164be5f899" TargetMode="External"/><Relationship Id="rId32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37" Type="http://schemas.openxmlformats.org/officeDocument/2006/relationships/hyperlink" Target="https://www.transparentno.hr/pregled/99488126785/d878da4d6dd050949aadecd62d270bebaa132570ba7d819e5d52a3b3620f15abe414a72f02eb6e6b378e64c8beb062e75c2390d94a375f894dc569ad982aeb4a" TargetMode="External"/><Relationship Id="rId40" Type="http://schemas.openxmlformats.org/officeDocument/2006/relationships/hyperlink" Target="http://www.fina.hr/Default.aspx?art=8958&amp;sec=12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49368232868/b708f3276a50245967c3f51baa3cca5911e54d75e3e1b1f698d08d12bf59e411d4468e4a6e2dc4f0027a1134940667e04d7388923d48daa619e0270b71cf3887" TargetMode="External"/><Relationship Id="rId23" Type="http://schemas.openxmlformats.org/officeDocument/2006/relationships/hyperlink" Target="https://www.transparentno.hr/pregled/26282000184/5bbad13db34e82dc48d59845983bca4c688f37e983ed20d252ae694902a5b1191bc05adc9e3fb28b46a83f7492693ef9edcf482365a7a07f94ffe40ec0f47eb0" TargetMode="External"/><Relationship Id="rId28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36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10" Type="http://schemas.openxmlformats.org/officeDocument/2006/relationships/hyperlink" Target="https://www.transparentno.hr/pregled/99488126785/d878da4d6dd050949aadecd62d270bebaa132570ba7d819e5d52a3b3620f15abe414a72f02eb6e6b378e64c8beb062e75c2390d94a375f894dc569ad982aeb4a" TargetMode="External"/><Relationship Id="rId19" Type="http://schemas.openxmlformats.org/officeDocument/2006/relationships/hyperlink" Target="https://www.transparentno.hr/pregled/77575324177/afa6fc397447851393f3fc1c5206f4b9c003dec31de3cd12338722294f0e2e755f244534e2c0d9e3c19b509f98fdef0d7d259ceee0d2235b2a221921ed21a95e" TargetMode="External"/><Relationship Id="rId31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14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22" Type="http://schemas.openxmlformats.org/officeDocument/2006/relationships/hyperlink" Target="https://www.transparentno.hr/pregled/68673298345/0d90ed11bd58e69de843273db99702ae9d19f3bce4cc8394fd848228491e5ea09183da24830b3f161311fdaa163f53435a6c7b62b4a13bd71c2c298d96efd53c" TargetMode="External"/><Relationship Id="rId27" Type="http://schemas.openxmlformats.org/officeDocument/2006/relationships/hyperlink" Target="https://www.transparentno.hr/pregled/99488126785/d878da4d6dd050949aadecd62d270bebaa132570ba7d819e5d52a3b3620f15abe414a72f02eb6e6b378e64c8beb062e75c2390d94a375f894dc569ad982aeb4a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3.png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transparentno.hr/pregled/49368232868/b708f3276a50245967c3f51baa3cca5911e54d75e3e1b1f698d08d12bf59e411d4468e4a6e2dc4f0027a1134940667e04d7388923d48daa619e0270b71cf3887" TargetMode="External"/><Relationship Id="rId25" Type="http://schemas.openxmlformats.org/officeDocument/2006/relationships/hyperlink" Target="https://www.transparentno.hr/pregled/11115367515/c4a4cb3e968a9c67855b6ffe4a8bcab6b5bf2b2989f310152f66b71528b924e6d17840964588bc5488b8b27d23063e218cf94f48d3edd3e1e5b72830318be441" TargetMode="External"/><Relationship Id="rId33" Type="http://schemas.openxmlformats.org/officeDocument/2006/relationships/hyperlink" Target="https://www.transparentno.hr/pregled/85584865987/c17b96128c509086ce2933a592b8f892ac154b7294aa8dd2fb0ff26942701e1c8310a1018dfb0c5f8825e4326bc06a865d9287d6d1a0c75739df4f283af1a345" TargetMode="External"/><Relationship Id="rId38" Type="http://schemas.openxmlformats.org/officeDocument/2006/relationships/hyperlink" Target="https://www.transparentno.hr/pregled/68706710721/ae419650b68051652c65cba442f249cd38dd78b6af3e4905291e53cb7dd2bd1e532f21481b260bdc505c88190769f66c227548f541c2cf70e2a21c3803a977e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E830-9B65-4A1E-B8C1-059D95AE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2153</Words>
  <Characters>12276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/>
  <LinksUpToDate>false</LinksUpToDate>
  <CharactersWithSpaces>14401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admin</cp:lastModifiedBy>
  <cp:revision>2</cp:revision>
  <cp:lastPrinted>2014-10-22T10:41:00Z</cp:lastPrinted>
  <dcterms:created xsi:type="dcterms:W3CDTF">2018-04-09T07:51:00Z</dcterms:created>
  <dcterms:modified xsi:type="dcterms:W3CDTF">2018-04-09T07:51:00Z</dcterms:modified>
</cp:coreProperties>
</file>