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BE" w:rsidRPr="008912E4" w:rsidRDefault="00930787" w:rsidP="00930787">
      <w:pPr>
        <w:spacing w:after="0" w:line="240" w:lineRule="auto"/>
        <w:jc w:val="center"/>
        <w:rPr>
          <w:rFonts w:ascii="Arial" w:hAnsi="Arial" w:cs="Arial"/>
          <w:b/>
          <w:noProof/>
          <w:color w:val="244061"/>
          <w:sz w:val="20"/>
          <w:szCs w:val="20"/>
          <w:lang w:eastAsia="hr-HR"/>
        </w:rPr>
      </w:pPr>
      <w:r w:rsidRPr="008912E4">
        <w:rPr>
          <w:rFonts w:ascii="Arial" w:hAnsi="Arial" w:cs="Arial"/>
          <w:b/>
          <w:noProof/>
          <w:color w:val="244061"/>
          <w:sz w:val="20"/>
          <w:szCs w:val="20"/>
          <w:lang w:eastAsia="hr-HR"/>
        </w:rPr>
        <w:t>REZULTATI POSLOVANJA PODUZETNIKA PO VRST</w:t>
      </w:r>
      <w:r w:rsidR="00D667FC">
        <w:rPr>
          <w:rFonts w:ascii="Arial" w:hAnsi="Arial" w:cs="Arial"/>
          <w:b/>
          <w:noProof/>
          <w:color w:val="244061"/>
          <w:sz w:val="20"/>
          <w:szCs w:val="20"/>
          <w:lang w:eastAsia="hr-HR"/>
        </w:rPr>
        <w:t>AMA</w:t>
      </w:r>
      <w:r w:rsidRPr="008912E4">
        <w:rPr>
          <w:rFonts w:ascii="Arial" w:hAnsi="Arial" w:cs="Arial"/>
          <w:b/>
          <w:noProof/>
          <w:color w:val="244061"/>
          <w:sz w:val="20"/>
          <w:szCs w:val="20"/>
          <w:lang w:eastAsia="hr-HR"/>
        </w:rPr>
        <w:t xml:space="preserve"> OBVEZNIKA (SUBJEKATA) U 2016. GODINI</w:t>
      </w:r>
    </w:p>
    <w:p w:rsidR="00184885" w:rsidRDefault="003A195A" w:rsidP="0025693B">
      <w:pPr>
        <w:tabs>
          <w:tab w:val="left" w:pos="1134"/>
          <w:tab w:val="left" w:pos="7938"/>
        </w:tabs>
        <w:spacing w:before="120" w:after="0"/>
        <w:jc w:val="both"/>
        <w:rPr>
          <w:rFonts w:ascii="Arial" w:eastAsia="Times New Roman" w:hAnsi="Arial"/>
          <w:color w:val="003366"/>
          <w:sz w:val="20"/>
          <w:szCs w:val="20"/>
          <w:lang w:eastAsia="hr-HR"/>
        </w:rPr>
      </w:pPr>
      <w:r w:rsidRPr="003A195A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Registar godišnjih financijskih izvještaja </w:t>
      </w:r>
      <w:r w:rsidR="0018488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(RGFI)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je </w:t>
      </w:r>
      <w:r w:rsidRPr="003A195A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središnji izvor informacija o uspješnosti poslovanja te o financijskom položaju pravnih i fizičkih osoba – obveznika poreza na dobit. </w:t>
      </w:r>
      <w:r w:rsidR="0018488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Podaci </w:t>
      </w:r>
      <w:r w:rsidR="001376C5">
        <w:rPr>
          <w:rFonts w:ascii="Arial" w:eastAsia="Times New Roman" w:hAnsi="Arial"/>
          <w:color w:val="003366"/>
          <w:sz w:val="20"/>
          <w:szCs w:val="20"/>
          <w:lang w:eastAsia="hr-HR"/>
        </w:rPr>
        <w:t>iz RGFI-a prikazuju se i analiziraju prema različitim kriterijima – djelatnosti, veličini, vlasništvu i</w:t>
      </w:r>
      <w:r w:rsidR="002933FC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drugima.</w:t>
      </w:r>
      <w:r w:rsidR="001376C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2933FC">
        <w:rPr>
          <w:rFonts w:ascii="Arial" w:eastAsia="Times New Roman" w:hAnsi="Arial"/>
          <w:color w:val="003366"/>
          <w:sz w:val="20"/>
          <w:szCs w:val="20"/>
          <w:lang w:eastAsia="hr-HR"/>
        </w:rPr>
        <w:t>Predmet ovoga članka je analiza pr</w:t>
      </w:r>
      <w:r w:rsidR="001376C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ema organizacijskim oblicima </w:t>
      </w:r>
      <w:r w:rsidR="002933FC" w:rsidRPr="002933FC">
        <w:rPr>
          <w:rFonts w:ascii="Arial" w:eastAsia="Times New Roman" w:hAnsi="Arial"/>
          <w:color w:val="003366"/>
          <w:sz w:val="20"/>
          <w:szCs w:val="20"/>
          <w:lang w:eastAsia="hr-HR"/>
        </w:rPr>
        <w:t>pravnih i fizičkih osoba – obveznika poreza na dobit</w:t>
      </w:r>
      <w:r w:rsidR="002933FC">
        <w:rPr>
          <w:rFonts w:ascii="Arial" w:eastAsia="Times New Roman" w:hAnsi="Arial"/>
          <w:color w:val="003366"/>
          <w:sz w:val="20"/>
          <w:szCs w:val="20"/>
          <w:lang w:eastAsia="hr-HR"/>
        </w:rPr>
        <w:t>,</w:t>
      </w:r>
      <w:r w:rsidR="001376C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što predstavlja pogled na </w:t>
      </w:r>
      <w:r w:rsidR="002933FC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rezultate </w:t>
      </w:r>
      <w:r w:rsidR="001376C5">
        <w:rPr>
          <w:rFonts w:ascii="Arial" w:eastAsia="Times New Roman" w:hAnsi="Arial"/>
          <w:color w:val="003366"/>
          <w:sz w:val="20"/>
          <w:szCs w:val="20"/>
          <w:lang w:eastAsia="hr-HR"/>
        </w:rPr>
        <w:t>poslovanj</w:t>
      </w:r>
      <w:r w:rsidR="002933FC">
        <w:rPr>
          <w:rFonts w:ascii="Arial" w:eastAsia="Times New Roman" w:hAnsi="Arial"/>
          <w:color w:val="003366"/>
          <w:sz w:val="20"/>
          <w:szCs w:val="20"/>
          <w:lang w:eastAsia="hr-HR"/>
        </w:rPr>
        <w:t>a</w:t>
      </w:r>
      <w:r w:rsidR="001376C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prema poslovnoj odgovornosti.</w:t>
      </w:r>
    </w:p>
    <w:p w:rsidR="0014548A" w:rsidRDefault="0014548A" w:rsidP="00811D44">
      <w:pPr>
        <w:tabs>
          <w:tab w:val="left" w:pos="1134"/>
          <w:tab w:val="left" w:pos="7938"/>
        </w:tabs>
        <w:spacing w:before="180" w:after="40" w:line="240" w:lineRule="auto"/>
        <w:ind w:left="1134" w:hanging="1134"/>
        <w:rPr>
          <w:rFonts w:ascii="Arial" w:eastAsia="Times New Roman" w:hAnsi="Arial"/>
          <w:color w:val="003366"/>
          <w:sz w:val="20"/>
          <w:szCs w:val="20"/>
          <w:lang w:eastAsia="hr-HR"/>
        </w:rPr>
      </w:pP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 xml:space="preserve">Grafikon </w:t>
      </w:r>
      <w:r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1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.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ab/>
      </w:r>
      <w:r w:rsidR="001B4420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 xml:space="preserve">Udio </w:t>
      </w:r>
      <w:r w:rsidR="00811D4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pojedinih vrsta poslovnih subjekata/obveznika predaje GFI-a, u ukupnom broju poslovnih subjekata koji su podnijeli GFI za 2016. godinu</w:t>
      </w:r>
    </w:p>
    <w:p w:rsidR="0014548A" w:rsidRDefault="0014548A" w:rsidP="00811D44">
      <w:pPr>
        <w:spacing w:after="0" w:line="264" w:lineRule="auto"/>
        <w:jc w:val="both"/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/>
          <w:noProof/>
          <w:color w:val="003366"/>
          <w:sz w:val="20"/>
          <w:szCs w:val="20"/>
          <w:lang w:eastAsia="hr-HR"/>
        </w:rPr>
        <w:drawing>
          <wp:inline distT="0" distB="0" distL="0" distR="0" wp14:anchorId="4639CAC2" wp14:editId="32243EF5">
            <wp:extent cx="5420798" cy="25920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798" cy="25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48A" w:rsidRPr="00E813C4" w:rsidRDefault="0014548A" w:rsidP="00811D44">
      <w:pPr>
        <w:spacing w:before="20" w:after="0"/>
        <w:jc w:val="both"/>
        <w:rPr>
          <w:rFonts w:ascii="Arial" w:eastAsia="Times New Roman" w:hAnsi="Arial"/>
          <w:color w:val="17365D"/>
          <w:sz w:val="16"/>
          <w:szCs w:val="16"/>
          <w:lang w:eastAsia="hr-HR"/>
        </w:rPr>
      </w:pPr>
      <w:r w:rsidRPr="00E813C4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Izvor podataka: Fina, Registar godišnjih financijskih izvještaja</w:t>
      </w:r>
    </w:p>
    <w:p w:rsidR="002A0760" w:rsidRPr="0025693B" w:rsidRDefault="002A0760" w:rsidP="002933FC">
      <w:pPr>
        <w:tabs>
          <w:tab w:val="left" w:pos="1134"/>
          <w:tab w:val="left" w:pos="7938"/>
        </w:tabs>
        <w:spacing w:before="160" w:after="0" w:line="274" w:lineRule="auto"/>
        <w:jc w:val="both"/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</w:pP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Najveći broj </w:t>
      </w:r>
      <w:r w:rsidR="002933FC" w:rsidRP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pravnih osoba – obveznika poreza na dobit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,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koji 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su ispunili obvezu dostave godišnjeg financijskog izvještaja za 2016. godinu,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organiziran je kao društvo s ograničenom odgovornošću</w:t>
      </w:r>
      <w:r w:rsid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. Od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114 483 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obveznika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, njih 87 786 ili 76,7 %</w:t>
      </w:r>
      <w:r w:rsid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organizirano </w:t>
      </w:r>
      <w:r w:rsid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kao </w:t>
      </w:r>
      <w:r w:rsidR="002933FC" w:rsidRP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društvo s ograničenom odgovornošću 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(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d.o.o.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).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Kao jednostavno društvo s ograničenom odgovornošću 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(j.d.o.o.),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organizirano je 17 215 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obveznika (pravnih osoba)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ili 15,0</w:t>
      </w:r>
      <w:r w:rsidR="0051284B"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%, a ostali obveznici poreza na dobit, njih 5662 čine 4,9</w:t>
      </w:r>
      <w:r w:rsidR="009F69B6"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% ukupnog broja </w:t>
      </w:r>
      <w:r w:rsidR="002933FC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obveznika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. Preostali oblici organiziranja </w:t>
      </w:r>
      <w:r w:rsidR="003B6303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imaju udio od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3,4</w:t>
      </w:r>
      <w:r w:rsidR="0051284B"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% u</w:t>
      </w:r>
      <w:r w:rsidR="003B6303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u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kupno</w:t>
      </w:r>
      <w:r w:rsidR="003B6303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m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 xml:space="preserve"> broj</w:t>
      </w:r>
      <w:r w:rsidR="003B6303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u obveznika,</w:t>
      </w:r>
      <w:r w:rsidR="003B6303" w:rsidRPr="003B6303">
        <w:t xml:space="preserve"> </w:t>
      </w:r>
      <w:r w:rsidR="003B6303" w:rsidRPr="003B6303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pravnih i fizičkih osoba – obveznika poreza na dobit</w:t>
      </w:r>
      <w:r w:rsidRPr="0025693B">
        <w:rPr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t>.</w:t>
      </w:r>
    </w:p>
    <w:p w:rsidR="00E813C4" w:rsidRPr="00E813C4" w:rsidRDefault="00E813C4" w:rsidP="002933FC">
      <w:pPr>
        <w:tabs>
          <w:tab w:val="left" w:pos="1134"/>
          <w:tab w:val="left" w:pos="7938"/>
        </w:tabs>
        <w:spacing w:before="160" w:after="40" w:line="240" w:lineRule="auto"/>
        <w:ind w:left="1134" w:hanging="1134"/>
        <w:rPr>
          <w:rFonts w:ascii="Arial" w:eastAsia="Times New Roman" w:hAnsi="Arial"/>
          <w:color w:val="003366"/>
          <w:sz w:val="16"/>
          <w:szCs w:val="16"/>
          <w:lang w:eastAsia="hr-HR"/>
        </w:rPr>
      </w:pP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1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.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ab/>
        <w:t>Broj subjekata, broj zaposlenih te ukupan prihod i rashod u 2016. godini - prema vrsti poslovnih subjekata/obveznika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ab/>
      </w:r>
      <w:r w:rsidR="00A07A25">
        <w:rPr>
          <w:rFonts w:ascii="Arial" w:eastAsia="Times New Roman" w:hAnsi="Arial"/>
          <w:color w:val="003366"/>
          <w:sz w:val="16"/>
          <w:szCs w:val="16"/>
          <w:lang w:eastAsia="hr-HR"/>
        </w:rPr>
        <w:t xml:space="preserve">(iznosi u tisućama </w:t>
      </w:r>
      <w:r w:rsidRPr="00E813C4">
        <w:rPr>
          <w:rFonts w:ascii="Arial" w:eastAsia="Times New Roman" w:hAnsi="Arial"/>
          <w:color w:val="003366"/>
          <w:sz w:val="16"/>
          <w:szCs w:val="16"/>
          <w:lang w:eastAsia="hr-HR"/>
        </w:rPr>
        <w:t>kuna)</w:t>
      </w:r>
    </w:p>
    <w:tbl>
      <w:tblPr>
        <w:tblW w:w="9893" w:type="dxa"/>
        <w:tblInd w:w="93" w:type="dxa"/>
        <w:tblLook w:val="04A0" w:firstRow="1" w:lastRow="0" w:firstColumn="1" w:lastColumn="0" w:noHBand="0" w:noVBand="1"/>
      </w:tblPr>
      <w:tblGrid>
        <w:gridCol w:w="578"/>
        <w:gridCol w:w="4013"/>
        <w:gridCol w:w="867"/>
        <w:gridCol w:w="867"/>
        <w:gridCol w:w="1134"/>
        <w:gridCol w:w="1217"/>
        <w:gridCol w:w="1217"/>
      </w:tblGrid>
      <w:tr w:rsidR="0051284B" w:rsidRPr="0051284B" w:rsidTr="0088697E">
        <w:trPr>
          <w:cantSplit/>
          <w:trHeight w:val="567"/>
        </w:trPr>
        <w:tc>
          <w:tcPr>
            <w:tcW w:w="5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244061"/>
            <w:textDirection w:val="btLr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Šifra</w:t>
            </w:r>
          </w:p>
        </w:tc>
        <w:tc>
          <w:tcPr>
            <w:tcW w:w="401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Opis/značenje šifre</w:t>
            </w:r>
          </w:p>
        </w:tc>
        <w:tc>
          <w:tcPr>
            <w:tcW w:w="86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</w:t>
            </w:r>
          </w:p>
        </w:tc>
        <w:tc>
          <w:tcPr>
            <w:tcW w:w="86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zaposl.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4F2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Prosj</w:t>
            </w:r>
            <w:r w:rsidR="008869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eč</w:t>
            </w:r>
            <w:r w:rsidR="004F24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</w:t>
            </w: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 mjes.</w:t>
            </w:r>
            <w:r w:rsidR="008869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 </w:t>
            </w: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neto plaća</w:t>
            </w:r>
          </w:p>
        </w:tc>
        <w:tc>
          <w:tcPr>
            <w:tcW w:w="121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21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rashod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40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Javno trgovačko društvo</w:t>
            </w:r>
          </w:p>
        </w:tc>
        <w:tc>
          <w:tcPr>
            <w:tcW w:w="8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8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939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4.589</w:t>
            </w:r>
          </w:p>
        </w:tc>
        <w:tc>
          <w:tcPr>
            <w:tcW w:w="12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262.328</w:t>
            </w:r>
          </w:p>
        </w:tc>
        <w:tc>
          <w:tcPr>
            <w:tcW w:w="12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201.538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Komanditno društvo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5.770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8.428.445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8.147.169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Gospodarsko interesno udruženje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9.090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74.519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76.187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Dioničko društvo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F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F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124.346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6.290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F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118.105.207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111.091.017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Društvo s ograničenom odgovornošću</w:t>
            </w:r>
          </w:p>
        </w:tc>
        <w:tc>
          <w:tcPr>
            <w:tcW w:w="8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87.786</w:t>
            </w:r>
          </w:p>
        </w:tc>
        <w:tc>
          <w:tcPr>
            <w:tcW w:w="8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626.021</w:t>
            </w:r>
          </w:p>
        </w:tc>
        <w:tc>
          <w:tcPr>
            <w:tcW w:w="1134" w:type="dxa"/>
            <w:tcBorders>
              <w:top w:val="nil"/>
              <w:left w:val="single" w:sz="4" w:space="0" w:color="0000FF"/>
              <w:bottom w:val="single" w:sz="4" w:space="0" w:color="FF0000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5.036</w:t>
            </w:r>
          </w:p>
        </w:tc>
        <w:tc>
          <w:tcPr>
            <w:tcW w:w="1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465.525.818</w:t>
            </w:r>
          </w:p>
        </w:tc>
        <w:tc>
          <w:tcPr>
            <w:tcW w:w="1217" w:type="dxa"/>
            <w:tcBorders>
              <w:top w:val="nil"/>
              <w:left w:val="single" w:sz="4" w:space="0" w:color="0000F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444.054.492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Jednost. društvo s ograničenom odgovornošću</w:t>
            </w:r>
          </w:p>
        </w:tc>
        <w:tc>
          <w:tcPr>
            <w:tcW w:w="867" w:type="dxa"/>
            <w:tcBorders>
              <w:top w:val="single" w:sz="4" w:space="0" w:color="0000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17.215</w:t>
            </w:r>
          </w:p>
        </w:tc>
        <w:tc>
          <w:tcPr>
            <w:tcW w:w="867" w:type="dxa"/>
            <w:tcBorders>
              <w:top w:val="single" w:sz="4" w:space="0" w:color="0000FF"/>
              <w:left w:val="nil"/>
              <w:bottom w:val="single" w:sz="4" w:space="0" w:color="BFBFBF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2.696</w:t>
            </w:r>
          </w:p>
        </w:tc>
        <w:tc>
          <w:tcPr>
            <w:tcW w:w="1217" w:type="dxa"/>
            <w:tcBorders>
              <w:top w:val="single" w:sz="4" w:space="0" w:color="0000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5.259.450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5.083.394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Trgovac pojedinac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332.499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313.000</w:t>
            </w:r>
          </w:p>
        </w:tc>
      </w:tr>
      <w:tr w:rsidR="0051284B" w:rsidRPr="0051284B" w:rsidTr="002933FC">
        <w:trPr>
          <w:trHeight w:val="283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Ustanova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5.615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9.749.263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9.348.656</w:t>
            </w:r>
          </w:p>
        </w:tc>
      </w:tr>
      <w:tr w:rsidR="0051284B" w:rsidRPr="0051284B" w:rsidTr="002933FC">
        <w:trPr>
          <w:trHeight w:val="240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Zadruga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3.693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1.668.693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1.688.836</w:t>
            </w:r>
          </w:p>
        </w:tc>
      </w:tr>
      <w:tr w:rsidR="0051284B" w:rsidRPr="0051284B" w:rsidTr="002933FC">
        <w:trPr>
          <w:trHeight w:val="240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Druga osoba za koje je upis propisan zakonom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CC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5.855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1.631.327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1.588.571</w:t>
            </w:r>
          </w:p>
        </w:tc>
      </w:tr>
      <w:tr w:rsidR="0051284B" w:rsidRPr="0051284B" w:rsidTr="002933FC">
        <w:trPr>
          <w:trHeight w:val="283"/>
        </w:trPr>
        <w:tc>
          <w:tcPr>
            <w:tcW w:w="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Inozemni osnivač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0000CC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1.839</w:t>
            </w:r>
          </w:p>
        </w:tc>
        <w:tc>
          <w:tcPr>
            <w:tcW w:w="113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10.796</w:t>
            </w:r>
          </w:p>
        </w:tc>
        <w:tc>
          <w:tcPr>
            <w:tcW w:w="1217" w:type="dxa"/>
            <w:tcBorders>
              <w:top w:val="nil"/>
              <w:left w:val="single" w:sz="4" w:space="0" w:color="0000CC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2.767.788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2.794.409</w:t>
            </w:r>
          </w:p>
        </w:tc>
      </w:tr>
      <w:tr w:rsidR="0051284B" w:rsidRPr="0051284B" w:rsidTr="0088697E">
        <w:trPr>
          <w:trHeight w:val="272"/>
        </w:trPr>
        <w:tc>
          <w:tcPr>
            <w:tcW w:w="57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Ostali obveznici poreza na dobit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5.662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39.781</w:t>
            </w:r>
          </w:p>
        </w:tc>
        <w:tc>
          <w:tcPr>
            <w:tcW w:w="1134" w:type="dxa"/>
            <w:tcBorders>
              <w:top w:val="single" w:sz="4" w:space="0" w:color="0000CC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4.179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19.304.087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17.676.559</w:t>
            </w:r>
          </w:p>
        </w:tc>
      </w:tr>
      <w:tr w:rsidR="0051284B" w:rsidRPr="0051284B" w:rsidTr="0088697E">
        <w:trPr>
          <w:trHeight w:val="266"/>
        </w:trPr>
        <w:tc>
          <w:tcPr>
            <w:tcW w:w="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51a)</w:t>
            </w:r>
          </w:p>
        </w:tc>
        <w:tc>
          <w:tcPr>
            <w:tcW w:w="401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obrtnici</w:t>
            </w:r>
            <w:r w:rsidR="00E56628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 xml:space="preserve"> (obveznici poreza na dobit)</w:t>
            </w:r>
          </w:p>
        </w:tc>
        <w:tc>
          <w:tcPr>
            <w:tcW w:w="8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3.921</w:t>
            </w:r>
          </w:p>
        </w:tc>
        <w:tc>
          <w:tcPr>
            <w:tcW w:w="8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34.506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3.936</w:t>
            </w:r>
          </w:p>
        </w:tc>
        <w:tc>
          <w:tcPr>
            <w:tcW w:w="12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15.795.242</w:t>
            </w:r>
          </w:p>
        </w:tc>
        <w:tc>
          <w:tcPr>
            <w:tcW w:w="12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14.727.454</w:t>
            </w:r>
          </w:p>
        </w:tc>
      </w:tr>
      <w:tr w:rsidR="0051284B" w:rsidRPr="0051284B" w:rsidTr="0088697E">
        <w:trPr>
          <w:trHeight w:val="266"/>
        </w:trPr>
        <w:tc>
          <w:tcPr>
            <w:tcW w:w="5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51b)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slobodna zanimanja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1.224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6.038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2.717.118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2.236.076</w:t>
            </w:r>
          </w:p>
        </w:tc>
      </w:tr>
      <w:tr w:rsidR="0051284B" w:rsidRPr="0051284B" w:rsidTr="0088697E">
        <w:trPr>
          <w:trHeight w:val="266"/>
        </w:trPr>
        <w:tc>
          <w:tcPr>
            <w:tcW w:w="5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51c)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OPG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4.039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645.630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609.083</w:t>
            </w:r>
          </w:p>
        </w:tc>
      </w:tr>
      <w:tr w:rsidR="0051284B" w:rsidRPr="0051284B" w:rsidTr="0088697E">
        <w:trPr>
          <w:trHeight w:val="266"/>
        </w:trPr>
        <w:tc>
          <w:tcPr>
            <w:tcW w:w="5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51d)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privatna osoba obveznik PD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3.849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132.765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91.205</w:t>
            </w:r>
          </w:p>
        </w:tc>
      </w:tr>
      <w:tr w:rsidR="0051284B" w:rsidRPr="0051284B" w:rsidTr="0088697E">
        <w:trPr>
          <w:trHeight w:val="266"/>
        </w:trPr>
        <w:tc>
          <w:tcPr>
            <w:tcW w:w="5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51e)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ostali nespomenuti obveznici PD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9.201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13.332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12.741</w:t>
            </w:r>
          </w:p>
        </w:tc>
      </w:tr>
      <w:tr w:rsidR="0051284B" w:rsidRPr="0051284B" w:rsidTr="0088697E">
        <w:trPr>
          <w:trHeight w:val="283"/>
        </w:trPr>
        <w:tc>
          <w:tcPr>
            <w:tcW w:w="459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Ukupno svi obveznici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114.483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853.110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C0C0"/>
            <w:vAlign w:val="center"/>
            <w:hideMark/>
          </w:tcPr>
          <w:p w:rsidR="00E813C4" w:rsidRPr="002A0760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2A0760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5.140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633.109.425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602.063.828</w:t>
            </w:r>
          </w:p>
        </w:tc>
      </w:tr>
    </w:tbl>
    <w:p w:rsidR="00E813C4" w:rsidRPr="00E813C4" w:rsidRDefault="00E813C4" w:rsidP="0088697E">
      <w:pPr>
        <w:spacing w:after="0" w:line="269" w:lineRule="auto"/>
        <w:jc w:val="both"/>
        <w:rPr>
          <w:rFonts w:ascii="Arial" w:eastAsia="Times New Roman" w:hAnsi="Arial"/>
          <w:color w:val="17365D"/>
          <w:sz w:val="16"/>
          <w:szCs w:val="16"/>
          <w:lang w:eastAsia="hr-HR"/>
        </w:rPr>
      </w:pPr>
      <w:r w:rsidRPr="00E813C4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910B32" w:rsidRDefault="00910B32" w:rsidP="00895D0F">
      <w:pPr>
        <w:pageBreakBefore/>
        <w:spacing w:after="0"/>
        <w:jc w:val="both"/>
        <w:rPr>
          <w:rFonts w:ascii="Arial" w:eastAsia="Times New Roman" w:hAnsi="Arial"/>
          <w:color w:val="003366"/>
          <w:sz w:val="20"/>
          <w:szCs w:val="20"/>
          <w:lang w:eastAsia="hr-HR"/>
        </w:rPr>
      </w:pPr>
      <w:r>
        <w:rPr>
          <w:rFonts w:ascii="Arial" w:eastAsia="Times New Roman" w:hAnsi="Arial"/>
          <w:color w:val="003366"/>
          <w:sz w:val="20"/>
          <w:szCs w:val="20"/>
          <w:lang w:eastAsia="hr-HR"/>
        </w:rPr>
        <w:lastRenderedPageBreak/>
        <w:t>Društva s ograničenom odgovornošću zapošljavaju najveći broj radnika, njih 626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 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021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prema satima rada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ili 73,4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% od ukupnog broja te su ostvarila najveći ukupan prihod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– 465,5 milijardi kuna</w:t>
      </w:r>
      <w:r w:rsidR="00780051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ili 73,5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780051">
        <w:rPr>
          <w:rFonts w:ascii="Arial" w:eastAsia="Times New Roman" w:hAnsi="Arial"/>
          <w:color w:val="003366"/>
          <w:sz w:val="20"/>
          <w:szCs w:val="20"/>
          <w:lang w:eastAsia="hr-HR"/>
        </w:rPr>
        <w:t>% ukupnog prihoda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. </w:t>
      </w:r>
      <w:r w:rsidR="00DE6F73" w:rsidRPr="00DE6F73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Sljedeći organizacijski oblik koji je u 2016. godini imao najviše zaposlenih i ostvario najveći prihod su dionička društva.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Samo 800 dioničkih društava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(0,7 % udio u ukupnom broju poslovnih subjekata), 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imalo je 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>124</w:t>
      </w:r>
      <w:r w:rsidR="00811D44">
        <w:rPr>
          <w:rFonts w:ascii="Arial" w:eastAsia="Times New Roman" w:hAnsi="Arial"/>
          <w:color w:val="003366"/>
          <w:sz w:val="20"/>
          <w:szCs w:val="20"/>
          <w:lang w:eastAsia="hr-HR"/>
        </w:rPr>
        <w:t> 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346 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>zaposlenih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(14,6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%), 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koji su 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>ostvar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>ili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118,1 milijardi kuna ukupnog prihoda</w:t>
      </w:r>
      <w:r w:rsidR="00780051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(18,7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780051">
        <w:rPr>
          <w:rFonts w:ascii="Arial" w:eastAsia="Times New Roman" w:hAnsi="Arial"/>
          <w:color w:val="003366"/>
          <w:sz w:val="20"/>
          <w:szCs w:val="20"/>
          <w:lang w:eastAsia="hr-HR"/>
        </w:rPr>
        <w:t>%)</w:t>
      </w:r>
      <w:r w:rsidR="00D9594D">
        <w:rPr>
          <w:rFonts w:ascii="Arial" w:eastAsia="Times New Roman" w:hAnsi="Arial"/>
          <w:color w:val="003366"/>
          <w:sz w:val="20"/>
          <w:szCs w:val="20"/>
          <w:lang w:eastAsia="hr-HR"/>
        </w:rPr>
        <w:t>.</w:t>
      </w:r>
      <w:r w:rsidR="007417D8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D</w:t>
      </w:r>
      <w:r w:rsidR="00780051">
        <w:rPr>
          <w:rFonts w:ascii="Arial" w:eastAsia="Times New Roman" w:hAnsi="Arial"/>
          <w:color w:val="003366"/>
          <w:sz w:val="20"/>
          <w:szCs w:val="20"/>
          <w:lang w:eastAsia="hr-HR"/>
        </w:rPr>
        <w:t>va oblika organiziranja, d</w:t>
      </w:r>
      <w:r w:rsidR="007417D8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ruštva s ograničenom odgovornošću i dionička društva ostvarila su </w:t>
      </w:r>
      <w:r w:rsidR="00227AB9">
        <w:rPr>
          <w:rFonts w:ascii="Arial" w:eastAsia="Times New Roman" w:hAnsi="Arial"/>
          <w:color w:val="003366"/>
          <w:sz w:val="20"/>
          <w:szCs w:val="20"/>
          <w:lang w:eastAsia="hr-HR"/>
        </w:rPr>
        <w:t>92,2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227AB9">
        <w:rPr>
          <w:rFonts w:ascii="Arial" w:eastAsia="Times New Roman" w:hAnsi="Arial"/>
          <w:color w:val="003366"/>
          <w:sz w:val="20"/>
          <w:szCs w:val="20"/>
          <w:lang w:eastAsia="hr-HR"/>
        </w:rPr>
        <w:t>% ukupnih prihoda.</w:t>
      </w:r>
    </w:p>
    <w:p w:rsidR="00E53981" w:rsidRPr="00E813C4" w:rsidRDefault="00E53981" w:rsidP="002A0760">
      <w:pPr>
        <w:spacing w:before="120" w:after="0"/>
        <w:jc w:val="both"/>
        <w:rPr>
          <w:rFonts w:ascii="Arial" w:eastAsia="Times New Roman" w:hAnsi="Arial"/>
          <w:color w:val="003366"/>
          <w:sz w:val="20"/>
          <w:szCs w:val="20"/>
          <w:lang w:eastAsia="hr-HR"/>
        </w:rPr>
      </w:pPr>
      <w:r>
        <w:rPr>
          <w:rFonts w:ascii="Arial" w:eastAsia="Times New Roman" w:hAnsi="Arial"/>
          <w:color w:val="003366"/>
          <w:sz w:val="20"/>
          <w:szCs w:val="20"/>
          <w:lang w:eastAsia="hr-HR"/>
        </w:rPr>
        <w:t>Najveć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>e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prosječne 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mjesečne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neto plaće 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obračunane su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zaposlenima </w:t>
      </w:r>
      <w:r w:rsidR="00DE6F73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u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inozemni</w:t>
      </w:r>
      <w:r w:rsidR="00DE6F73">
        <w:rPr>
          <w:rFonts w:ascii="Arial" w:eastAsia="Times New Roman" w:hAnsi="Arial"/>
          <w:color w:val="003366"/>
          <w:sz w:val="20"/>
          <w:szCs w:val="20"/>
          <w:lang w:eastAsia="hr-HR"/>
        </w:rPr>
        <w:t>m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DE6F73">
        <w:rPr>
          <w:rFonts w:ascii="Arial" w:eastAsia="Times New Roman" w:hAnsi="Arial"/>
          <w:color w:val="003366"/>
          <w:sz w:val="20"/>
          <w:szCs w:val="20"/>
          <w:lang w:eastAsia="hr-HR"/>
        </w:rPr>
        <w:t>podružnicama,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bookmarkStart w:id="0" w:name="_GoBack"/>
      <w:bookmarkEnd w:id="0"/>
      <w:r>
        <w:rPr>
          <w:rFonts w:ascii="Arial" w:eastAsia="Times New Roman" w:hAnsi="Arial"/>
          <w:color w:val="003366"/>
          <w:sz w:val="20"/>
          <w:szCs w:val="20"/>
          <w:lang w:eastAsia="hr-HR"/>
        </w:rPr>
        <w:t>10.796 k</w:t>
      </w:r>
      <w:r w:rsidR="00DE6F73">
        <w:rPr>
          <w:rFonts w:ascii="Arial" w:eastAsia="Times New Roman" w:hAnsi="Arial"/>
          <w:color w:val="003366"/>
          <w:sz w:val="20"/>
          <w:szCs w:val="20"/>
          <w:lang w:eastAsia="hr-HR"/>
        </w:rPr>
        <w:t>una</w:t>
      </w:r>
      <w:r w:rsidR="00EB7ABA">
        <w:rPr>
          <w:rFonts w:ascii="Arial" w:eastAsia="Times New Roman" w:hAnsi="Arial"/>
          <w:color w:val="003366"/>
          <w:sz w:val="20"/>
          <w:szCs w:val="20"/>
          <w:lang w:eastAsia="hr-HR"/>
        </w:rPr>
        <w:t>,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14548A">
        <w:rPr>
          <w:rFonts w:ascii="Arial" w:eastAsia="Times New Roman" w:hAnsi="Arial"/>
          <w:color w:val="003366"/>
          <w:sz w:val="20"/>
          <w:szCs w:val="20"/>
          <w:lang w:eastAsia="hr-HR"/>
        </w:rPr>
        <w:t>kod ostalih nespomenutih obveznika poreza na dobit 9.201 k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un</w:t>
      </w:r>
      <w:r w:rsidR="00EB7ABA">
        <w:rPr>
          <w:rFonts w:ascii="Arial" w:eastAsia="Times New Roman" w:hAnsi="Arial"/>
          <w:color w:val="003366"/>
          <w:sz w:val="20"/>
          <w:szCs w:val="20"/>
          <w:lang w:eastAsia="hr-HR"/>
        </w:rPr>
        <w:t>u</w:t>
      </w:r>
      <w:r w:rsidR="0014548A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u gospodarskim interesnim udruženjima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(GIU)</w:t>
      </w:r>
      <w:r w:rsidR="0014548A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9.090 k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una</w:t>
      </w:r>
      <w:r w:rsidR="0014548A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te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u dioničkim društvima 6.290 k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u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n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a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. Najniž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>a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prosječn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a mjesečna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neto plać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>a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895D0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obračunana je zaposlenima kod pravnih osoba organiziranih kao 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j</w:t>
      </w:r>
      <w:r w:rsidR="001B4420" w:rsidRPr="001B4420">
        <w:rPr>
          <w:rFonts w:ascii="Arial" w:eastAsia="Times New Roman" w:hAnsi="Arial"/>
          <w:color w:val="003366"/>
          <w:sz w:val="20"/>
          <w:szCs w:val="20"/>
          <w:lang w:eastAsia="hr-HR"/>
        </w:rPr>
        <w:t>ednost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avna</w:t>
      </w:r>
      <w:r w:rsidR="001B4420" w:rsidRP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društv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a</w:t>
      </w:r>
      <w:r w:rsidR="001B4420" w:rsidRP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s ograničenom odgovornošću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(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j.d.o.o.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),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u iznosu od 2.696 k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>una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.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Za usporedbu, prosječna mjesečna neto plaća </w:t>
      </w:r>
      <w:r w:rsidR="00162EF4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zaposlenih </w:t>
      </w:r>
      <w:r w:rsidR="00162EF4" w:rsidRPr="00162EF4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u 2016. godini </w:t>
      </w:r>
      <w:r w:rsidR="00162EF4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na </w:t>
      </w:r>
      <w:r w:rsidR="001B442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razini svih poduzetnika RH, iznosila je 5.140 kuna, što je </w:t>
      </w:r>
      <w:r w:rsidR="00811D44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47,5 % više u odnosu na prosječnu plaću zaposlenih kod poduzetnika organiziranih kao </w:t>
      </w:r>
      <w:r w:rsidR="00162EF4" w:rsidRPr="00162EF4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kao jednostavna društva s ograničenom odgovornošću </w:t>
      </w:r>
      <w:r w:rsidR="00162EF4">
        <w:rPr>
          <w:rFonts w:ascii="Arial" w:eastAsia="Times New Roman" w:hAnsi="Arial"/>
          <w:color w:val="003366"/>
          <w:sz w:val="20"/>
          <w:szCs w:val="20"/>
          <w:lang w:eastAsia="hr-HR"/>
        </w:rPr>
        <w:t>(</w:t>
      </w:r>
      <w:r w:rsidR="00811D44">
        <w:rPr>
          <w:rFonts w:ascii="Arial" w:eastAsia="Times New Roman" w:hAnsi="Arial"/>
          <w:color w:val="003366"/>
          <w:sz w:val="20"/>
          <w:szCs w:val="20"/>
          <w:lang w:eastAsia="hr-HR"/>
        </w:rPr>
        <w:t>j.d.o.o.</w:t>
      </w:r>
      <w:r w:rsidR="00162EF4">
        <w:rPr>
          <w:rFonts w:ascii="Arial" w:eastAsia="Times New Roman" w:hAnsi="Arial"/>
          <w:color w:val="003366"/>
          <w:sz w:val="20"/>
          <w:szCs w:val="20"/>
          <w:lang w:eastAsia="hr-HR"/>
        </w:rPr>
        <w:t>).</w:t>
      </w:r>
    </w:p>
    <w:p w:rsidR="00E813C4" w:rsidRPr="00E813C4" w:rsidRDefault="00E813C4" w:rsidP="002A0760">
      <w:pPr>
        <w:tabs>
          <w:tab w:val="left" w:pos="1134"/>
          <w:tab w:val="left" w:pos="7938"/>
        </w:tabs>
        <w:spacing w:before="180" w:after="40" w:line="240" w:lineRule="auto"/>
        <w:ind w:left="1134" w:hanging="1134"/>
        <w:rPr>
          <w:rFonts w:ascii="Arial" w:eastAsia="Times New Roman" w:hAnsi="Arial"/>
          <w:color w:val="003366"/>
          <w:sz w:val="16"/>
          <w:szCs w:val="16"/>
          <w:lang w:eastAsia="hr-HR"/>
        </w:rPr>
      </w:pP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2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.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ab/>
        <w:t>Broj subjekata</w:t>
      </w:r>
      <w:r w:rsidR="00FE564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 xml:space="preserve"> (obveznika)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, broj zaposlenih, dobit i gubitak razdoblja te neto dobit/gubitak u 2016. godini - prema vrsti poslovnih subjekata/obveznika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ab/>
      </w:r>
      <w:r w:rsidRPr="00E813C4">
        <w:rPr>
          <w:rFonts w:ascii="Arial" w:eastAsia="Times New Roman" w:hAnsi="Arial"/>
          <w:color w:val="003366"/>
          <w:sz w:val="16"/>
          <w:szCs w:val="16"/>
          <w:lang w:eastAsia="hr-HR"/>
        </w:rPr>
        <w:t>(iznosi u tisućama kuna)</w:t>
      </w:r>
    </w:p>
    <w:tbl>
      <w:tblPr>
        <w:tblW w:w="9846" w:type="dxa"/>
        <w:tblInd w:w="93" w:type="dxa"/>
        <w:tblLook w:val="04A0" w:firstRow="1" w:lastRow="0" w:firstColumn="1" w:lastColumn="0" w:noHBand="0" w:noVBand="1"/>
      </w:tblPr>
      <w:tblGrid>
        <w:gridCol w:w="577"/>
        <w:gridCol w:w="4139"/>
        <w:gridCol w:w="867"/>
        <w:gridCol w:w="912"/>
        <w:gridCol w:w="1117"/>
        <w:gridCol w:w="1117"/>
        <w:gridCol w:w="1117"/>
      </w:tblGrid>
      <w:tr w:rsidR="0051284B" w:rsidRPr="0051284B" w:rsidTr="0051284B">
        <w:trPr>
          <w:cantSplit/>
          <w:trHeight w:val="454"/>
        </w:trPr>
        <w:tc>
          <w:tcPr>
            <w:tcW w:w="5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244061"/>
            <w:textDirection w:val="btLr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Šifra</w:t>
            </w:r>
          </w:p>
        </w:tc>
        <w:tc>
          <w:tcPr>
            <w:tcW w:w="413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Opis/značenje šifre</w:t>
            </w:r>
          </w:p>
        </w:tc>
        <w:tc>
          <w:tcPr>
            <w:tcW w:w="86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</w:t>
            </w:r>
          </w:p>
        </w:tc>
        <w:tc>
          <w:tcPr>
            <w:tcW w:w="91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zaposl.</w:t>
            </w:r>
          </w:p>
        </w:tc>
        <w:tc>
          <w:tcPr>
            <w:tcW w:w="111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11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11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Neto dobit ili gubitak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Javno trgovačko društvo</w:t>
            </w:r>
          </w:p>
        </w:tc>
        <w:tc>
          <w:tcPr>
            <w:tcW w:w="8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9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939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49.515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1.972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47.543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Komanditno društvo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5.382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295.862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51.908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FF0000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243.953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Gospodarsko interesno udruženje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337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0000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2.120</w:t>
            </w:r>
          </w:p>
        </w:tc>
        <w:tc>
          <w:tcPr>
            <w:tcW w:w="11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69368B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-1.783</w:t>
            </w:r>
          </w:p>
        </w:tc>
      </w:tr>
      <w:tr w:rsidR="0051284B" w:rsidRPr="0051284B" w:rsidTr="0036725A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Dioničko društvo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124.346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8.138.018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2.398.201</w:t>
            </w:r>
          </w:p>
        </w:tc>
        <w:tc>
          <w:tcPr>
            <w:tcW w:w="1117" w:type="dxa"/>
            <w:tcBorders>
              <w:top w:val="single" w:sz="4" w:space="0" w:color="FF0000"/>
              <w:left w:val="single" w:sz="4" w:space="0" w:color="BFBFBF"/>
              <w:bottom w:val="single" w:sz="4" w:space="0" w:color="0000CC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5.739.818</w:t>
            </w:r>
          </w:p>
        </w:tc>
      </w:tr>
      <w:tr w:rsidR="0051284B" w:rsidRPr="0051284B" w:rsidTr="0036725A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Društvo s ograničenom odgovornošću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87.786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626.021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27.713.569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CC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11.367.742</w:t>
            </w:r>
          </w:p>
        </w:tc>
        <w:tc>
          <w:tcPr>
            <w:tcW w:w="111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16.345.826</w:t>
            </w:r>
          </w:p>
        </w:tc>
      </w:tr>
      <w:tr w:rsidR="0051284B" w:rsidRPr="0051284B" w:rsidTr="0036725A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Jednost. društvo s ograničenom odgovornošću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17.215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25.826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294.837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184.979</w:t>
            </w:r>
          </w:p>
        </w:tc>
        <w:tc>
          <w:tcPr>
            <w:tcW w:w="1117" w:type="dxa"/>
            <w:tcBorders>
              <w:top w:val="single" w:sz="4" w:space="0" w:color="0000CC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109.858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Trgovac pojedinac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16.209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896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15.313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Ustanova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21.318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376.405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54.962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FF0000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321.443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Zadruga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2.246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38.269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0000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66.389</w:t>
            </w:r>
          </w:p>
        </w:tc>
        <w:tc>
          <w:tcPr>
            <w:tcW w:w="11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69368B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-28.121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Druga osoba za koje je upis propisan zakonom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5.035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24.436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single" w:sz="4" w:space="0" w:color="FF0000"/>
              <w:left w:val="single" w:sz="4" w:space="0" w:color="BFBFBF"/>
              <w:bottom w:val="single" w:sz="4" w:space="0" w:color="FF0000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24.436</w:t>
            </w:r>
          </w:p>
        </w:tc>
      </w:tr>
      <w:tr w:rsidR="0051284B" w:rsidRPr="0051284B" w:rsidTr="00E813C4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32822" w:rsidP="00895D0F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I</w:t>
            </w:r>
            <w:r w:rsidR="00895D0F" w:rsidRPr="00895D0F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nozemna podružnica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1.839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296.902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0000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362.297</w:t>
            </w:r>
          </w:p>
        </w:tc>
        <w:tc>
          <w:tcPr>
            <w:tcW w:w="11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69368B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-65.395</w:t>
            </w:r>
          </w:p>
        </w:tc>
      </w:tr>
      <w:tr w:rsidR="0051284B" w:rsidRPr="0051284B" w:rsidTr="009F69B6">
        <w:trPr>
          <w:trHeight w:val="283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4" w:space="0" w:color="FFFFFF" w:themeColor="background1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4139" w:type="dxa"/>
            <w:tcBorders>
              <w:top w:val="nil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Ostali obveznici poreza na dobit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5.662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39.781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1.451.540</w:t>
            </w:r>
          </w:p>
        </w:tc>
        <w:tc>
          <w:tcPr>
            <w:tcW w:w="1117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169.175</w:t>
            </w:r>
          </w:p>
        </w:tc>
        <w:tc>
          <w:tcPr>
            <w:tcW w:w="1117" w:type="dxa"/>
            <w:tcBorders>
              <w:top w:val="single" w:sz="4" w:space="0" w:color="FF0000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1.282.365</w:t>
            </w:r>
          </w:p>
        </w:tc>
      </w:tr>
      <w:tr w:rsidR="0051284B" w:rsidRPr="0051284B" w:rsidTr="009F69B6">
        <w:trPr>
          <w:trHeight w:val="283"/>
        </w:trPr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51a)</w:t>
            </w:r>
          </w:p>
        </w:tc>
        <w:tc>
          <w:tcPr>
            <w:tcW w:w="4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obrtnici</w:t>
            </w:r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3.921</w:t>
            </w:r>
          </w:p>
        </w:tc>
        <w:tc>
          <w:tcPr>
            <w:tcW w:w="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34.506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983.996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142.154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841.842</w:t>
            </w:r>
          </w:p>
        </w:tc>
      </w:tr>
      <w:tr w:rsidR="0051284B" w:rsidRPr="0051284B" w:rsidTr="009F69B6">
        <w:trPr>
          <w:trHeight w:val="283"/>
        </w:trPr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51b)</w:t>
            </w:r>
          </w:p>
        </w:tc>
        <w:tc>
          <w:tcPr>
            <w:tcW w:w="4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slobodna zanimanja</w:t>
            </w:r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1.224</w:t>
            </w:r>
          </w:p>
        </w:tc>
        <w:tc>
          <w:tcPr>
            <w:tcW w:w="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4.494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390.506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11.132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379.374</w:t>
            </w:r>
          </w:p>
        </w:tc>
      </w:tr>
      <w:tr w:rsidR="0051284B" w:rsidRPr="0051284B" w:rsidTr="009F69B6">
        <w:trPr>
          <w:trHeight w:val="283"/>
        </w:trPr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51c)</w:t>
            </w:r>
          </w:p>
        </w:tc>
        <w:tc>
          <w:tcPr>
            <w:tcW w:w="4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OPG</w:t>
            </w:r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685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38.645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10.401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28.245</w:t>
            </w:r>
          </w:p>
        </w:tc>
      </w:tr>
      <w:tr w:rsidR="0051284B" w:rsidRPr="0051284B" w:rsidTr="009F69B6">
        <w:trPr>
          <w:trHeight w:val="283"/>
        </w:trPr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51d)</w:t>
            </w:r>
          </w:p>
        </w:tc>
        <w:tc>
          <w:tcPr>
            <w:tcW w:w="4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privatna osoba obveznik PD</w:t>
            </w:r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37.927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5.488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32.439</w:t>
            </w:r>
          </w:p>
        </w:tc>
      </w:tr>
      <w:tr w:rsidR="0051284B" w:rsidRPr="0051284B" w:rsidTr="009F69B6">
        <w:trPr>
          <w:trHeight w:val="283"/>
        </w:trPr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51e)</w:t>
            </w:r>
          </w:p>
        </w:tc>
        <w:tc>
          <w:tcPr>
            <w:tcW w:w="4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ostali nespomenuti obveznici PD</w:t>
            </w:r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465</w:t>
            </w:r>
          </w:p>
        </w:tc>
      </w:tr>
      <w:tr w:rsidR="0051284B" w:rsidRPr="0051284B" w:rsidTr="009F69B6">
        <w:trPr>
          <w:trHeight w:val="283"/>
        </w:trPr>
        <w:tc>
          <w:tcPr>
            <w:tcW w:w="47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</w:t>
            </w: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obveznici</w:t>
            </w:r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114.483</w:t>
            </w:r>
          </w:p>
        </w:tc>
        <w:tc>
          <w:tcPr>
            <w:tcW w:w="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853.110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38.695.898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14.660.642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24.035.256</w:t>
            </w:r>
          </w:p>
        </w:tc>
      </w:tr>
    </w:tbl>
    <w:p w:rsidR="00E813C4" w:rsidRPr="00E813C4" w:rsidRDefault="00E813C4" w:rsidP="0025693B">
      <w:pPr>
        <w:spacing w:before="20" w:after="0"/>
        <w:jc w:val="both"/>
        <w:rPr>
          <w:rFonts w:ascii="Arial" w:eastAsia="Times New Roman" w:hAnsi="Arial"/>
          <w:color w:val="17365D"/>
          <w:sz w:val="16"/>
          <w:szCs w:val="16"/>
          <w:lang w:eastAsia="hr-HR"/>
        </w:rPr>
      </w:pPr>
      <w:r w:rsidRPr="00E813C4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E813C4" w:rsidRPr="002A0760" w:rsidRDefault="00D9594D" w:rsidP="002A0760">
      <w:pPr>
        <w:spacing w:before="180" w:after="0"/>
        <w:jc w:val="both"/>
        <w:rPr>
          <w:rFonts w:ascii="Arial" w:eastAsia="Times New Roman" w:hAnsi="Arial" w:cs="Arial"/>
          <w:color w:val="003366"/>
          <w:sz w:val="20"/>
          <w:szCs w:val="20"/>
          <w:lang w:eastAsia="hr-HR"/>
        </w:rPr>
      </w:pP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Društva s ograničenom odgovornošću ostvaril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 su najveć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u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dobit razdoblja –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27,7 mili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jardi kuna, ali i najveći 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gubit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k razdoblja – 11,4 milijardi kuna što je rezultiralo neto dobiti u iznosu od 16,3 milijardi kuna. Dionička društva su ostvarila 5,7 milijardi kuna </w:t>
      </w:r>
      <w:r w:rsidR="00780051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neto dobiti 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tako da 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su 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dva </w:t>
      </w:r>
      <w:r w:rsidR="00DE6F73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spomenuta 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organizacijska oblika ostvar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ila 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91,9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="008A06F0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% neto dobiti.</w:t>
      </w:r>
      <w:r w:rsidR="00227AB9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S neto gubitkom </w:t>
      </w:r>
      <w:r w:rsidR="005E4D61" w:rsidRPr="005E4D61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u iznosu od 65,4 milijuna kuna </w:t>
      </w:r>
      <w:r w:rsidR="00227AB9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posloval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e</w:t>
      </w:r>
      <w:r w:rsidR="00227AB9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="005E4D61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su </w:t>
      </w:r>
      <w:r w:rsidR="00227AB9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inozemn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e podružnice</w:t>
      </w:r>
      <w:r w:rsidR="00227AB9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, zadruge </w:t>
      </w:r>
      <w:r w:rsidR="005E4D61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sa </w:t>
      </w:r>
      <w:r w:rsidR="00227AB9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28,1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milijun kuna</w:t>
      </w:r>
      <w:r w:rsidR="00227AB9"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i gospodarska interesna udruženja sa 1,8 milijuna kuna.</w:t>
      </w:r>
    </w:p>
    <w:p w:rsidR="00E813C4" w:rsidRPr="00E813C4" w:rsidRDefault="00E813C4" w:rsidP="0025693B">
      <w:pPr>
        <w:widowControl w:val="0"/>
        <w:tabs>
          <w:tab w:val="left" w:pos="1134"/>
          <w:tab w:val="left" w:pos="7938"/>
        </w:tabs>
        <w:spacing w:before="180" w:after="40" w:line="240" w:lineRule="auto"/>
        <w:ind w:left="1134" w:hanging="1134"/>
        <w:rPr>
          <w:rFonts w:ascii="Arial" w:eastAsia="Times New Roman" w:hAnsi="Arial"/>
          <w:color w:val="003366"/>
          <w:sz w:val="16"/>
          <w:szCs w:val="16"/>
          <w:lang w:eastAsia="hr-HR"/>
        </w:rPr>
      </w:pP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Tablica 3.</w:t>
      </w:r>
      <w:r w:rsidRPr="00E813C4"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ab/>
        <w:t>Broj subjekata i pokazatelji po poduzetniku i po zaposlenom u 2016. godini - prema vrst</w:t>
      </w:r>
      <w:r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>i poslovnih subjekata/obveznika</w:t>
      </w:r>
      <w:r>
        <w:rPr>
          <w:rFonts w:ascii="Arial" w:eastAsia="Times New Roman" w:hAnsi="Arial"/>
          <w:b/>
          <w:color w:val="003366"/>
          <w:sz w:val="18"/>
          <w:szCs w:val="18"/>
          <w:lang w:eastAsia="hr-HR"/>
        </w:rPr>
        <w:tab/>
      </w:r>
      <w:r w:rsidRPr="00E813C4">
        <w:rPr>
          <w:rFonts w:ascii="Arial" w:eastAsia="Times New Roman" w:hAnsi="Arial"/>
          <w:color w:val="003366"/>
          <w:sz w:val="16"/>
          <w:szCs w:val="16"/>
          <w:lang w:eastAsia="hr-HR"/>
        </w:rPr>
        <w:t>(iznosi u tisućama kuna)</w:t>
      </w:r>
    </w:p>
    <w:tbl>
      <w:tblPr>
        <w:tblW w:w="9725" w:type="dxa"/>
        <w:tblInd w:w="93" w:type="dxa"/>
        <w:tblLook w:val="04A0" w:firstRow="1" w:lastRow="0" w:firstColumn="1" w:lastColumn="0" w:noHBand="0" w:noVBand="1"/>
      </w:tblPr>
      <w:tblGrid>
        <w:gridCol w:w="580"/>
        <w:gridCol w:w="3742"/>
        <w:gridCol w:w="867"/>
        <w:gridCol w:w="1134"/>
        <w:gridCol w:w="1134"/>
        <w:gridCol w:w="1134"/>
        <w:gridCol w:w="1134"/>
      </w:tblGrid>
      <w:tr w:rsidR="00E813C4" w:rsidRPr="00E32822" w:rsidTr="00811D44">
        <w:trPr>
          <w:cantSplit/>
          <w:trHeight w:val="624"/>
          <w:tblHeader/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1"/>
            <w:textDirection w:val="btLr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Šifra</w:t>
            </w:r>
          </w:p>
        </w:tc>
        <w:tc>
          <w:tcPr>
            <w:tcW w:w="3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Opis/značenje šifre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b/>
                <w:color w:val="FFFFFF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 po poduzet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 po zaposl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Neto dobit/ gubitak po poduzet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Neto dobit/ gubitak po zaposl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374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Javno trgovačko društvo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1.457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Komanditno društvo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172.009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0000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1.566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4.979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45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Gospodarsko interesno udruženje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2.866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2.070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0000FF"/>
              <w:bottom w:val="single" w:sz="4" w:space="0" w:color="0000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3282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-69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3282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-50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Dioničko društvo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800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147.632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950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7.175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0000F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46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Društvo s ograničenom odgovornošću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87.786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5.303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26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lastRenderedPageBreak/>
              <w:t>81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Jednost. društvo s ograničenom odgovor.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17.215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Trgovac pojedinac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27.708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975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1.276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45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Ustanova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1.441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6.766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15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09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Zadruga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968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0000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1.724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743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3282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3282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-13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 xml:space="preserve">Druga osoba za koje je upis </w:t>
            </w:r>
            <w:proofErr w:type="spellStart"/>
            <w:r w:rsidRPr="00E813C4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prop</w:t>
            </w:r>
            <w:proofErr w:type="spellEnd"/>
            <w:r w:rsidRPr="00E813C4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. zakonom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407.832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0000F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6.109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32822" w:rsidP="00895D0F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I</w:t>
            </w:r>
            <w:r w:rsidR="00895D0F" w:rsidRPr="00895D0F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nozemna podružnica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8.141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1.505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3282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-192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3282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-36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Ostali obveznici poreza na dobit</w:t>
            </w:r>
          </w:p>
        </w:tc>
        <w:tc>
          <w:tcPr>
            <w:tcW w:w="86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5.662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3.409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32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51a)</w:t>
            </w:r>
          </w:p>
        </w:tc>
        <w:tc>
          <w:tcPr>
            <w:tcW w:w="3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obrtnici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3.921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4.028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24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51b)</w:t>
            </w:r>
          </w:p>
        </w:tc>
        <w:tc>
          <w:tcPr>
            <w:tcW w:w="3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slobodna zanimanja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1.224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2.220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605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84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51c)</w:t>
            </w:r>
          </w:p>
        </w:tc>
        <w:tc>
          <w:tcPr>
            <w:tcW w:w="3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OPG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2.174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943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41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51d)</w:t>
            </w:r>
          </w:p>
        </w:tc>
        <w:tc>
          <w:tcPr>
            <w:tcW w:w="3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od toga privatna osoba obveznik PD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1.952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477</w:t>
            </w:r>
          </w:p>
        </w:tc>
      </w:tr>
      <w:tr w:rsidR="00E813C4" w:rsidRPr="00E32822" w:rsidTr="00E813C4">
        <w:trPr>
          <w:trHeight w:val="283"/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9F6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51e)</w:t>
            </w:r>
          </w:p>
        </w:tc>
        <w:tc>
          <w:tcPr>
            <w:tcW w:w="3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- ostali nespomenuti obveznici PD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4.444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17</w:t>
            </w:r>
          </w:p>
        </w:tc>
      </w:tr>
      <w:tr w:rsidR="00E813C4" w:rsidRPr="00E32822" w:rsidTr="00E813C4">
        <w:trPr>
          <w:trHeight w:val="283"/>
        </w:trPr>
        <w:tc>
          <w:tcPr>
            <w:tcW w:w="43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0C0C0"/>
            <w:vAlign w:val="center"/>
            <w:hideMark/>
          </w:tcPr>
          <w:p w:rsidR="00E813C4" w:rsidRPr="00E813C4" w:rsidRDefault="00E813C4" w:rsidP="00E81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Ukupno svi obveznici</w:t>
            </w:r>
          </w:p>
        </w:tc>
        <w:tc>
          <w:tcPr>
            <w:tcW w:w="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3366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/>
                <w:b/>
                <w:color w:val="003366"/>
                <w:sz w:val="18"/>
                <w:szCs w:val="18"/>
                <w:lang w:eastAsia="hr-HR"/>
              </w:rPr>
              <w:t>114.483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5.530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742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:rsidR="00E813C4" w:rsidRPr="00E813C4" w:rsidRDefault="00E813C4" w:rsidP="00E81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E813C4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28</w:t>
            </w:r>
          </w:p>
        </w:tc>
      </w:tr>
    </w:tbl>
    <w:p w:rsidR="00E813C4" w:rsidRDefault="00E813C4" w:rsidP="0025693B">
      <w:pPr>
        <w:spacing w:before="20" w:after="0"/>
        <w:jc w:val="both"/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</w:pPr>
      <w:r w:rsidRPr="00E813C4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811D44" w:rsidRPr="002A0760" w:rsidRDefault="00811D44" w:rsidP="0025693B">
      <w:pPr>
        <w:spacing w:before="180" w:after="0"/>
        <w:jc w:val="both"/>
        <w:rPr>
          <w:rFonts w:ascii="Arial" w:eastAsia="Times New Roman" w:hAnsi="Arial" w:cs="Arial"/>
          <w:color w:val="003366"/>
          <w:sz w:val="20"/>
          <w:szCs w:val="20"/>
          <w:lang w:eastAsia="hr-HR"/>
        </w:rPr>
      </w:pP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Najveći ukupn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i 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prihod </w:t>
      </w:r>
      <w:r w:rsidRPr="004F24DC">
        <w:rPr>
          <w:rFonts w:ascii="Arial" w:eastAsia="Times New Roman" w:hAnsi="Arial" w:cs="Arial"/>
          <w:color w:val="003366"/>
          <w:sz w:val="20"/>
          <w:szCs w:val="20"/>
          <w:u w:val="single"/>
          <w:lang w:eastAsia="hr-HR"/>
        </w:rPr>
        <w:t>po poduzetniku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(407,8 milijuna kuna)</w:t>
      </w:r>
      <w:r w:rsidR="004F24DC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,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ostvarile su druge osobe za koje je upis propisan zakonom</w:t>
      </w:r>
      <w:r w:rsidR="009D33F3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,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="009D33F3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u koje se ubraja i 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Financijska agencija, a najveći ukup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n prihod </w:t>
      </w:r>
      <w:r w:rsidRPr="004F24DC">
        <w:rPr>
          <w:rFonts w:ascii="Arial" w:eastAsia="Times New Roman" w:hAnsi="Arial" w:cs="Arial"/>
          <w:color w:val="003366"/>
          <w:sz w:val="20"/>
          <w:szCs w:val="20"/>
          <w:u w:val="single"/>
          <w:lang w:eastAsia="hr-HR"/>
        </w:rPr>
        <w:t>po zaposlenom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ostvar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ila s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u gospodarsk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interesn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udruženja</w:t>
      </w:r>
      <w:r w:rsidR="004F24DC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,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u iznosu od 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2,1 milijun kuna. Najv</w:t>
      </w:r>
      <w:r w:rsidR="004F24DC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eću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neto dobit </w:t>
      </w:r>
      <w:r w:rsidRPr="004F24DC">
        <w:rPr>
          <w:rFonts w:ascii="Arial" w:eastAsia="Times New Roman" w:hAnsi="Arial" w:cs="Arial"/>
          <w:color w:val="003366"/>
          <w:sz w:val="20"/>
          <w:szCs w:val="20"/>
          <w:u w:val="single"/>
          <w:lang w:eastAsia="hr-HR"/>
        </w:rPr>
        <w:t>po poduzetniku</w:t>
      </w:r>
      <w:r w:rsidR="00E32822" w:rsidRPr="009D33F3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ostvaril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 su dionička društva (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d.d.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)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, 7,2 milijuna kuna, a najveću neto dobit </w:t>
      </w:r>
      <w:r w:rsidRPr="004F24DC">
        <w:rPr>
          <w:rFonts w:ascii="Arial" w:eastAsia="Times New Roman" w:hAnsi="Arial" w:cs="Arial"/>
          <w:color w:val="003366"/>
          <w:sz w:val="20"/>
          <w:szCs w:val="20"/>
          <w:u w:val="single"/>
          <w:lang w:eastAsia="hr-HR"/>
        </w:rPr>
        <w:t>po zaposlenom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ostvarile su privatne osobe, obveznici poreza na dobit</w:t>
      </w:r>
      <w:r w:rsidR="00E32822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,</w:t>
      </w:r>
      <w:r w:rsidRPr="002A0760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u iznosu od 477 tisuća kuna. </w:t>
      </w:r>
    </w:p>
    <w:p w:rsidR="00811D44" w:rsidRPr="00E20100" w:rsidRDefault="00811D44" w:rsidP="004F24DC">
      <w:pPr>
        <w:spacing w:before="120" w:after="0" w:line="264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 w:rsidRPr="00E20100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Prema Zakonu o trgovačkim društvima, trgovačko društvo može biti </w:t>
      </w:r>
      <w:r w:rsidRPr="00E20100">
        <w:rPr>
          <w:rFonts w:ascii="Arial" w:hAnsi="Arial" w:cs="Arial"/>
          <w:i/>
          <w:color w:val="244061" w:themeColor="accent1" w:themeShade="80"/>
          <w:sz w:val="18"/>
          <w:szCs w:val="18"/>
          <w:u w:val="single"/>
        </w:rPr>
        <w:t>društvo osoba</w:t>
      </w:r>
      <w:r w:rsidRPr="00E20100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i </w:t>
      </w:r>
      <w:r w:rsidRPr="00E20100">
        <w:rPr>
          <w:rFonts w:ascii="Arial" w:hAnsi="Arial" w:cs="Arial"/>
          <w:i/>
          <w:color w:val="244061" w:themeColor="accent1" w:themeShade="80"/>
          <w:sz w:val="18"/>
          <w:szCs w:val="18"/>
          <w:u w:val="single"/>
        </w:rPr>
        <w:t>društvo kapitala</w:t>
      </w:r>
      <w:r w:rsidRPr="00E20100">
        <w:rPr>
          <w:rStyle w:val="FootnoteReference"/>
          <w:rFonts w:ascii="Arial" w:hAnsi="Arial" w:cs="Arial"/>
          <w:i/>
          <w:color w:val="244061" w:themeColor="accent1" w:themeShade="80"/>
          <w:sz w:val="18"/>
          <w:szCs w:val="18"/>
        </w:rPr>
        <w:footnoteReference w:id="1"/>
      </w:r>
      <w:r w:rsidRPr="00E20100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. U </w:t>
      </w:r>
      <w:r w:rsidRPr="00E20100">
        <w:rPr>
          <w:rFonts w:ascii="Arial" w:hAnsi="Arial" w:cs="Arial"/>
          <w:b/>
          <w:i/>
          <w:color w:val="244061" w:themeColor="accent1" w:themeShade="80"/>
          <w:sz w:val="18"/>
          <w:szCs w:val="18"/>
        </w:rPr>
        <w:t>društva osoba</w:t>
      </w:r>
      <w:r w:rsidRPr="00E20100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ubrajaju se: ortaštvo, tajno društvo, javno trgovačko društvo, komanditno društvo, gospodarsko interesno udruženje (GIU), zadruga, zadružni savez, udruga. Glavna su im obilježja: temelje se na članovima i u društvo se ulazi s obzirom na osobna svojstva; moraju imati najmanje dva člana; za postojanje društva nije bitan kapital; između članova postoji jača povezanost interesa i učinci djelovanja društva izravno se odražavaju na članove; očekuje se osobni angažman i prinos članova radu društva koji ne mora biti u novcu; načelno postoji osobna neograničena solidarna odgovornost članova vlastitom imovinom za obveze društva; članska se prava, ako se drukčije ne ugovori, određuju po osobama, a ne po kapitalu koji su članovi eventualno unijeli u društvo; u načelu se bez suglasnosti ostalih članova udio u društvu ne može prenijeti na drugoga, što vrijedi i za nasljeđivanje, a ni novi članovi ne mogu pristupiti društvu bez suglasnosti svih njegovih članova; članovi imaju široku autonomiju uređenja odnosa u društvu. </w:t>
      </w:r>
    </w:p>
    <w:p w:rsidR="0051284B" w:rsidRPr="00E20100" w:rsidRDefault="0051284B" w:rsidP="004F24DC">
      <w:pPr>
        <w:tabs>
          <w:tab w:val="left" w:pos="7938"/>
        </w:tabs>
        <w:spacing w:before="60" w:after="0" w:line="264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 w:rsidRPr="00E20100">
        <w:rPr>
          <w:rFonts w:ascii="Arial" w:hAnsi="Arial" w:cs="Arial"/>
          <w:b/>
          <w:i/>
          <w:color w:val="244061" w:themeColor="accent1" w:themeShade="80"/>
          <w:sz w:val="18"/>
          <w:szCs w:val="18"/>
        </w:rPr>
        <w:t>Društva kapitala</w:t>
      </w:r>
      <w:r w:rsidRPr="00E20100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su: d. d., d. o. o., društvo za uzajamno osiguranje i njihova preddruštva. Obilježja su im: pravne su osobe; imaju temeljni kapital; za osnivanje društva ne traži se više osoba; članovi ne odgovaraju za obveze društva osim kada je riječ o proboju pravne osobnosti; članovi snose ograničeni rizik za poslovanje društva, i to samo s onim što su uložili u društvo; kontrola ulaska i izlaska iz društva nije bitna; nije bitan osobni prinos članova radu društva, jer ono ima organe u kojima ne moraju biti članovi, a zakonom im se ne daje isključivo pravo da obavljaju poslove upravljanja, osim da sudjeluju u skupštini društva.</w:t>
      </w:r>
      <w:r w:rsidRPr="00E20100">
        <w:rPr>
          <w:rStyle w:val="FootnoteReference"/>
          <w:rFonts w:ascii="Arial" w:hAnsi="Arial" w:cs="Arial"/>
          <w:i/>
          <w:color w:val="244061" w:themeColor="accent1" w:themeShade="80"/>
          <w:sz w:val="18"/>
          <w:szCs w:val="18"/>
        </w:rPr>
        <w:footnoteReference w:id="2"/>
      </w:r>
    </w:p>
    <w:p w:rsidR="0051284B" w:rsidRPr="004F24DC" w:rsidRDefault="0051284B" w:rsidP="004F24DC">
      <w:pPr>
        <w:tabs>
          <w:tab w:val="left" w:pos="1134"/>
          <w:tab w:val="left" w:pos="7938"/>
        </w:tabs>
        <w:spacing w:before="120" w:after="0" w:line="240" w:lineRule="auto"/>
        <w:jc w:val="both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811D44">
        <w:rPr>
          <w:rFonts w:ascii="Arial" w:hAnsi="Arial" w:cs="Arial"/>
          <w:b/>
          <w:color w:val="244061" w:themeColor="accent1" w:themeShade="80"/>
          <w:sz w:val="18"/>
          <w:szCs w:val="18"/>
        </w:rPr>
        <w:t>Shema 1.</w:t>
      </w:r>
      <w:r w:rsidR="007F5DF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7F5DFD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Vrste trgovačkih društava</w:t>
      </w:r>
      <w:r w:rsidRPr="00811D44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</w:p>
    <w:p w:rsidR="002A0760" w:rsidRDefault="00456313" w:rsidP="002A0760">
      <w:pPr>
        <w:tabs>
          <w:tab w:val="left" w:pos="7938"/>
        </w:tabs>
        <w:spacing w:after="60" w:line="240" w:lineRule="auto"/>
        <w:ind w:left="1134" w:hanging="1134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7EE2A9D" wp14:editId="76E5899F">
            <wp:extent cx="5040172" cy="1858061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59" b="7831"/>
                    <a:stretch/>
                  </pic:blipFill>
                  <pic:spPr bwMode="auto">
                    <a:xfrm>
                      <a:off x="0" y="0"/>
                      <a:ext cx="5039995" cy="185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0760" w:rsidSect="002933FC">
      <w:headerReference w:type="default" r:id="rId10"/>
      <w:foot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8B" w:rsidRDefault="0069368B" w:rsidP="00781D48">
      <w:pPr>
        <w:spacing w:after="0" w:line="240" w:lineRule="auto"/>
      </w:pPr>
      <w:r>
        <w:separator/>
      </w:r>
    </w:p>
  </w:endnote>
  <w:endnote w:type="continuationSeparator" w:id="0">
    <w:p w:rsidR="0069368B" w:rsidRDefault="0069368B" w:rsidP="0078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B" w:rsidRPr="0051284B" w:rsidRDefault="0069368B" w:rsidP="0051284B">
    <w:pPr>
      <w:pStyle w:val="Footer"/>
      <w:spacing w:after="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8B" w:rsidRDefault="0069368B" w:rsidP="00781D48">
      <w:pPr>
        <w:spacing w:after="0" w:line="240" w:lineRule="auto"/>
      </w:pPr>
      <w:r>
        <w:separator/>
      </w:r>
    </w:p>
  </w:footnote>
  <w:footnote w:type="continuationSeparator" w:id="0">
    <w:p w:rsidR="0069368B" w:rsidRDefault="0069368B" w:rsidP="00781D48">
      <w:pPr>
        <w:spacing w:after="0" w:line="240" w:lineRule="auto"/>
      </w:pPr>
      <w:r>
        <w:continuationSeparator/>
      </w:r>
    </w:p>
  </w:footnote>
  <w:footnote w:id="1">
    <w:p w:rsidR="0069368B" w:rsidRPr="00930787" w:rsidRDefault="0069368B" w:rsidP="00811D44">
      <w:pPr>
        <w:pStyle w:val="FootnoteText"/>
        <w:spacing w:after="0" w:line="240" w:lineRule="auto"/>
        <w:rPr>
          <w:rFonts w:ascii="Arial" w:hAnsi="Arial" w:cs="Arial"/>
          <w:color w:val="244061"/>
          <w:sz w:val="17"/>
          <w:szCs w:val="17"/>
        </w:rPr>
      </w:pPr>
      <w:r w:rsidRPr="00930787">
        <w:rPr>
          <w:rStyle w:val="FootnoteReference"/>
          <w:rFonts w:ascii="Arial" w:hAnsi="Arial" w:cs="Arial"/>
          <w:color w:val="244061"/>
          <w:sz w:val="17"/>
          <w:szCs w:val="17"/>
        </w:rPr>
        <w:footnoteRef/>
      </w:r>
      <w:r w:rsidRPr="00930787">
        <w:rPr>
          <w:rFonts w:ascii="Arial" w:hAnsi="Arial" w:cs="Arial"/>
          <w:color w:val="244061"/>
          <w:sz w:val="17"/>
          <w:szCs w:val="17"/>
        </w:rPr>
        <w:t xml:space="preserve"> Društva osoba i društva kapitala međusobno se razlikuju na temelju niz obilježja. Kod društva osoba mora postojati najmanje dva člana, za postojanje nije bitan kapital, između članova postoji jača povezanost interesa i doprinos članova radu društva ne mora biti u novcu ni stvarima, ni pravima nego može biti i u radu i uslugama dok se kod društva kapitala za osnivanje ne traži više osoba, imaju temeljni kapital, članovi su ograničeni na rizik za poslovanje društva i to samo s onim što su uložili u društvo te nije bitan osobni doprinos rada društvu.</w:t>
      </w:r>
    </w:p>
  </w:footnote>
  <w:footnote w:id="2">
    <w:p w:rsidR="0069368B" w:rsidRPr="002A0760" w:rsidRDefault="0069368B" w:rsidP="0025693B">
      <w:pPr>
        <w:pStyle w:val="FootnoteText"/>
        <w:spacing w:before="2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2A0760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2A0760">
        <w:rPr>
          <w:rFonts w:ascii="Arial" w:hAnsi="Arial" w:cs="Arial"/>
          <w:color w:val="244061" w:themeColor="accent1" w:themeShade="80"/>
          <w:sz w:val="17"/>
          <w:szCs w:val="17"/>
        </w:rPr>
        <w:t xml:space="preserve"> http://www.enciklopedija.hr/natuknica.aspx?id=62220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8B" w:rsidRPr="0051284B" w:rsidRDefault="0069368B" w:rsidP="00930787">
    <w:pPr>
      <w:pStyle w:val="Header"/>
      <w:spacing w:after="0" w:line="240" w:lineRule="auto"/>
      <w:rPr>
        <w:sz w:val="18"/>
        <w:szCs w:val="18"/>
      </w:rPr>
    </w:pPr>
    <w:r w:rsidRPr="0051284B">
      <w:rPr>
        <w:noProof/>
        <w:sz w:val="18"/>
        <w:szCs w:val="18"/>
        <w:lang w:eastAsia="hr-HR"/>
      </w:rPr>
      <w:drawing>
        <wp:anchor distT="0" distB="0" distL="114300" distR="114300" simplePos="0" relativeHeight="251657728" behindDoc="0" locked="0" layoutInCell="1" allowOverlap="1" wp14:anchorId="674B7F3C" wp14:editId="565CFFF4">
          <wp:simplePos x="0" y="0"/>
          <wp:positionH relativeFrom="column">
            <wp:posOffset>112395</wp:posOffset>
          </wp:positionH>
          <wp:positionV relativeFrom="paragraph">
            <wp:posOffset>-79375</wp:posOffset>
          </wp:positionV>
          <wp:extent cx="1085215" cy="2159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BE"/>
    <w:rsid w:val="000A3DB6"/>
    <w:rsid w:val="001376C5"/>
    <w:rsid w:val="0014548A"/>
    <w:rsid w:val="00162EF4"/>
    <w:rsid w:val="00184885"/>
    <w:rsid w:val="001A40CA"/>
    <w:rsid w:val="001B4420"/>
    <w:rsid w:val="00214B4E"/>
    <w:rsid w:val="00227AB9"/>
    <w:rsid w:val="0025693B"/>
    <w:rsid w:val="002933FC"/>
    <w:rsid w:val="002A0760"/>
    <w:rsid w:val="00315586"/>
    <w:rsid w:val="0036725A"/>
    <w:rsid w:val="003A195A"/>
    <w:rsid w:val="003B6303"/>
    <w:rsid w:val="003D0EBC"/>
    <w:rsid w:val="00456313"/>
    <w:rsid w:val="004F24DC"/>
    <w:rsid w:val="0051284B"/>
    <w:rsid w:val="00556695"/>
    <w:rsid w:val="005E4D61"/>
    <w:rsid w:val="006066C7"/>
    <w:rsid w:val="00660AF2"/>
    <w:rsid w:val="00663013"/>
    <w:rsid w:val="00675684"/>
    <w:rsid w:val="0069368B"/>
    <w:rsid w:val="006D5B3F"/>
    <w:rsid w:val="00716122"/>
    <w:rsid w:val="00724332"/>
    <w:rsid w:val="007417D8"/>
    <w:rsid w:val="00780051"/>
    <w:rsid w:val="00780330"/>
    <w:rsid w:val="00781D48"/>
    <w:rsid w:val="007C0696"/>
    <w:rsid w:val="007F5DFD"/>
    <w:rsid w:val="00811D44"/>
    <w:rsid w:val="008411C8"/>
    <w:rsid w:val="0088697E"/>
    <w:rsid w:val="008912E4"/>
    <w:rsid w:val="008914F6"/>
    <w:rsid w:val="00894B5B"/>
    <w:rsid w:val="00895D0F"/>
    <w:rsid w:val="008A06F0"/>
    <w:rsid w:val="00910B32"/>
    <w:rsid w:val="00930787"/>
    <w:rsid w:val="00953A6D"/>
    <w:rsid w:val="009D33F3"/>
    <w:rsid w:val="009F69B6"/>
    <w:rsid w:val="00A07A25"/>
    <w:rsid w:val="00AD732F"/>
    <w:rsid w:val="00B1198C"/>
    <w:rsid w:val="00B66585"/>
    <w:rsid w:val="00B80A7B"/>
    <w:rsid w:val="00B830C5"/>
    <w:rsid w:val="00BF4CCD"/>
    <w:rsid w:val="00CD37A2"/>
    <w:rsid w:val="00D01D96"/>
    <w:rsid w:val="00D37DB8"/>
    <w:rsid w:val="00D667FC"/>
    <w:rsid w:val="00D9186B"/>
    <w:rsid w:val="00D926F0"/>
    <w:rsid w:val="00D9594D"/>
    <w:rsid w:val="00DB742F"/>
    <w:rsid w:val="00DE6F73"/>
    <w:rsid w:val="00E16BB2"/>
    <w:rsid w:val="00E20100"/>
    <w:rsid w:val="00E20652"/>
    <w:rsid w:val="00E21079"/>
    <w:rsid w:val="00E32822"/>
    <w:rsid w:val="00E53981"/>
    <w:rsid w:val="00E56628"/>
    <w:rsid w:val="00E813C4"/>
    <w:rsid w:val="00E97C81"/>
    <w:rsid w:val="00EB7ABA"/>
    <w:rsid w:val="00F7045B"/>
    <w:rsid w:val="00F831BE"/>
    <w:rsid w:val="00FB41B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31B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1D48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D4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1D48"/>
    <w:rPr>
      <w:lang w:eastAsia="en-US"/>
    </w:rPr>
  </w:style>
  <w:style w:type="character" w:styleId="FootnoteReference">
    <w:name w:val="footnote reference"/>
    <w:uiPriority w:val="99"/>
    <w:semiHidden/>
    <w:unhideWhenUsed/>
    <w:rsid w:val="00781D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78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307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78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3078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B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1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9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9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31B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1D48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D4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1D48"/>
    <w:rPr>
      <w:lang w:eastAsia="en-US"/>
    </w:rPr>
  </w:style>
  <w:style w:type="character" w:styleId="FootnoteReference">
    <w:name w:val="footnote reference"/>
    <w:uiPriority w:val="99"/>
    <w:semiHidden/>
    <w:unhideWhenUsed/>
    <w:rsid w:val="00781D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78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307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78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3078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B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1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9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9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32C8-9AD3-4767-ADE7-EC362FB4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1478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Kavur</dc:creator>
  <cp:lastModifiedBy>admin</cp:lastModifiedBy>
  <cp:revision>5</cp:revision>
  <dcterms:created xsi:type="dcterms:W3CDTF">2018-01-16T08:40:00Z</dcterms:created>
  <dcterms:modified xsi:type="dcterms:W3CDTF">2018-01-16T09:24:00Z</dcterms:modified>
</cp:coreProperties>
</file>