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75" w:rsidRPr="00902F22" w:rsidRDefault="00902F22" w:rsidP="008F4906">
      <w:pPr>
        <w:widowControl w:val="0"/>
        <w:spacing w:after="0" w:line="240" w:lineRule="auto"/>
        <w:jc w:val="center"/>
        <w:outlineLvl w:val="0"/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</w:pPr>
      <w:r w:rsidRPr="00902F22">
        <w:rPr>
          <w:rFonts w:ascii="Arial" w:eastAsia="Times New Roman" w:hAnsi="Arial" w:cs="Times New Roman"/>
          <w:color w:val="17365D" w:themeColor="text2" w:themeShade="BF"/>
          <w:sz w:val="20"/>
          <w:szCs w:val="20"/>
          <w:lang w:eastAsia="hr-HR"/>
        </w:rPr>
        <w:t>NA RAZINI OTOČNIH GRADOVA I OPĆINA U 2017. GODINI NA 1000 STANOVNIKA 32,6 PODUZETNIKA</w:t>
      </w:r>
    </w:p>
    <w:p w:rsidR="007A2BB6" w:rsidRPr="007A2BB6" w:rsidRDefault="007A2BB6" w:rsidP="001C5AAA">
      <w:pPr>
        <w:widowControl w:val="0"/>
        <w:spacing w:before="120" w:after="0"/>
        <w:jc w:val="both"/>
        <w:rPr>
          <w:rFonts w:ascii="Arial" w:hAnsi="Arial" w:cs="Arial"/>
          <w:color w:val="17365D"/>
          <w:sz w:val="20"/>
          <w:szCs w:val="20"/>
        </w:rPr>
      </w:pPr>
      <w:r w:rsidRPr="007A2BB6">
        <w:rPr>
          <w:rFonts w:ascii="Arial" w:eastAsia="Arial Unicode MS" w:hAnsi="Arial" w:cs="Arial"/>
          <w:color w:val="17365D"/>
          <w:sz w:val="20"/>
          <w:szCs w:val="20"/>
        </w:rPr>
        <w:t>Hrvatska ima 1244 otoka koji se geografski dijele na 78 otoka (kojima je površina veća od 1 km</w:t>
      </w:r>
      <w:r w:rsidRPr="007A2BB6">
        <w:rPr>
          <w:rFonts w:ascii="Arial" w:eastAsia="Arial Unicode MS" w:hAnsi="Arial" w:cs="Arial"/>
          <w:color w:val="17365D"/>
          <w:sz w:val="20"/>
          <w:szCs w:val="20"/>
          <w:vertAlign w:val="superscript"/>
        </w:rPr>
        <w:t>2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), 524 otočića i 642 hridi i grebena</w:t>
      </w:r>
      <w:r w:rsidRPr="007A2BB6">
        <w:rPr>
          <w:rStyle w:val="Referencafusnote"/>
          <w:rFonts w:ascii="Arial" w:eastAsia="Arial Unicode MS" w:hAnsi="Arial" w:cs="Arial"/>
          <w:color w:val="17365D"/>
          <w:sz w:val="20"/>
          <w:szCs w:val="20"/>
        </w:rPr>
        <w:footnoteReference w:id="1"/>
      </w:r>
      <w:r w:rsidR="009B20A3">
        <w:rPr>
          <w:rFonts w:ascii="Arial" w:eastAsia="Arial Unicode MS" w:hAnsi="Arial" w:cs="Arial"/>
          <w:color w:val="17365D"/>
          <w:sz w:val="20"/>
          <w:szCs w:val="20"/>
        </w:rPr>
        <w:t>.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 xml:space="preserve"> Stalno je naseljeno 47 otoka i poluotok Pelješac, a prema posljednjem popisu stanovništva iz 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2011. godine zabilježen je rast broja stanovnika na otocima na kojima, u 344 naselja, živ</w:t>
      </w:r>
      <w:r w:rsidR="005C13EF">
        <w:rPr>
          <w:rFonts w:ascii="Arial" w:eastAsia="Arial Unicode MS" w:hAnsi="Arial" w:cs="Arial"/>
          <w:color w:val="17365D"/>
          <w:sz w:val="20"/>
          <w:szCs w:val="20"/>
        </w:rPr>
        <w:t>jelo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 xml:space="preserve"> 132</w:t>
      </w:r>
      <w:r w:rsidR="005C13EF">
        <w:rPr>
          <w:rFonts w:ascii="Arial" w:eastAsia="Arial Unicode MS" w:hAnsi="Arial" w:cs="Arial"/>
          <w:color w:val="17365D"/>
          <w:sz w:val="20"/>
          <w:szCs w:val="20"/>
        </w:rPr>
        <w:t> 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756 stanovnika, što je za 7886 više u odnosu na rezultate popisa iz 2001. godine.</w:t>
      </w:r>
    </w:p>
    <w:p w:rsidR="00D27686" w:rsidRPr="007A2BB6" w:rsidRDefault="007A2BB6" w:rsidP="009B20A3">
      <w:pPr>
        <w:tabs>
          <w:tab w:val="left" w:pos="1134"/>
        </w:tabs>
        <w:spacing w:before="120" w:after="0"/>
        <w:jc w:val="both"/>
        <w:rPr>
          <w:rFonts w:ascii="Arial" w:eastAsia="Arial Unicode MS" w:hAnsi="Arial" w:cs="Arial"/>
          <w:color w:val="17365D" w:themeColor="text2" w:themeShade="BF"/>
          <w:sz w:val="20"/>
          <w:szCs w:val="20"/>
          <w:lang w:eastAsia="hr-HR"/>
        </w:rPr>
      </w:pPr>
      <w:r w:rsidRPr="007A2BB6">
        <w:rPr>
          <w:rFonts w:ascii="Arial" w:eastAsia="Arial Unicode MS" w:hAnsi="Arial" w:cs="Arial"/>
          <w:color w:val="17365D"/>
          <w:sz w:val="20"/>
          <w:szCs w:val="20"/>
        </w:rPr>
        <w:t xml:space="preserve">Najviše otočnih gradova i općina </w:t>
      </w:r>
      <w:r w:rsidR="005C13EF">
        <w:rPr>
          <w:rFonts w:ascii="Arial" w:eastAsia="Arial Unicode MS" w:hAnsi="Arial" w:cs="Arial"/>
          <w:color w:val="17365D"/>
          <w:sz w:val="20"/>
          <w:szCs w:val="20"/>
        </w:rPr>
        <w:t xml:space="preserve">je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u Splitsko-dalmatinskoj županiji (16). Slijede Dubrovačko-neretvanska i Primorsko-goranska županija sa po 11 otočnih gradova i općina, Zadarska županija s 10 otočnih gradova i općina, Šibensko-kninska s 2 otočne općine i Ličko-senjska županija s 1 otočnim gradom</w:t>
      </w:r>
      <w:r w:rsidR="000E41F5" w:rsidRPr="007A2BB6">
        <w:rPr>
          <w:rFonts w:ascii="Arial" w:eastAsia="Arial Unicode MS" w:hAnsi="Arial" w:cs="Arial"/>
          <w:color w:val="17365D" w:themeColor="text2" w:themeShade="BF"/>
          <w:sz w:val="20"/>
          <w:szCs w:val="20"/>
          <w:lang w:eastAsia="hr-HR"/>
        </w:rPr>
        <w:t>.</w:t>
      </w:r>
    </w:p>
    <w:p w:rsidR="00A2405F" w:rsidRDefault="007A2BB6" w:rsidP="009B20A3">
      <w:pPr>
        <w:tabs>
          <w:tab w:val="left" w:pos="1134"/>
        </w:tabs>
        <w:spacing w:before="120" w:after="0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7A2BB6">
        <w:rPr>
          <w:rFonts w:ascii="Arial" w:eastAsia="Arial Unicode MS" w:hAnsi="Arial" w:cs="Arial"/>
          <w:color w:val="17365D"/>
          <w:sz w:val="20"/>
          <w:szCs w:val="20"/>
        </w:rPr>
        <w:t xml:space="preserve">Prema analizi podataka iz godišnjih financijskih izvještaja poduzetnika s područja otočnih gradova i općina u 2017. godini, koja je obuhvatila 51 grad/općinu, 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 xml:space="preserve">sjedište su imala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4322 poduzetnika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>,</w:t>
      </w:r>
      <w:r w:rsidR="00A2405F">
        <w:rPr>
          <w:rFonts w:ascii="Arial" w:eastAsia="Arial Unicode MS" w:hAnsi="Arial" w:cs="Arial"/>
          <w:color w:val="17365D"/>
          <w:sz w:val="20"/>
          <w:szCs w:val="20"/>
        </w:rPr>
        <w:t xml:space="preserve"> što je u prosjeku 32,6 poduzetnika na 1000 stanovnika</w:t>
      </w:r>
      <w:r w:rsidR="001C3900">
        <w:rPr>
          <w:rFonts w:ascii="Arial" w:eastAsia="Arial Unicode MS" w:hAnsi="Arial" w:cs="Arial"/>
          <w:color w:val="17365D"/>
          <w:sz w:val="20"/>
          <w:szCs w:val="20"/>
        </w:rPr>
        <w:t xml:space="preserve">, </w:t>
      </w:r>
      <w:r w:rsidR="002E26CF">
        <w:rPr>
          <w:rFonts w:ascii="Arial" w:eastAsia="Arial Unicode MS" w:hAnsi="Arial" w:cs="Arial"/>
          <w:color w:val="17365D"/>
          <w:sz w:val="20"/>
          <w:szCs w:val="20"/>
        </w:rPr>
        <w:t>dok je na razini RH taj prosjek 29,1 poduzetnik na 1000 stanovnika</w:t>
      </w:r>
      <w:r w:rsidR="002E26CF">
        <w:rPr>
          <w:rStyle w:val="Referencafusnote"/>
          <w:rFonts w:ascii="Arial" w:eastAsia="Arial Unicode MS" w:hAnsi="Arial" w:cs="Arial"/>
          <w:color w:val="17365D"/>
          <w:sz w:val="20"/>
          <w:szCs w:val="20"/>
        </w:rPr>
        <w:footnoteReference w:id="2"/>
      </w:r>
      <w:r w:rsidR="002E26CF">
        <w:rPr>
          <w:rFonts w:ascii="Arial" w:eastAsia="Arial Unicode MS" w:hAnsi="Arial" w:cs="Arial"/>
          <w:color w:val="17365D"/>
          <w:sz w:val="20"/>
          <w:szCs w:val="20"/>
        </w:rPr>
        <w:t xml:space="preserve">. </w:t>
      </w:r>
    </w:p>
    <w:p w:rsidR="00305DAC" w:rsidRDefault="002E26CF" w:rsidP="001C3900">
      <w:pPr>
        <w:tabs>
          <w:tab w:val="left" w:pos="1134"/>
        </w:tabs>
        <w:spacing w:before="120" w:after="0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>
        <w:rPr>
          <w:rFonts w:ascii="Arial" w:eastAsia="Arial Unicode MS" w:hAnsi="Arial" w:cs="Arial"/>
          <w:color w:val="17365D"/>
          <w:sz w:val="20"/>
          <w:szCs w:val="20"/>
        </w:rPr>
        <w:t>Kod poduzetnika s područja otočnih gradova i općina, u 2017. godini bilo je 2</w:t>
      </w:r>
      <w:r w:rsidR="007A2BB6" w:rsidRPr="007A2BB6">
        <w:rPr>
          <w:rFonts w:ascii="Arial" w:eastAsia="Arial Unicode MS" w:hAnsi="Arial" w:cs="Arial"/>
          <w:color w:val="17365D"/>
          <w:sz w:val="20"/>
          <w:szCs w:val="20"/>
        </w:rPr>
        <w:t>1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> </w:t>
      </w:r>
      <w:r w:rsidR="007A2BB6" w:rsidRPr="007A2BB6">
        <w:rPr>
          <w:rFonts w:ascii="Arial" w:eastAsia="Arial Unicode MS" w:hAnsi="Arial" w:cs="Arial"/>
          <w:color w:val="17365D"/>
          <w:sz w:val="20"/>
          <w:szCs w:val="20"/>
        </w:rPr>
        <w:t xml:space="preserve">542 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 xml:space="preserve">zaposlena, </w:t>
      </w:r>
      <w:r w:rsidR="00E663E4" w:rsidRPr="00E663E4">
        <w:rPr>
          <w:rFonts w:ascii="Arial" w:eastAsia="Arial Unicode MS" w:hAnsi="Arial" w:cs="Arial"/>
          <w:color w:val="17365D"/>
          <w:sz w:val="20"/>
          <w:szCs w:val="20"/>
        </w:rPr>
        <w:t xml:space="preserve">što je u odnosu na prethodno </w:t>
      </w:r>
      <w:r>
        <w:rPr>
          <w:rFonts w:ascii="Arial" w:eastAsia="Arial Unicode MS" w:hAnsi="Arial" w:cs="Arial"/>
          <w:color w:val="17365D"/>
          <w:sz w:val="20"/>
          <w:szCs w:val="20"/>
        </w:rPr>
        <w:t>godinu rast</w:t>
      </w:r>
      <w:r w:rsidR="00E663E4" w:rsidRPr="00E663E4">
        <w:rPr>
          <w:rFonts w:ascii="Arial" w:eastAsia="Arial Unicode MS" w:hAnsi="Arial" w:cs="Arial"/>
          <w:color w:val="17365D"/>
          <w:sz w:val="20"/>
          <w:szCs w:val="20"/>
        </w:rPr>
        <w:t xml:space="preserve"> broja zaposlenih za 4,8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="00E663E4" w:rsidRPr="00E663E4">
        <w:rPr>
          <w:rFonts w:ascii="Arial" w:eastAsia="Arial Unicode MS" w:hAnsi="Arial" w:cs="Arial"/>
          <w:color w:val="17365D"/>
          <w:sz w:val="20"/>
          <w:szCs w:val="20"/>
        </w:rPr>
        <w:t>%</w:t>
      </w:r>
      <w:r>
        <w:rPr>
          <w:rFonts w:ascii="Arial" w:eastAsia="Arial Unicode MS" w:hAnsi="Arial" w:cs="Arial"/>
          <w:color w:val="17365D"/>
          <w:sz w:val="20"/>
          <w:szCs w:val="20"/>
        </w:rPr>
        <w:t>,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 xml:space="preserve"> dok je na razini Hrvatske taj rast bio veći, 5,8 %. U prosjeku je kod poduzetnika 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>otočnih područja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 xml:space="preserve"> u 2017. godini bilo 5 zaposlenih po poduzetniku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 xml:space="preserve">, dok je 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>prosječan broj zaposlenih kod poduzetnika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 xml:space="preserve"> sa sjedištem na kontinentu</w:t>
      </w:r>
      <w:r w:rsidR="00305DAC">
        <w:rPr>
          <w:rFonts w:ascii="Arial" w:eastAsia="Arial Unicode MS" w:hAnsi="Arial" w:cs="Arial"/>
          <w:color w:val="17365D"/>
          <w:sz w:val="20"/>
          <w:szCs w:val="20"/>
        </w:rPr>
        <w:t xml:space="preserve"> (</w:t>
      </w:r>
      <w:r w:rsidR="00CD4EF3">
        <w:rPr>
          <w:rFonts w:ascii="Arial" w:eastAsia="Arial Unicode MS" w:hAnsi="Arial" w:cs="Arial"/>
          <w:color w:val="17365D"/>
          <w:sz w:val="20"/>
          <w:szCs w:val="20"/>
        </w:rPr>
        <w:t xml:space="preserve">kod 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>115 759</w:t>
      </w:r>
      <w:r w:rsidR="00305DAC">
        <w:rPr>
          <w:rFonts w:ascii="Arial" w:eastAsia="Arial Unicode MS" w:hAnsi="Arial" w:cs="Arial"/>
          <w:color w:val="17365D"/>
          <w:sz w:val="20"/>
          <w:szCs w:val="20"/>
        </w:rPr>
        <w:t xml:space="preserve"> poduzetnika)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>,</w:t>
      </w:r>
      <w:r w:rsidR="00305DAC"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="00C743A1">
        <w:rPr>
          <w:rFonts w:ascii="Arial" w:eastAsia="Arial Unicode MS" w:hAnsi="Arial" w:cs="Arial"/>
          <w:color w:val="17365D"/>
          <w:sz w:val="20"/>
          <w:szCs w:val="20"/>
        </w:rPr>
        <w:t xml:space="preserve">taj prosjek bio </w:t>
      </w:r>
      <w:r w:rsidR="00E663E4">
        <w:rPr>
          <w:rFonts w:ascii="Arial" w:eastAsia="Arial Unicode MS" w:hAnsi="Arial" w:cs="Arial"/>
          <w:color w:val="17365D"/>
          <w:sz w:val="20"/>
          <w:szCs w:val="20"/>
        </w:rPr>
        <w:t>7,4 radnika po poduzetniku</w:t>
      </w:r>
      <w:r w:rsidR="007A2BB6" w:rsidRPr="007A2BB6">
        <w:rPr>
          <w:rFonts w:ascii="Arial" w:eastAsia="Arial Unicode MS" w:hAnsi="Arial" w:cs="Arial"/>
          <w:color w:val="17365D"/>
          <w:sz w:val="20"/>
          <w:szCs w:val="20"/>
        </w:rPr>
        <w:t>.</w:t>
      </w:r>
      <w:r w:rsidR="007A2BB6"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</w:p>
    <w:p w:rsidR="00831AD0" w:rsidRPr="0048149A" w:rsidRDefault="00831AD0" w:rsidP="00831AD0">
      <w:pPr>
        <w:widowControl w:val="0"/>
        <w:spacing w:before="120" w:after="0" w:line="274" w:lineRule="auto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CD4EF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Promatrano na razini pojedinoga otoka/poluotoka, najveći broj poduzetnika i zaposlenih je na najnaseljenijem otoku, na Krku, na čijem je području u 2017. godini bilo 823 poduzetnika, s 4441 zaposlenim. </w:t>
      </w:r>
      <w:r w:rsidR="00E90D3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Tome je vrlo vjerojatno doprinijelo i to što otok Krk od 1980. godine, kada je mostom spojen s kopnom, spada u skupinu p</w:t>
      </w:r>
      <w:r w:rsidR="00E90D38" w:rsidRPr="00E90D3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remošteni</w:t>
      </w:r>
      <w:r w:rsidR="00E90D3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h otoka (osim Krka u tu skupnu spadaju i</w:t>
      </w:r>
      <w:r w:rsidR="00E90D38" w:rsidRPr="00E90D3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Pag, Vir, Murter, Čiovo i poluotok Pelješac</w:t>
      </w:r>
      <w:r w:rsidR="00E90D38">
        <w:rPr>
          <w:rStyle w:val="Referencafusnote"/>
          <w:rFonts w:ascii="Arial" w:eastAsia="Arial Unicode MS" w:hAnsi="Arial" w:cs="Arial"/>
          <w:color w:val="244061" w:themeColor="accent1" w:themeShade="80"/>
          <w:sz w:val="20"/>
          <w:szCs w:val="20"/>
        </w:rPr>
        <w:footnoteReference w:id="3"/>
      </w:r>
      <w:r w:rsidR="00E90D3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)</w:t>
      </w:r>
      <w:r w:rsidR="00E90D38" w:rsidRPr="00E90D38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.</w:t>
      </w:r>
      <w:r w:rsidR="00902F22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Pr="00CD4EF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Iza otoka Krka prema broju poduzetnika slijedi najviši hrvatski otok – Brač, sa 603 poduzetnika i 2584 zaposlenih, a na trećem je mjestu Hvar, s 384 poduzetnika i 1575 zaposlenih. Otok Korčula s 359 poduzetnika je na četvrtom mjestu, a na najvećem otoku, Cresu, u prosjeku je najviše zaposlenih po poduzetniku. Kod 109 poduzetnika </w:t>
      </w:r>
      <w:r w:rsidR="00CD4EF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u Cresu </w:t>
      </w:r>
      <w:r w:rsidRPr="00CD4EF3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zaposleno je 1510 radnika, što je u prosjeku 13,9 radnika 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po poduzetniku. Društvo s najvećim brojem zaposlenih na Cresu je </w:t>
      </w:r>
      <w:hyperlink r:id="rId9" w:history="1">
        <w:r w:rsidRPr="00EF6BAD">
          <w:rPr>
            <w:rStyle w:val="Hiperveza"/>
            <w:rFonts w:ascii="Arial" w:eastAsia="Arial Unicode MS" w:hAnsi="Arial" w:cs="Arial"/>
            <w:sz w:val="20"/>
            <w:szCs w:val="20"/>
          </w:rPr>
          <w:t>AUTOTRANS d.o.o.</w:t>
        </w:r>
      </w:hyperlink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, koje je u 2017. godini </w:t>
      </w:r>
      <w:r>
        <w:rPr>
          <w:rFonts w:ascii="Arial" w:eastAsia="Arial Unicode MS" w:hAnsi="Arial" w:cs="Arial"/>
          <w:color w:val="17365D"/>
          <w:sz w:val="20"/>
          <w:szCs w:val="20"/>
        </w:rPr>
        <w:t>imalo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 645 </w:t>
      </w:r>
      <w:r>
        <w:rPr>
          <w:rFonts w:ascii="Arial" w:eastAsia="Arial Unicode MS" w:hAnsi="Arial" w:cs="Arial"/>
          <w:color w:val="17365D"/>
          <w:sz w:val="20"/>
          <w:szCs w:val="20"/>
        </w:rPr>
        <w:t>zaposlenih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>.</w:t>
      </w:r>
    </w:p>
    <w:p w:rsidR="00367E75" w:rsidRPr="00592E7F" w:rsidRDefault="00367E75" w:rsidP="008F4906">
      <w:pPr>
        <w:spacing w:before="180" w:after="0" w:line="240" w:lineRule="auto"/>
        <w:ind w:left="992" w:hanging="992"/>
        <w:jc w:val="both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Tablica </w:t>
      </w:r>
      <w:r w:rsidR="009072C9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1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Osnovni financijski podaci poslovanja poduzetnika otočnih područja i svih poduzetnika RH u 201</w:t>
      </w:r>
      <w:r w:rsidR="007A2BB6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7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. g. </w:t>
      </w:r>
    </w:p>
    <w:p w:rsidR="00367E75" w:rsidRDefault="00367E75" w:rsidP="001E7635">
      <w:pPr>
        <w:tabs>
          <w:tab w:val="left" w:pos="1134"/>
          <w:tab w:val="right" w:pos="9639"/>
        </w:tabs>
        <w:spacing w:before="20" w:after="20" w:line="240" w:lineRule="auto"/>
        <w:jc w:val="both"/>
        <w:rPr>
          <w:rFonts w:ascii="Arial" w:eastAsia="Times New Roman" w:hAnsi="Arial" w:cs="Arial"/>
          <w:color w:val="17365D"/>
          <w:sz w:val="16"/>
          <w:szCs w:val="18"/>
          <w:lang w:eastAsia="hr-HR"/>
        </w:rPr>
      </w:pPr>
      <w:r w:rsidRPr="00592E7F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592E7F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592E7F">
        <w:rPr>
          <w:rFonts w:ascii="Arial" w:eastAsia="Times New Roman" w:hAnsi="Arial" w:cs="Arial"/>
          <w:color w:val="17365D"/>
          <w:sz w:val="16"/>
          <w:szCs w:val="18"/>
          <w:lang w:eastAsia="hr-HR"/>
        </w:rPr>
        <w:t>(iznosi u tisućama kuna, prosječne plaće u kunama)</w:t>
      </w: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3742"/>
        <w:gridCol w:w="1077"/>
        <w:gridCol w:w="1117"/>
        <w:gridCol w:w="687"/>
        <w:gridCol w:w="1217"/>
        <w:gridCol w:w="1217"/>
        <w:gridCol w:w="687"/>
      </w:tblGrid>
      <w:tr w:rsidR="00A25981" w:rsidRPr="00D35215" w:rsidTr="00ED70AB">
        <w:trPr>
          <w:trHeight w:val="283"/>
          <w:tblHeader/>
          <w:jc w:val="center"/>
        </w:trPr>
        <w:tc>
          <w:tcPr>
            <w:tcW w:w="374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A25981" w:rsidP="008F490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288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A25981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Otočna Hrvatska</w:t>
            </w:r>
          </w:p>
        </w:tc>
        <w:tc>
          <w:tcPr>
            <w:tcW w:w="3121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A25981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RH</w:t>
            </w:r>
          </w:p>
        </w:tc>
      </w:tr>
      <w:tr w:rsidR="00A25981" w:rsidRPr="00D35215" w:rsidTr="008F4906">
        <w:trPr>
          <w:trHeight w:val="283"/>
          <w:tblHeader/>
          <w:jc w:val="center"/>
        </w:trPr>
        <w:tc>
          <w:tcPr>
            <w:tcW w:w="374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25981" w:rsidRPr="00D35215" w:rsidRDefault="00A25981" w:rsidP="008F4906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7A2BB6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</w:t>
            </w:r>
            <w:r w:rsidR="00A25981"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7A2BB6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2017</w:t>
            </w:r>
            <w:r w:rsidR="00A25981"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A25981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7A2BB6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</w:t>
            </w:r>
            <w:r w:rsidR="00A25981"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7A2BB6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2017</w:t>
            </w:r>
            <w:r w:rsidR="00A25981"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D35215" w:rsidRDefault="00A25981" w:rsidP="00BD4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Index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4.322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-</w:t>
            </w:r>
          </w:p>
        </w:tc>
        <w:tc>
          <w:tcPr>
            <w:tcW w:w="1217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 </w:t>
            </w:r>
          </w:p>
        </w:tc>
        <w:tc>
          <w:tcPr>
            <w:tcW w:w="12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120.081</w:t>
            </w:r>
          </w:p>
        </w:tc>
        <w:tc>
          <w:tcPr>
            <w:tcW w:w="6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-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20.562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21.542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104,8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bookmarkStart w:id="0" w:name="RANGE!E6"/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834.217</w:t>
            </w:r>
            <w:bookmarkEnd w:id="0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882.884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105,8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9.621.276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10.506.384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109,2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619.511.457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678.395.213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109,5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9.209.394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10.216.556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110,9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588.419.169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649.769.441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110,4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prije oporezivanja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699.510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724.054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103,5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44.964.035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48.336.965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107,5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prije oporezivanja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287.628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434.227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151,0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13.871.747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19.711.194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142,1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600.787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618.541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103,0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38.069.666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41.397.246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108,7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285.164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426.865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149,7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13.882.351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19.511.749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140,6</w:t>
            </w:r>
          </w:p>
        </w:tc>
      </w:tr>
      <w:tr w:rsidR="00D35215" w:rsidRPr="00D35215" w:rsidTr="006602BF">
        <w:trPr>
          <w:trHeight w:val="425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b/>
                <w:color w:val="16365C"/>
                <w:sz w:val="18"/>
                <w:szCs w:val="18"/>
              </w:rPr>
              <w:t>315.624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b/>
                <w:color w:val="16365C"/>
                <w:sz w:val="18"/>
                <w:szCs w:val="18"/>
              </w:rPr>
              <w:t>191.676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60,7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b/>
                <w:color w:val="16365C"/>
                <w:sz w:val="18"/>
                <w:szCs w:val="18"/>
              </w:rPr>
              <w:t>24.187.316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b/>
                <w:color w:val="16365C"/>
                <w:sz w:val="18"/>
                <w:szCs w:val="18"/>
              </w:rPr>
              <w:t>21.885.497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90,5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Izvoz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1.620.978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1.572.664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97,0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118.237.344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137.843.044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116,6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Uvoz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448.068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463.037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103,3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103.369.414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117.810.277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114,0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Bruto invest</w:t>
            </w:r>
            <w:r w:rsidR="008F490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ic.</w:t>
            </w: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samo u novu dugotr</w:t>
            </w:r>
            <w:r w:rsidR="008F490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imovinu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729.871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601.779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82,4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23.573.591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23.722.668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100,6</w:t>
            </w:r>
          </w:p>
        </w:tc>
      </w:tr>
      <w:tr w:rsidR="00D35215" w:rsidRPr="00D35215" w:rsidTr="008F4906">
        <w:trPr>
          <w:trHeight w:val="283"/>
          <w:jc w:val="center"/>
        </w:trPr>
        <w:tc>
          <w:tcPr>
            <w:tcW w:w="37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D35215" w:rsidRPr="00D35215" w:rsidRDefault="00D35215" w:rsidP="008F4906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Prosječ</w:t>
            </w:r>
            <w:r w:rsidR="008F490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mjeseč</w:t>
            </w:r>
            <w:r w:rsidR="008F4906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  <w:r w:rsidRPr="00D3521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neto plaća po zaposlenom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4.790</w:t>
            </w:r>
          </w:p>
        </w:tc>
        <w:tc>
          <w:tcPr>
            <w:tcW w:w="11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5.022</w:t>
            </w:r>
          </w:p>
        </w:tc>
        <w:tc>
          <w:tcPr>
            <w:tcW w:w="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BE5F1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104,8</w:t>
            </w:r>
          </w:p>
        </w:tc>
        <w:tc>
          <w:tcPr>
            <w:tcW w:w="1217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5.151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5.372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:rsidR="00D35215" w:rsidRPr="00D35215" w:rsidRDefault="00D35215" w:rsidP="00BD4076">
            <w:pPr>
              <w:spacing w:after="0" w:line="240" w:lineRule="auto"/>
              <w:jc w:val="right"/>
              <w:rPr>
                <w:rFonts w:ascii="Arial" w:hAnsi="Arial" w:cs="Arial"/>
                <w:color w:val="16365C"/>
                <w:sz w:val="18"/>
                <w:szCs w:val="18"/>
              </w:rPr>
            </w:pPr>
            <w:r w:rsidRPr="00D35215">
              <w:rPr>
                <w:rFonts w:ascii="Arial" w:hAnsi="Arial" w:cs="Arial"/>
                <w:color w:val="16365C"/>
                <w:sz w:val="18"/>
                <w:szCs w:val="18"/>
              </w:rPr>
              <w:t>104,3</w:t>
            </w:r>
          </w:p>
        </w:tc>
      </w:tr>
    </w:tbl>
    <w:p w:rsidR="00367E75" w:rsidRPr="00592E7F" w:rsidRDefault="00367E75" w:rsidP="00367E75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</w:t>
      </w:r>
      <w:r w:rsidRPr="00592E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financijskih izvještaja, obrada GFI-a za 201</w:t>
      </w:r>
      <w:r w:rsidR="007A2BB6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7</w:t>
      </w:r>
      <w:r w:rsidRPr="00592E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C864F0" w:rsidRPr="00910E78" w:rsidRDefault="00C864F0" w:rsidP="00910E78">
      <w:pPr>
        <w:widowControl w:val="0"/>
        <w:spacing w:before="180" w:after="0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910E78">
        <w:rPr>
          <w:rFonts w:ascii="Arial" w:eastAsia="Arial Unicode MS" w:hAnsi="Arial" w:cs="Arial"/>
          <w:color w:val="17365D"/>
          <w:sz w:val="20"/>
          <w:szCs w:val="20"/>
        </w:rPr>
        <w:t>Ukupan prihod iznosio je 10,5 milijardi kuna, što je povećanje od 9,2</w:t>
      </w:r>
      <w:r w:rsidR="00E663E4" w:rsidRPr="00910E78"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910E78">
        <w:rPr>
          <w:rFonts w:ascii="Arial" w:eastAsia="Arial Unicode MS" w:hAnsi="Arial" w:cs="Arial"/>
          <w:color w:val="17365D"/>
          <w:sz w:val="20"/>
          <w:szCs w:val="20"/>
        </w:rPr>
        <w:t xml:space="preserve">% u odnosu na  2016. godinu. </w:t>
      </w:r>
      <w:r w:rsidR="006602BF" w:rsidRPr="00910E78">
        <w:rPr>
          <w:rFonts w:ascii="Arial" w:eastAsia="Arial Unicode MS" w:hAnsi="Arial" w:cs="Arial"/>
          <w:color w:val="17365D"/>
          <w:sz w:val="20"/>
          <w:szCs w:val="20"/>
        </w:rPr>
        <w:t xml:space="preserve">Prema podacima iz financijskih izvještaja za 2017. godinu, poduzetnici otočnih područja iskazali su pozitivan konsolidirani financijski rezultat u iznosu od 191,7 milijuna kuna, što je </w:t>
      </w:r>
      <w:r w:rsidR="00CD4EF3" w:rsidRPr="00910E78">
        <w:rPr>
          <w:rFonts w:ascii="Arial" w:eastAsia="Arial Unicode MS" w:hAnsi="Arial" w:cs="Arial"/>
          <w:color w:val="17365D"/>
          <w:sz w:val="20"/>
          <w:szCs w:val="20"/>
        </w:rPr>
        <w:t xml:space="preserve">u odnosu na 2016. godinu </w:t>
      </w:r>
      <w:r w:rsidR="006602BF" w:rsidRPr="00910E78">
        <w:rPr>
          <w:rFonts w:ascii="Arial" w:eastAsia="Arial Unicode MS" w:hAnsi="Arial" w:cs="Arial"/>
          <w:color w:val="17365D"/>
          <w:sz w:val="20"/>
          <w:szCs w:val="20"/>
        </w:rPr>
        <w:t xml:space="preserve">manje za 39,3 %. </w:t>
      </w:r>
      <w:r w:rsidR="00910E78" w:rsidRPr="00910E78">
        <w:rPr>
          <w:rFonts w:ascii="Arial" w:hAnsi="Arial" w:cs="Arial"/>
          <w:color w:val="00204F"/>
          <w:sz w:val="20"/>
          <w:szCs w:val="20"/>
        </w:rPr>
        <w:t xml:space="preserve">Najveći doprinos rezultatu dali su poduzetnici sa sjedištem u gradu Krku, s 1,3 milijarde kuna (12,4 % </w:t>
      </w:r>
      <w:r w:rsidR="00910E78" w:rsidRPr="00910E78">
        <w:rPr>
          <w:rFonts w:ascii="Arial" w:hAnsi="Arial" w:cs="Arial"/>
          <w:color w:val="00204F"/>
          <w:sz w:val="20"/>
          <w:szCs w:val="20"/>
        </w:rPr>
        <w:lastRenderedPageBreak/>
        <w:t xml:space="preserve">udjela u ukupnim prihodima otočnih područja), a među njima najveći prihod ostvarilo je društvo </w:t>
      </w:r>
      <w:hyperlink r:id="rId10" w:history="1">
        <w:r w:rsidR="00910E78" w:rsidRPr="00910E78">
          <w:rPr>
            <w:rStyle w:val="Hiperveza"/>
            <w:rFonts w:ascii="Arial" w:hAnsi="Arial" w:cs="Arial"/>
            <w:sz w:val="20"/>
            <w:szCs w:val="20"/>
          </w:rPr>
          <w:t>GP KRK d.d</w:t>
        </w:r>
      </w:hyperlink>
      <w:r w:rsidR="00910E78" w:rsidRPr="00910E78">
        <w:rPr>
          <w:rFonts w:ascii="Arial" w:hAnsi="Arial" w:cs="Arial"/>
          <w:color w:val="00204F"/>
          <w:sz w:val="20"/>
          <w:szCs w:val="20"/>
        </w:rPr>
        <w:t xml:space="preserve">. i </w:t>
      </w:r>
      <w:hyperlink r:id="rId11" w:history="1">
        <w:r w:rsidR="00910E78" w:rsidRPr="00910E78">
          <w:rPr>
            <w:rStyle w:val="Hiperveza"/>
            <w:rFonts w:ascii="Arial" w:hAnsi="Arial" w:cs="Arial"/>
            <w:sz w:val="20"/>
            <w:szCs w:val="20"/>
          </w:rPr>
          <w:t>TRGOVINA KRK d.d</w:t>
        </w:r>
      </w:hyperlink>
      <w:r w:rsidR="00910E78" w:rsidRPr="00910E78">
        <w:rPr>
          <w:rFonts w:ascii="Arial" w:hAnsi="Arial" w:cs="Arial"/>
          <w:color w:val="00204F"/>
          <w:sz w:val="20"/>
          <w:szCs w:val="20"/>
        </w:rPr>
        <w:t>. Iza poduzetnika u Krku slijede</w:t>
      </w:r>
      <w:r w:rsidR="00910E78" w:rsidRPr="00910E78">
        <w:rPr>
          <w:rFonts w:ascii="Arial" w:hAnsi="Arial" w:cs="Arial"/>
          <w:color w:val="00204F"/>
          <w:sz w:val="20"/>
          <w:szCs w:val="20"/>
        </w:rPr>
        <w:t xml:space="preserve"> </w:t>
      </w:r>
      <w:r w:rsidR="00910E78" w:rsidRPr="00910E78">
        <w:rPr>
          <w:rFonts w:ascii="Arial" w:hAnsi="Arial" w:cs="Arial"/>
          <w:color w:val="00204F"/>
          <w:sz w:val="20"/>
          <w:szCs w:val="20"/>
        </w:rPr>
        <w:t>poduzetnici u gradovima Mali Lošinj (10,2 %) i Cres (6,4 %)</w:t>
      </w:r>
      <w:r w:rsidR="00910E78">
        <w:rPr>
          <w:rFonts w:ascii="Arial" w:hAnsi="Arial" w:cs="Arial"/>
          <w:color w:val="00204F"/>
          <w:sz w:val="20"/>
          <w:szCs w:val="20"/>
        </w:rPr>
        <w:t>,</w:t>
      </w:r>
      <w:r w:rsidR="00910E78" w:rsidRPr="00910E78">
        <w:rPr>
          <w:rFonts w:ascii="Arial" w:hAnsi="Arial" w:cs="Arial"/>
          <w:color w:val="00204F"/>
          <w:sz w:val="20"/>
          <w:szCs w:val="20"/>
        </w:rPr>
        <w:t xml:space="preserve"> među kojima su najveći </w:t>
      </w:r>
      <w:r w:rsidR="00910E78" w:rsidRPr="00D26E27">
        <w:rPr>
          <w:rFonts w:ascii="Arial" w:hAnsi="Arial" w:cs="Arial"/>
          <w:color w:val="00204F"/>
          <w:sz w:val="20"/>
          <w:szCs w:val="20"/>
        </w:rPr>
        <w:t>prihod ostvarili</w:t>
      </w:r>
      <w:r w:rsidR="00910E78" w:rsidRPr="00910E78">
        <w:rPr>
          <w:rFonts w:ascii="Arial" w:hAnsi="Arial" w:cs="Arial"/>
          <w:color w:val="00204F"/>
          <w:sz w:val="20"/>
          <w:szCs w:val="20"/>
        </w:rPr>
        <w:t xml:space="preserve"> </w:t>
      </w:r>
      <w:hyperlink r:id="rId12" w:history="1">
        <w:r w:rsidR="00910E78" w:rsidRPr="00910E78">
          <w:rPr>
            <w:rStyle w:val="Hiperveza"/>
            <w:rFonts w:ascii="Arial" w:hAnsi="Arial" w:cs="Arial"/>
            <w:sz w:val="20"/>
            <w:szCs w:val="20"/>
          </w:rPr>
          <w:t>JADRANKA HOTELI d.o.o</w:t>
        </w:r>
      </w:hyperlink>
      <w:r w:rsidR="00910E78" w:rsidRPr="00910E78">
        <w:rPr>
          <w:rFonts w:ascii="Arial" w:hAnsi="Arial" w:cs="Arial"/>
          <w:color w:val="00204F"/>
          <w:sz w:val="20"/>
          <w:szCs w:val="20"/>
        </w:rPr>
        <w:t xml:space="preserve">. i  </w:t>
      </w:r>
      <w:hyperlink r:id="rId13" w:history="1">
        <w:r w:rsidR="00910E78" w:rsidRPr="00910E78">
          <w:rPr>
            <w:rFonts w:ascii="Arial" w:hAnsi="Arial" w:cs="Arial"/>
            <w:color w:val="0000FF"/>
            <w:sz w:val="20"/>
            <w:szCs w:val="20"/>
            <w:u w:val="single"/>
          </w:rPr>
          <w:t>AUTOTRANS d.o.o.</w:t>
        </w:r>
      </w:hyperlink>
    </w:p>
    <w:p w:rsidR="00305DAC" w:rsidRDefault="00305DAC" w:rsidP="00E90D38">
      <w:pPr>
        <w:widowControl w:val="0"/>
        <w:tabs>
          <w:tab w:val="left" w:pos="1134"/>
        </w:tabs>
        <w:spacing w:before="120" w:after="0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C864F0">
        <w:rPr>
          <w:rFonts w:ascii="Arial" w:eastAsia="Arial Unicode MS" w:hAnsi="Arial" w:cs="Arial"/>
          <w:color w:val="17365D"/>
          <w:sz w:val="20"/>
          <w:szCs w:val="20"/>
        </w:rPr>
        <w:t>U odnosu na prethodnu godinu, prihod</w:t>
      </w:r>
      <w:r w:rsidR="00CD4EF3">
        <w:rPr>
          <w:rFonts w:ascii="Arial" w:eastAsia="Arial Unicode MS" w:hAnsi="Arial" w:cs="Arial"/>
          <w:color w:val="17365D"/>
          <w:sz w:val="20"/>
          <w:szCs w:val="20"/>
        </w:rPr>
        <w:t>i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 xml:space="preserve"> od izvoza </w:t>
      </w:r>
      <w:r w:rsidR="00831AD0">
        <w:rPr>
          <w:rFonts w:ascii="Arial" w:eastAsia="Arial Unicode MS" w:hAnsi="Arial" w:cs="Arial"/>
          <w:color w:val="17365D"/>
          <w:sz w:val="20"/>
          <w:szCs w:val="20"/>
        </w:rPr>
        <w:t xml:space="preserve">manji su 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>za 3,0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 xml:space="preserve">%, </w:t>
      </w:r>
      <w:r w:rsidR="00CD4EF3">
        <w:rPr>
          <w:rFonts w:ascii="Arial" w:eastAsia="Arial Unicode MS" w:hAnsi="Arial" w:cs="Arial"/>
          <w:color w:val="17365D"/>
          <w:sz w:val="20"/>
          <w:szCs w:val="20"/>
        </w:rPr>
        <w:t xml:space="preserve">a 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>uvoz</w:t>
      </w:r>
      <w:r w:rsidR="00831AD0">
        <w:rPr>
          <w:rFonts w:ascii="Arial" w:eastAsia="Arial Unicode MS" w:hAnsi="Arial" w:cs="Arial"/>
          <w:color w:val="17365D"/>
          <w:sz w:val="20"/>
          <w:szCs w:val="20"/>
        </w:rPr>
        <w:t xml:space="preserve"> je veći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 xml:space="preserve"> za 3,3</w:t>
      </w:r>
      <w:r w:rsidR="00831AD0"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>%</w:t>
      </w:r>
      <w:r w:rsidR="00CD4EF3">
        <w:rPr>
          <w:rFonts w:ascii="Arial" w:eastAsia="Arial Unicode MS" w:hAnsi="Arial" w:cs="Arial"/>
          <w:color w:val="17365D"/>
          <w:sz w:val="20"/>
          <w:szCs w:val="20"/>
        </w:rPr>
        <w:t xml:space="preserve"> te je 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>trgovinski saldo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iznos</w:t>
      </w:r>
      <w:r w:rsidR="00831AD0">
        <w:rPr>
          <w:rFonts w:ascii="Arial" w:eastAsia="Arial Unicode MS" w:hAnsi="Arial" w:cs="Arial"/>
          <w:color w:val="17365D"/>
          <w:sz w:val="20"/>
          <w:szCs w:val="20"/>
        </w:rPr>
        <w:t>i</w:t>
      </w:r>
      <w:r w:rsidR="00CD4EF3">
        <w:rPr>
          <w:rFonts w:ascii="Arial" w:eastAsia="Arial Unicode MS" w:hAnsi="Arial" w:cs="Arial"/>
          <w:color w:val="17365D"/>
          <w:sz w:val="20"/>
          <w:szCs w:val="20"/>
        </w:rPr>
        <w:t>o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 xml:space="preserve"> 1,1 milijard</w:t>
      </w:r>
      <w:r w:rsidR="00831AD0">
        <w:rPr>
          <w:rFonts w:ascii="Arial" w:eastAsia="Arial Unicode MS" w:hAnsi="Arial" w:cs="Arial"/>
          <w:color w:val="17365D"/>
          <w:sz w:val="20"/>
          <w:szCs w:val="20"/>
        </w:rPr>
        <w:t>u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 xml:space="preserve"> kuna</w:t>
      </w:r>
      <w:r w:rsidR="00ED70AB">
        <w:rPr>
          <w:rFonts w:ascii="Arial" w:eastAsia="Arial Unicode MS" w:hAnsi="Arial" w:cs="Arial"/>
          <w:color w:val="17365D"/>
          <w:sz w:val="20"/>
          <w:szCs w:val="20"/>
        </w:rPr>
        <w:t>, što je za 5,4 % manje u odnosu na 2016. godinu.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 xml:space="preserve"> Bruto investicije samo u novu dugotrajnu imovinu </w:t>
      </w:r>
      <w:r w:rsidR="00831AD0">
        <w:rPr>
          <w:rFonts w:ascii="Arial" w:eastAsia="Arial Unicode MS" w:hAnsi="Arial" w:cs="Arial"/>
          <w:color w:val="17365D"/>
          <w:sz w:val="20"/>
          <w:szCs w:val="20"/>
        </w:rPr>
        <w:t>iznosile su nešto manje od 602 milijuna kuna</w:t>
      </w:r>
      <w:r w:rsidR="00ED70AB" w:rsidRPr="00ED70AB">
        <w:t xml:space="preserve"> </w:t>
      </w:r>
      <w:r w:rsidR="00ED70AB">
        <w:t>i m</w:t>
      </w:r>
      <w:r w:rsidR="00ED70AB" w:rsidRPr="00ED70AB">
        <w:rPr>
          <w:rFonts w:ascii="Arial" w:eastAsia="Arial Unicode MS" w:hAnsi="Arial" w:cs="Arial"/>
          <w:color w:val="17365D"/>
          <w:sz w:val="20"/>
          <w:szCs w:val="20"/>
        </w:rPr>
        <w:t>anje su za 17,6 % u odnosu na 2016. godinu</w:t>
      </w:r>
      <w:r w:rsidRPr="00C864F0">
        <w:rPr>
          <w:rFonts w:ascii="Arial" w:eastAsia="Arial Unicode MS" w:hAnsi="Arial" w:cs="Arial"/>
          <w:color w:val="17365D"/>
          <w:sz w:val="20"/>
          <w:szCs w:val="20"/>
        </w:rPr>
        <w:t>.</w:t>
      </w:r>
    </w:p>
    <w:p w:rsidR="00831AD0" w:rsidRPr="00C864F0" w:rsidRDefault="00831AD0" w:rsidP="006602BF">
      <w:pPr>
        <w:widowControl w:val="0"/>
        <w:tabs>
          <w:tab w:val="left" w:pos="1134"/>
        </w:tabs>
        <w:spacing w:before="120" w:after="0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7A2BB6">
        <w:rPr>
          <w:rFonts w:ascii="Arial" w:eastAsia="Arial Unicode MS" w:hAnsi="Arial" w:cs="Arial"/>
          <w:color w:val="17365D"/>
          <w:sz w:val="20"/>
          <w:szCs w:val="20"/>
        </w:rPr>
        <w:t>Poduzetnici otočnih područja u ukupnom broju poduzetnika Hrvatske sudjeluju s udjelom od 3,6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%, u broju zaposlenih s 4,8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%, u ukupnim prihodima 9,2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%, u ukupnim rashodima ud</w:t>
      </w:r>
      <w:r>
        <w:rPr>
          <w:rFonts w:ascii="Arial" w:eastAsia="Arial Unicode MS" w:hAnsi="Arial" w:cs="Arial"/>
          <w:color w:val="17365D"/>
          <w:sz w:val="20"/>
          <w:szCs w:val="20"/>
        </w:rPr>
        <w:t>io je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 xml:space="preserve"> 10,9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 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%</w:t>
      </w:r>
      <w:r w:rsidR="006602BF">
        <w:rPr>
          <w:rFonts w:ascii="Arial" w:eastAsia="Arial Unicode MS" w:hAnsi="Arial" w:cs="Arial"/>
          <w:color w:val="17365D"/>
          <w:sz w:val="20"/>
          <w:szCs w:val="20"/>
        </w:rPr>
        <w:t>, dok je njihov udio u neto dobiti neznatan (0,87 %)</w:t>
      </w:r>
      <w:r w:rsidRPr="007A2BB6">
        <w:rPr>
          <w:rFonts w:ascii="Arial" w:eastAsia="Arial Unicode MS" w:hAnsi="Arial" w:cs="Arial"/>
          <w:color w:val="17365D"/>
          <w:sz w:val="20"/>
          <w:szCs w:val="20"/>
        </w:rPr>
        <w:t>.</w:t>
      </w:r>
    </w:p>
    <w:p w:rsidR="00C864F0" w:rsidRPr="00513A9F" w:rsidRDefault="00C864F0" w:rsidP="006602BF">
      <w:pPr>
        <w:widowControl w:val="0"/>
        <w:spacing w:before="120" w:after="0"/>
        <w:jc w:val="both"/>
        <w:rPr>
          <w:rFonts w:ascii="Arial" w:eastAsia="Arial Unicode MS" w:hAnsi="Arial" w:cs="Arial"/>
          <w:color w:val="244061" w:themeColor="accent1" w:themeShade="80"/>
          <w:sz w:val="20"/>
          <w:szCs w:val="20"/>
        </w:rPr>
      </w:pP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Prosječna mjesečna neto plaća obračunata kod poduzetnika otočn</w:t>
      </w:r>
      <w:bookmarkStart w:id="1" w:name="_GoBack"/>
      <w:bookmarkEnd w:id="1"/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ih općina i gradova u 2017. godini iznosila je 5.022 kuna,  4,8</w:t>
      </w:r>
      <w:r w:rsidR="00E80FA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% više u odnosu na 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2016.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godinu te 6,5</w:t>
      </w:r>
      <w:r w:rsidR="00E663E4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% manje od iznosa prosječne mjesečne neto plaće zaposlenih kod poduzetnika na razini RH (5.372 kuna). Najveća prosječna mjesečna neto plaća obračunata je kod poduzetnika u Trpnj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(6.940 kune), Sutivan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(6.694 kune), Punat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(6.261 kunu), Hvar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(6.155 kuna) 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i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Vis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u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(5.682 kune). Ukoliko se promatraju prosječne mjesečne neto plaće na razini otoka/poluotoka, najvišu plaću isplatili su poduzetnici otoka Cresa, u iznosu od 5.500 kuna, dok se poduzetnici otoka Korčule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,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s 4.774 kun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e, 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na 10.</w:t>
      </w:r>
      <w:r w:rsidR="006602BF"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>-om</w:t>
      </w:r>
      <w:r w:rsidRPr="00513A9F">
        <w:rPr>
          <w:rFonts w:ascii="Arial" w:eastAsia="Arial Unicode MS" w:hAnsi="Arial" w:cs="Arial"/>
          <w:color w:val="244061" w:themeColor="accent1" w:themeShade="80"/>
          <w:sz w:val="20"/>
          <w:szCs w:val="20"/>
        </w:rPr>
        <w:t xml:space="preserve"> mjestu po visini plaće (grafikon 1.).</w:t>
      </w:r>
    </w:p>
    <w:p w:rsidR="00367E75" w:rsidRPr="00367E75" w:rsidRDefault="00367E75" w:rsidP="004875D6">
      <w:pPr>
        <w:tabs>
          <w:tab w:val="left" w:pos="1134"/>
          <w:tab w:val="left" w:pos="8364"/>
        </w:tabs>
        <w:spacing w:before="180" w:after="40" w:line="240" w:lineRule="auto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Prosječna mjesečna neto plaća po zaposlenom u 201</w:t>
      </w:r>
      <w:r w:rsidR="00C864F0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7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 g. na razini otoka/poluotoka</w:t>
      </w:r>
      <w:r w:rsidRPr="00367E7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</w:t>
      </w:r>
      <w:r w:rsidR="004875D6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Pr="00367E75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k</w:t>
      </w:r>
      <w:r w:rsidR="008E03E9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unama</w:t>
      </w:r>
      <w:r w:rsidRPr="00367E75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)</w:t>
      </w:r>
    </w:p>
    <w:p w:rsidR="00367E75" w:rsidRPr="00367E75" w:rsidRDefault="00C864F0" w:rsidP="00BD4076">
      <w:pPr>
        <w:tabs>
          <w:tab w:val="left" w:pos="1134"/>
        </w:tabs>
        <w:spacing w:after="0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64EF589E">
            <wp:extent cx="6010910" cy="2048510"/>
            <wp:effectExtent l="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E75" w:rsidRPr="00367E75" w:rsidRDefault="00367E75" w:rsidP="00910E78">
      <w:pPr>
        <w:spacing w:before="40" w:after="0" w:line="240" w:lineRule="auto"/>
        <w:ind w:left="992" w:hanging="992"/>
        <w:jc w:val="both"/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367E75"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  <w:t xml:space="preserve"> </w:t>
      </w:r>
    </w:p>
    <w:p w:rsidR="00305DAC" w:rsidRPr="0048149A" w:rsidRDefault="00305DAC" w:rsidP="006602BF">
      <w:pPr>
        <w:widowControl w:val="0"/>
        <w:spacing w:before="180" w:after="0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Prema produktivnosti rada (ukupni prihod po zaposlenom), na prvom su mjestu poduzetnici </w:t>
      </w:r>
      <w:r w:rsidR="008E03E9">
        <w:rPr>
          <w:rFonts w:ascii="Arial" w:eastAsia="Arial Unicode MS" w:hAnsi="Arial" w:cs="Arial"/>
          <w:color w:val="17365D"/>
          <w:sz w:val="20"/>
          <w:szCs w:val="20"/>
        </w:rPr>
        <w:t xml:space="preserve">sa sjedištem u gradovima i općinama na 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>otok</w:t>
      </w:r>
      <w:r w:rsidR="008E03E9">
        <w:rPr>
          <w:rFonts w:ascii="Arial" w:eastAsia="Arial Unicode MS" w:hAnsi="Arial" w:cs="Arial"/>
          <w:color w:val="17365D"/>
          <w:sz w:val="20"/>
          <w:szCs w:val="20"/>
        </w:rPr>
        <w:t>u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 Krk</w:t>
      </w:r>
      <w:r w:rsidR="008E03E9">
        <w:rPr>
          <w:rFonts w:ascii="Arial" w:eastAsia="Arial Unicode MS" w:hAnsi="Arial" w:cs="Arial"/>
          <w:color w:val="17365D"/>
          <w:sz w:val="20"/>
          <w:szCs w:val="20"/>
        </w:rPr>
        <w:t>u</w:t>
      </w:r>
      <w:r>
        <w:rPr>
          <w:rFonts w:ascii="Arial" w:eastAsia="Arial Unicode MS" w:hAnsi="Arial" w:cs="Arial"/>
          <w:color w:val="17365D"/>
          <w:sz w:val="20"/>
          <w:szCs w:val="20"/>
        </w:rPr>
        <w:t>,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 s ukupnim prihodom po zaposlenom od 606,8 tisuća kuna, a najviše zahvaljujući prihodu po zaposlenom kod poduzetnika </w:t>
      </w:r>
      <w:r>
        <w:rPr>
          <w:rFonts w:ascii="Arial" w:eastAsia="Arial Unicode MS" w:hAnsi="Arial" w:cs="Arial"/>
          <w:color w:val="17365D"/>
          <w:sz w:val="20"/>
          <w:szCs w:val="20"/>
        </w:rPr>
        <w:t xml:space="preserve">sa sjedištem 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u </w:t>
      </w:r>
      <w:r w:rsidR="008E03E9">
        <w:rPr>
          <w:rFonts w:ascii="Arial" w:eastAsia="Arial Unicode MS" w:hAnsi="Arial" w:cs="Arial"/>
          <w:color w:val="17365D"/>
          <w:sz w:val="20"/>
          <w:szCs w:val="20"/>
        </w:rPr>
        <w:t xml:space="preserve">gradu 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>Krk</w:t>
      </w:r>
      <w:r>
        <w:rPr>
          <w:rFonts w:ascii="Arial" w:eastAsia="Arial Unicode MS" w:hAnsi="Arial" w:cs="Arial"/>
          <w:color w:val="17365D"/>
          <w:sz w:val="20"/>
          <w:szCs w:val="20"/>
        </w:rPr>
        <w:t>u,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 koji iznosi 698,9 tisuć</w:t>
      </w:r>
      <w:r w:rsidR="008E03E9">
        <w:rPr>
          <w:rFonts w:ascii="Arial" w:eastAsia="Arial Unicode MS" w:hAnsi="Arial" w:cs="Arial"/>
          <w:color w:val="17365D"/>
          <w:sz w:val="20"/>
          <w:szCs w:val="20"/>
        </w:rPr>
        <w:t>a</w:t>
      </w:r>
      <w:r w:rsidRPr="0048149A">
        <w:rPr>
          <w:rFonts w:ascii="Arial" w:eastAsia="Arial Unicode MS" w:hAnsi="Arial" w:cs="Arial"/>
          <w:color w:val="17365D"/>
          <w:sz w:val="20"/>
          <w:szCs w:val="20"/>
        </w:rPr>
        <w:t xml:space="preserve"> kuna.</w:t>
      </w:r>
    </w:p>
    <w:p w:rsidR="00305DAC" w:rsidRPr="00367E75" w:rsidRDefault="00305DAC" w:rsidP="008E03E9">
      <w:pPr>
        <w:widowControl w:val="0"/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Grafikon </w:t>
      </w:r>
      <w:r w:rsidR="00BD5AEC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2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. 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Prihod po zaposlenom u 201</w:t>
      </w:r>
      <w:r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7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 godini na razini otočnih gradova/općina</w:t>
      </w:r>
      <w:r w:rsidRPr="00592E7F">
        <w:rPr>
          <w:rFonts w:ascii="Arial" w:eastAsia="Times New Roman" w:hAnsi="Arial" w:cs="Arial"/>
          <w:color w:val="17365D"/>
          <w:sz w:val="18"/>
          <w:szCs w:val="18"/>
          <w:lang w:eastAsia="hr-HR"/>
        </w:rPr>
        <w:t xml:space="preserve">  </w:t>
      </w:r>
      <w:r w:rsidRPr="00592E7F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kuna)</w:t>
      </w:r>
    </w:p>
    <w:p w:rsidR="00305DAC" w:rsidRPr="00367E75" w:rsidRDefault="001E7635" w:rsidP="008F4906">
      <w:pPr>
        <w:spacing w:before="60" w:after="0" w:line="288" w:lineRule="auto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5273AF0E">
            <wp:extent cx="5492435" cy="2304000"/>
            <wp:effectExtent l="0" t="0" r="0" b="127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435" cy="23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5DAC" w:rsidRDefault="00305DAC" w:rsidP="00910E78">
      <w:pPr>
        <w:spacing w:after="60" w:line="240" w:lineRule="auto"/>
        <w:ind w:left="992" w:hanging="992"/>
        <w:jc w:val="both"/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367E75"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  <w:t xml:space="preserve"> </w:t>
      </w:r>
    </w:p>
    <w:p w:rsidR="004875D6" w:rsidRPr="004875D6" w:rsidRDefault="004875D6" w:rsidP="008F4906">
      <w:pPr>
        <w:pBdr>
          <w:top w:val="single" w:sz="12" w:space="1" w:color="auto"/>
        </w:pBdr>
        <w:spacing w:after="0" w:line="240" w:lineRule="auto"/>
        <w:ind w:left="992" w:hanging="992"/>
        <w:jc w:val="both"/>
        <w:rPr>
          <w:rFonts w:ascii="Arial" w:eastAsia="Times New Roman" w:hAnsi="Arial" w:cs="Arial"/>
          <w:color w:val="17365D"/>
          <w:sz w:val="6"/>
          <w:szCs w:val="6"/>
          <w:lang w:eastAsia="hr-HR"/>
        </w:rPr>
      </w:pPr>
    </w:p>
    <w:p w:rsidR="008F4906" w:rsidRPr="008F4906" w:rsidRDefault="008F4906" w:rsidP="004875D6">
      <w:pPr>
        <w:pBdr>
          <w:top w:val="single" w:sz="12" w:space="1" w:color="auto"/>
        </w:pBdr>
        <w:spacing w:after="0" w:line="240" w:lineRule="auto"/>
        <w:ind w:left="992" w:hanging="992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8F4906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Više informacija dostupno u Analizi financijskih rezultata poslovanja poduzetnika po svim gradovima i općinama RH.</w:t>
      </w:r>
    </w:p>
    <w:p w:rsidR="0022365C" w:rsidRDefault="008F4906" w:rsidP="00E90D38">
      <w:pPr>
        <w:pBdr>
          <w:top w:val="single" w:sz="12" w:space="1" w:color="auto"/>
        </w:pBdr>
        <w:spacing w:after="0" w:line="240" w:lineRule="auto"/>
        <w:ind w:left="992" w:hanging="992"/>
        <w:jc w:val="both"/>
        <w:rPr>
          <w:rFonts w:ascii="Arial" w:eastAsia="Arial Unicode MS" w:hAnsi="Arial" w:cs="Arial"/>
          <w:color w:val="17365D"/>
          <w:sz w:val="20"/>
          <w:szCs w:val="20"/>
        </w:rPr>
      </w:pPr>
      <w:r w:rsidRPr="008F4906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 xml:space="preserve">Kontakt i narudžbe: </w:t>
      </w:r>
      <w:hyperlink r:id="rId16" w:history="1">
        <w:r w:rsidRPr="008F4906">
          <w:rPr>
            <w:rStyle w:val="Hiperveza"/>
            <w:rFonts w:ascii="Arial" w:eastAsia="Times New Roman" w:hAnsi="Arial" w:cs="Arial"/>
            <w:i/>
            <w:sz w:val="16"/>
            <w:szCs w:val="16"/>
            <w:lang w:eastAsia="hr-HR"/>
          </w:rPr>
          <w:t>analize@fina.hr</w:t>
        </w:r>
      </w:hyperlink>
      <w:r w:rsidRPr="008F4906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 xml:space="preserve"> </w:t>
      </w:r>
    </w:p>
    <w:sectPr w:rsidR="0022365C" w:rsidSect="008F4906">
      <w:headerReference w:type="first" r:id="rId17"/>
      <w:type w:val="continuous"/>
      <w:pgSz w:w="11906" w:h="16838" w:code="9"/>
      <w:pgMar w:top="1021" w:right="1021" w:bottom="1021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8A" w:rsidRDefault="00A9418A" w:rsidP="00367E75">
      <w:pPr>
        <w:spacing w:after="0" w:line="240" w:lineRule="auto"/>
      </w:pPr>
      <w:r>
        <w:separator/>
      </w:r>
    </w:p>
  </w:endnote>
  <w:endnote w:type="continuationSeparator" w:id="0">
    <w:p w:rsidR="00A9418A" w:rsidRDefault="00A9418A" w:rsidP="0036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8A" w:rsidRDefault="00A9418A" w:rsidP="00367E75">
      <w:pPr>
        <w:spacing w:after="0" w:line="240" w:lineRule="auto"/>
      </w:pPr>
      <w:r>
        <w:separator/>
      </w:r>
    </w:p>
  </w:footnote>
  <w:footnote w:type="continuationSeparator" w:id="0">
    <w:p w:rsidR="00A9418A" w:rsidRDefault="00A9418A" w:rsidP="00367E75">
      <w:pPr>
        <w:spacing w:after="0" w:line="240" w:lineRule="auto"/>
      </w:pPr>
      <w:r>
        <w:continuationSeparator/>
      </w:r>
    </w:p>
  </w:footnote>
  <w:footnote w:id="1">
    <w:p w:rsidR="005C13EF" w:rsidRPr="008F4906" w:rsidRDefault="005C13EF" w:rsidP="008F4906">
      <w:pPr>
        <w:pStyle w:val="Tekstfusnote"/>
        <w:rPr>
          <w:rFonts w:ascii="Arial" w:hAnsi="Arial" w:cs="Arial"/>
          <w:color w:val="0F243E" w:themeColor="text2" w:themeShade="80"/>
          <w:sz w:val="16"/>
          <w:szCs w:val="16"/>
        </w:rPr>
      </w:pPr>
      <w:r w:rsidRPr="008F4906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8F4906">
        <w:rPr>
          <w:rFonts w:ascii="Arial" w:hAnsi="Arial" w:cs="Arial"/>
          <w:color w:val="0F243E" w:themeColor="text2" w:themeShade="80"/>
          <w:sz w:val="16"/>
          <w:szCs w:val="16"/>
        </w:rPr>
        <w:t xml:space="preserve"> Izvor: Hrvatski hidrografski institut, listopad 2013. godine.</w:t>
      </w:r>
    </w:p>
  </w:footnote>
  <w:footnote w:id="2">
    <w:p w:rsidR="002E26CF" w:rsidRPr="008F4906" w:rsidRDefault="002E26CF" w:rsidP="00CD4EF3">
      <w:pPr>
        <w:pStyle w:val="Tekstfusnote"/>
        <w:spacing w:before="20"/>
        <w:rPr>
          <w:rFonts w:ascii="Arial" w:hAnsi="Arial" w:cs="Arial"/>
          <w:sz w:val="16"/>
          <w:szCs w:val="16"/>
        </w:rPr>
      </w:pPr>
      <w:r w:rsidRPr="008F4906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8F4906">
        <w:rPr>
          <w:rFonts w:ascii="Arial" w:hAnsi="Arial" w:cs="Arial"/>
          <w:color w:val="0F243E" w:themeColor="text2" w:themeShade="80"/>
          <w:sz w:val="16"/>
          <w:szCs w:val="16"/>
        </w:rPr>
        <w:t xml:space="preserve"> Procjena broja stanovništva Republike Hrvatske u 2017. godini je 4 124 531 što je za 49 818 osoba ili 1,2</w:t>
      </w:r>
      <w:r w:rsidR="00902F22">
        <w:rPr>
          <w:rFonts w:ascii="Arial" w:hAnsi="Arial" w:cs="Arial"/>
          <w:color w:val="0F243E" w:themeColor="text2" w:themeShade="80"/>
          <w:sz w:val="16"/>
          <w:szCs w:val="16"/>
        </w:rPr>
        <w:t xml:space="preserve"> </w:t>
      </w:r>
      <w:r w:rsidRPr="008F4906">
        <w:rPr>
          <w:rFonts w:ascii="Arial" w:hAnsi="Arial" w:cs="Arial"/>
          <w:color w:val="0F243E" w:themeColor="text2" w:themeShade="80"/>
          <w:sz w:val="16"/>
          <w:szCs w:val="16"/>
        </w:rPr>
        <w:t>% manje u odnosu na 2016. godin</w:t>
      </w:r>
      <w:r w:rsidR="00902F22">
        <w:rPr>
          <w:rFonts w:ascii="Arial" w:hAnsi="Arial" w:cs="Arial"/>
          <w:color w:val="0F243E" w:themeColor="text2" w:themeShade="80"/>
          <w:sz w:val="16"/>
          <w:szCs w:val="16"/>
        </w:rPr>
        <w:t>u</w:t>
      </w:r>
      <w:r w:rsidRPr="008F4906">
        <w:rPr>
          <w:rFonts w:ascii="Arial" w:hAnsi="Arial" w:cs="Arial"/>
          <w:color w:val="0F243E" w:themeColor="text2" w:themeShade="80"/>
          <w:sz w:val="16"/>
          <w:szCs w:val="16"/>
        </w:rPr>
        <w:t>. Izvor: Državni zavod za statistiku, 14. rujna 2018. godine</w:t>
      </w:r>
      <w:r w:rsidRPr="008F4906">
        <w:rPr>
          <w:rFonts w:ascii="Arial" w:hAnsi="Arial" w:cs="Arial"/>
          <w:color w:val="244061" w:themeColor="accent1" w:themeShade="80"/>
          <w:sz w:val="16"/>
          <w:szCs w:val="16"/>
        </w:rPr>
        <w:t xml:space="preserve">, </w:t>
      </w:r>
      <w:hyperlink r:id="rId1" w:history="1">
        <w:r w:rsidRPr="008F4906">
          <w:rPr>
            <w:rStyle w:val="Hiperveza"/>
            <w:rFonts w:ascii="Arial" w:hAnsi="Arial" w:cs="Arial"/>
            <w:sz w:val="16"/>
            <w:szCs w:val="16"/>
          </w:rPr>
          <w:t>https://www.dzs.hr/Hrv_Eng/publication/2018/07-01-03_01_2018.htm</w:t>
        </w:r>
      </w:hyperlink>
      <w:r w:rsidRPr="008F4906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E90D38" w:rsidRPr="00E90D38" w:rsidRDefault="00E90D38" w:rsidP="00E90D38">
      <w:pPr>
        <w:pStyle w:val="Tekstfusnote"/>
        <w:spacing w:before="2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E90D38">
        <w:rPr>
          <w:rStyle w:val="Referencafusnote"/>
          <w:rFonts w:ascii="Arial" w:hAnsi="Arial" w:cs="Arial"/>
          <w:color w:val="0F243E" w:themeColor="text2" w:themeShade="80"/>
          <w:sz w:val="16"/>
          <w:szCs w:val="16"/>
        </w:rPr>
        <w:footnoteRef/>
      </w:r>
      <w:r w:rsidRPr="00E90D38">
        <w:rPr>
          <w:rFonts w:ascii="Arial" w:hAnsi="Arial" w:cs="Arial"/>
          <w:color w:val="0F243E" w:themeColor="text2" w:themeShade="80"/>
          <w:sz w:val="16"/>
          <w:szCs w:val="16"/>
        </w:rPr>
        <w:t xml:space="preserve"> Zakon o otocima, NN 116/</w:t>
      </w:r>
      <w:r>
        <w:rPr>
          <w:rFonts w:ascii="Arial" w:hAnsi="Arial" w:cs="Arial"/>
          <w:color w:val="0F243E" w:themeColor="text2" w:themeShade="80"/>
          <w:sz w:val="16"/>
          <w:szCs w:val="16"/>
        </w:rPr>
        <w:t>1</w:t>
      </w:r>
      <w:r w:rsidRPr="00E90D38">
        <w:rPr>
          <w:rFonts w:ascii="Arial" w:hAnsi="Arial" w:cs="Arial"/>
          <w:color w:val="0F243E" w:themeColor="text2" w:themeShade="80"/>
          <w:sz w:val="16"/>
          <w:szCs w:val="16"/>
        </w:rPr>
        <w:t>8, na snazi od 1. siječnja 2019. godine</w:t>
      </w:r>
      <w:r w:rsidRPr="00E90D38">
        <w:rPr>
          <w:rFonts w:ascii="Arial" w:hAnsi="Arial" w:cs="Arial"/>
          <w:color w:val="244061" w:themeColor="accent1" w:themeShade="8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EF" w:rsidRDefault="005C13E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412007B9" wp14:editId="04D51DC0">
          <wp:simplePos x="0" y="0"/>
          <wp:positionH relativeFrom="column">
            <wp:posOffset>-42468</wp:posOffset>
          </wp:positionH>
          <wp:positionV relativeFrom="paragraph">
            <wp:posOffset>-92454</wp:posOffset>
          </wp:positionV>
          <wp:extent cx="1085215" cy="215900"/>
          <wp:effectExtent l="0" t="0" r="635" b="0"/>
          <wp:wrapNone/>
          <wp:docPr id="5" name="Picture 5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AFD"/>
    <w:multiLevelType w:val="hybridMultilevel"/>
    <w:tmpl w:val="C7127EFA"/>
    <w:lvl w:ilvl="0" w:tplc="266AF2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5"/>
    <w:rsid w:val="000C442C"/>
    <w:rsid w:val="000E3B06"/>
    <w:rsid w:val="000E41F5"/>
    <w:rsid w:val="000F10C3"/>
    <w:rsid w:val="000F1757"/>
    <w:rsid w:val="00130477"/>
    <w:rsid w:val="00155C4D"/>
    <w:rsid w:val="001C3900"/>
    <w:rsid w:val="001C5AAA"/>
    <w:rsid w:val="001E7635"/>
    <w:rsid w:val="001F20D8"/>
    <w:rsid w:val="001F769E"/>
    <w:rsid w:val="00207396"/>
    <w:rsid w:val="0021263D"/>
    <w:rsid w:val="0022365C"/>
    <w:rsid w:val="002240FB"/>
    <w:rsid w:val="0029126A"/>
    <w:rsid w:val="002E26CF"/>
    <w:rsid w:val="003006D2"/>
    <w:rsid w:val="00305DAC"/>
    <w:rsid w:val="00367E75"/>
    <w:rsid w:val="003B6C2D"/>
    <w:rsid w:val="004425B1"/>
    <w:rsid w:val="00463D25"/>
    <w:rsid w:val="00465C06"/>
    <w:rsid w:val="00470C20"/>
    <w:rsid w:val="00471367"/>
    <w:rsid w:val="0048149A"/>
    <w:rsid w:val="00483A2D"/>
    <w:rsid w:val="004875D6"/>
    <w:rsid w:val="0049325D"/>
    <w:rsid w:val="00495297"/>
    <w:rsid w:val="00503D6F"/>
    <w:rsid w:val="00513A9F"/>
    <w:rsid w:val="005271BF"/>
    <w:rsid w:val="00543CB2"/>
    <w:rsid w:val="00587347"/>
    <w:rsid w:val="00592E7F"/>
    <w:rsid w:val="005C13EF"/>
    <w:rsid w:val="0064566D"/>
    <w:rsid w:val="006602BF"/>
    <w:rsid w:val="006606CE"/>
    <w:rsid w:val="006772D6"/>
    <w:rsid w:val="006A5ED0"/>
    <w:rsid w:val="006D7D6E"/>
    <w:rsid w:val="00705847"/>
    <w:rsid w:val="007A1CB9"/>
    <w:rsid w:val="007A2BB6"/>
    <w:rsid w:val="007A771D"/>
    <w:rsid w:val="007C1540"/>
    <w:rsid w:val="00822886"/>
    <w:rsid w:val="00831AD0"/>
    <w:rsid w:val="00851AE2"/>
    <w:rsid w:val="008A08ED"/>
    <w:rsid w:val="008B3DDE"/>
    <w:rsid w:val="008C1CF9"/>
    <w:rsid w:val="008E03E9"/>
    <w:rsid w:val="008F4906"/>
    <w:rsid w:val="00902F22"/>
    <w:rsid w:val="009072C9"/>
    <w:rsid w:val="00910E78"/>
    <w:rsid w:val="00932BEF"/>
    <w:rsid w:val="0093546F"/>
    <w:rsid w:val="009B20A3"/>
    <w:rsid w:val="009F2128"/>
    <w:rsid w:val="00A2405F"/>
    <w:rsid w:val="00A25981"/>
    <w:rsid w:val="00A54012"/>
    <w:rsid w:val="00A706AA"/>
    <w:rsid w:val="00A9418A"/>
    <w:rsid w:val="00AA611A"/>
    <w:rsid w:val="00AF5E09"/>
    <w:rsid w:val="00B42CDE"/>
    <w:rsid w:val="00B473CB"/>
    <w:rsid w:val="00B7371E"/>
    <w:rsid w:val="00BD4076"/>
    <w:rsid w:val="00BD5AEC"/>
    <w:rsid w:val="00BF5782"/>
    <w:rsid w:val="00C032FB"/>
    <w:rsid w:val="00C362CC"/>
    <w:rsid w:val="00C37E2A"/>
    <w:rsid w:val="00C743A1"/>
    <w:rsid w:val="00C864F0"/>
    <w:rsid w:val="00CD4EF3"/>
    <w:rsid w:val="00CE57DB"/>
    <w:rsid w:val="00CF3969"/>
    <w:rsid w:val="00D26E27"/>
    <w:rsid w:val="00D27686"/>
    <w:rsid w:val="00D35215"/>
    <w:rsid w:val="00D35419"/>
    <w:rsid w:val="00D35BB6"/>
    <w:rsid w:val="00D47143"/>
    <w:rsid w:val="00D85854"/>
    <w:rsid w:val="00DB5805"/>
    <w:rsid w:val="00DB5FC0"/>
    <w:rsid w:val="00E05551"/>
    <w:rsid w:val="00E22BB0"/>
    <w:rsid w:val="00E52D91"/>
    <w:rsid w:val="00E663E4"/>
    <w:rsid w:val="00E70766"/>
    <w:rsid w:val="00E80FAF"/>
    <w:rsid w:val="00E8202D"/>
    <w:rsid w:val="00E90D38"/>
    <w:rsid w:val="00E91AD7"/>
    <w:rsid w:val="00ED70AB"/>
    <w:rsid w:val="00EF183E"/>
    <w:rsid w:val="00EF6BAD"/>
    <w:rsid w:val="00F309AE"/>
    <w:rsid w:val="00F42EDC"/>
    <w:rsid w:val="00F6176E"/>
    <w:rsid w:val="00F66DF1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67E7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67E75"/>
    <w:rPr>
      <w:sz w:val="20"/>
      <w:szCs w:val="20"/>
    </w:rPr>
  </w:style>
  <w:style w:type="character" w:styleId="Referencafusnote">
    <w:name w:val="footnote reference"/>
    <w:uiPriority w:val="99"/>
    <w:semiHidden/>
    <w:rsid w:val="00367E7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E7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5419"/>
  </w:style>
  <w:style w:type="paragraph" w:styleId="Podnoje">
    <w:name w:val="footer"/>
    <w:basedOn w:val="Normal"/>
    <w:link w:val="Podnoje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5419"/>
  </w:style>
  <w:style w:type="character" w:styleId="Hiperveza">
    <w:name w:val="Hyperlink"/>
    <w:basedOn w:val="Zadanifontodlomka"/>
    <w:uiPriority w:val="99"/>
    <w:unhideWhenUsed/>
    <w:rsid w:val="003B6C2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8585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0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67E7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367E75"/>
    <w:rPr>
      <w:sz w:val="20"/>
      <w:szCs w:val="20"/>
    </w:rPr>
  </w:style>
  <w:style w:type="character" w:styleId="Referencafusnote">
    <w:name w:val="footnote reference"/>
    <w:uiPriority w:val="99"/>
    <w:semiHidden/>
    <w:rsid w:val="00367E7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E7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5419"/>
  </w:style>
  <w:style w:type="paragraph" w:styleId="Podnoje">
    <w:name w:val="footer"/>
    <w:basedOn w:val="Normal"/>
    <w:link w:val="Podnoje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5419"/>
  </w:style>
  <w:style w:type="character" w:styleId="Hiperveza">
    <w:name w:val="Hyperlink"/>
    <w:basedOn w:val="Zadanifontodlomka"/>
    <w:uiPriority w:val="99"/>
    <w:unhideWhenUsed/>
    <w:rsid w:val="003B6C2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85854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0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ransparentno.hr/pregled/19819724166/143a79b9e74dcb0b9d56d46c01799c71e5c25d716f2975be7dd4ac17f242d93218ab7055cf7326684fb98e0b5bcba3286deb92407d29fbe8f9041640ca33284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transparentno.hr/pregled/25295166877/9406cf1e705ecf9ead70069bd1fa3dfd138aea8cb01e4fde9b4d704c6558e7e24817494c72c2d839c440fabb225e66eb72f48285132f82f1bdc99f099962bbdb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nalize@fina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ansparentno.hr/pregled/66548420466/d0577a812e22dfa67f7095ec46123349b8e09824147c031c9fd7289c323e69259712a1113302e14ad5d439d6be0675c475fe6853554c4dacc68375871810bcd3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www.transparentno.hr/pregled/05146274847/00a31f85dd068cff42610b990dc69827b8e3c5f31d962f97a9fce2330e67fd77d9f4cb9c6c77312c65d1b56a5ee5a4e479ee1b7672303187d99f68d305fd5875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transparentno.hr/pregled/19819724166/143a79b9e74dcb0b9d56d46c01799c71e5c25d716f2975be7dd4ac17f242d93218ab7055cf7326684fb98e0b5bcba3286deb92407d29fbe8f9041640ca332849" TargetMode="Externa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zs.hr/Hrv_Eng/publication/2018/07-01-03_01_2018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934B-A9BF-4DE7-814E-D501A1FE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2019-01-08T10:44:00Z</dcterms:created>
  <dcterms:modified xsi:type="dcterms:W3CDTF">2019-01-08T10:45:00Z</dcterms:modified>
</cp:coreProperties>
</file>