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27" w:rsidRPr="0095716E" w:rsidRDefault="00C60F43" w:rsidP="002A5DA7">
      <w:pPr>
        <w:spacing w:after="0" w:line="240" w:lineRule="auto"/>
        <w:jc w:val="center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95716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U DJELATNOSTI </w:t>
      </w:r>
      <w:r w:rsidR="009E5EA2" w:rsidRPr="0095716E">
        <w:rPr>
          <w:rFonts w:ascii="Arial" w:hAnsi="Arial" w:cs="Arial"/>
          <w:b/>
          <w:color w:val="17365D" w:themeColor="text2" w:themeShade="BF"/>
          <w:sz w:val="20"/>
          <w:szCs w:val="20"/>
        </w:rPr>
        <w:t>RAČUNALNO</w:t>
      </w:r>
      <w:r w:rsidR="00B44595" w:rsidRPr="0095716E">
        <w:rPr>
          <w:rFonts w:ascii="Arial" w:hAnsi="Arial" w:cs="Arial"/>
          <w:b/>
          <w:color w:val="17365D" w:themeColor="text2" w:themeShade="BF"/>
          <w:sz w:val="20"/>
          <w:szCs w:val="20"/>
        </w:rPr>
        <w:t>G</w:t>
      </w:r>
      <w:r w:rsidR="009E5EA2" w:rsidRPr="0095716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PROGRAMIRANJ</w:t>
      </w:r>
      <w:r w:rsidR="00B44595" w:rsidRPr="0095716E">
        <w:rPr>
          <w:rFonts w:ascii="Arial" w:hAnsi="Arial" w:cs="Arial"/>
          <w:b/>
          <w:color w:val="17365D" w:themeColor="text2" w:themeShade="BF"/>
          <w:sz w:val="20"/>
          <w:szCs w:val="20"/>
        </w:rPr>
        <w:t>A</w:t>
      </w:r>
      <w:r w:rsidR="0037497A" w:rsidRPr="0095716E">
        <w:rPr>
          <w:rFonts w:ascii="Arial" w:hAnsi="Arial" w:cs="Arial"/>
          <w:b/>
          <w:color w:val="17365D" w:themeColor="text2" w:themeShade="BF"/>
          <w:sz w:val="20"/>
          <w:szCs w:val="20"/>
        </w:rPr>
        <w:t>, SAVJETOVANJ</w:t>
      </w:r>
      <w:r w:rsidR="00B44595" w:rsidRPr="0095716E">
        <w:rPr>
          <w:rFonts w:ascii="Arial" w:hAnsi="Arial" w:cs="Arial"/>
          <w:b/>
          <w:color w:val="17365D" w:themeColor="text2" w:themeShade="BF"/>
          <w:sz w:val="20"/>
          <w:szCs w:val="20"/>
        </w:rPr>
        <w:t>A</w:t>
      </w:r>
      <w:r w:rsidR="0037497A" w:rsidRPr="0095716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I DJELATNOSTI POVEZAN</w:t>
      </w:r>
      <w:r w:rsidR="00B44595" w:rsidRPr="0095716E">
        <w:rPr>
          <w:rFonts w:ascii="Arial" w:hAnsi="Arial" w:cs="Arial"/>
          <w:b/>
          <w:color w:val="17365D" w:themeColor="text2" w:themeShade="BF"/>
          <w:sz w:val="20"/>
          <w:szCs w:val="20"/>
        </w:rPr>
        <w:t>IH</w:t>
      </w:r>
      <w:r w:rsidR="0037497A" w:rsidRPr="0095716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S NJIMA</w:t>
      </w:r>
      <w:r w:rsidR="0095716E" w:rsidRPr="0095716E">
        <w:rPr>
          <w:rFonts w:ascii="Arial" w:hAnsi="Arial" w:cs="Arial"/>
          <w:b/>
          <w:color w:val="17365D" w:themeColor="text2" w:themeShade="BF"/>
          <w:sz w:val="20"/>
          <w:szCs w:val="20"/>
        </w:rPr>
        <w:t xml:space="preserve"> POVEĆANJE NETO DOBITI OD 226,6% U ODNOSU NA 2008.</w:t>
      </w:r>
    </w:p>
    <w:p w:rsidR="0036674A" w:rsidRDefault="003C3B09" w:rsidP="002A5DA7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  <w:between w:val="single" w:sz="4" w:space="1" w:color="FFFFFF" w:themeColor="background1"/>
          <w:bar w:val="single" w:sz="4" w:color="FFFFFF" w:themeColor="background1"/>
        </w:pBd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Analiz</w:t>
      </w:r>
      <w:r w:rsidR="00890168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podataka </w:t>
      </w:r>
      <w:r w:rsidRPr="00D3730F">
        <w:rPr>
          <w:rFonts w:ascii="Arial" w:hAnsi="Arial" w:cs="Arial"/>
          <w:color w:val="17365D" w:themeColor="text2" w:themeShade="BF"/>
          <w:sz w:val="20"/>
          <w:szCs w:val="20"/>
        </w:rPr>
        <w:t xml:space="preserve">iz Registra godišnjih financijskih izvještaja </w:t>
      </w:r>
      <w:r w:rsidRPr="0036674A">
        <w:rPr>
          <w:rFonts w:ascii="Arial" w:hAnsi="Arial" w:cs="Arial"/>
          <w:color w:val="17365D" w:themeColor="text2" w:themeShade="BF"/>
          <w:sz w:val="20"/>
          <w:szCs w:val="20"/>
        </w:rPr>
        <w:t>u razdoblju od 2008.-</w:t>
      </w:r>
      <w:r w:rsidR="009D5FAE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36674A">
        <w:rPr>
          <w:rFonts w:ascii="Arial" w:hAnsi="Arial" w:cs="Arial"/>
          <w:color w:val="17365D" w:themeColor="text2" w:themeShade="BF"/>
          <w:sz w:val="20"/>
          <w:szCs w:val="20"/>
        </w:rPr>
        <w:t xml:space="preserve">2017. </w:t>
      </w:r>
      <w:r w:rsidR="00890168"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Pr="0036674A">
        <w:rPr>
          <w:rFonts w:ascii="Arial" w:hAnsi="Arial" w:cs="Arial"/>
          <w:color w:val="17365D" w:themeColor="text2" w:themeShade="BF"/>
          <w:sz w:val="20"/>
          <w:szCs w:val="20"/>
        </w:rPr>
        <w:t>odine</w:t>
      </w:r>
      <w:r w:rsidR="00890168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3C3B09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890168">
        <w:rPr>
          <w:rFonts w:ascii="Arial" w:hAnsi="Arial" w:cs="Arial"/>
          <w:color w:val="17365D" w:themeColor="text2" w:themeShade="BF"/>
          <w:sz w:val="20"/>
          <w:szCs w:val="20"/>
        </w:rPr>
        <w:t xml:space="preserve">za poduzetnike </w:t>
      </w:r>
      <w:r w:rsidRPr="00D3730F">
        <w:rPr>
          <w:rFonts w:ascii="Arial" w:hAnsi="Arial" w:cs="Arial"/>
          <w:color w:val="17365D" w:themeColor="text2" w:themeShade="BF"/>
          <w:sz w:val="20"/>
          <w:szCs w:val="20"/>
        </w:rPr>
        <w:t>u odjeljku djelatnosti 62 - Računalno programiranje, savjetovanje i djelatnosti povezane s njima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D3730F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890168">
        <w:rPr>
          <w:rFonts w:ascii="Arial" w:hAnsi="Arial" w:cs="Arial"/>
          <w:color w:val="17365D" w:themeColor="text2" w:themeShade="BF"/>
          <w:sz w:val="20"/>
          <w:szCs w:val="20"/>
        </w:rPr>
        <w:t xml:space="preserve">pokazala je </w:t>
      </w:r>
      <w:r w:rsidR="00980528">
        <w:rPr>
          <w:rFonts w:ascii="Arial" w:hAnsi="Arial" w:cs="Arial"/>
          <w:color w:val="17365D" w:themeColor="text2" w:themeShade="BF"/>
          <w:sz w:val="20"/>
          <w:szCs w:val="20"/>
        </w:rPr>
        <w:t>u</w:t>
      </w:r>
      <w:r w:rsidR="00CC53A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2017. godini</w:t>
      </w:r>
      <w:r w:rsidR="00890168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 xml:space="preserve"> u </w:t>
      </w:r>
      <w:r w:rsidR="00CC53AC">
        <w:rPr>
          <w:rFonts w:ascii="Arial" w:hAnsi="Arial" w:cs="Arial"/>
          <w:color w:val="17365D" w:themeColor="text2" w:themeShade="BF"/>
          <w:sz w:val="20"/>
          <w:szCs w:val="20"/>
        </w:rPr>
        <w:t xml:space="preserve">odnosu na početnu promatranu godinu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(2008.)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, zamjetan rast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CC53AC">
        <w:rPr>
          <w:rFonts w:ascii="Arial" w:hAnsi="Arial" w:cs="Arial"/>
          <w:color w:val="17365D" w:themeColor="text2" w:themeShade="BF"/>
          <w:sz w:val="20"/>
          <w:szCs w:val="20"/>
        </w:rPr>
        <w:t>broj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CC53AC">
        <w:rPr>
          <w:rFonts w:ascii="Arial" w:hAnsi="Arial" w:cs="Arial"/>
          <w:color w:val="17365D" w:themeColor="text2" w:themeShade="BF"/>
          <w:sz w:val="20"/>
          <w:szCs w:val="20"/>
        </w:rPr>
        <w:t xml:space="preserve"> poduzetnika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 xml:space="preserve"> (</w:t>
      </w:r>
      <w:r w:rsidR="00CC53AC">
        <w:rPr>
          <w:rFonts w:ascii="Arial" w:hAnsi="Arial" w:cs="Arial"/>
          <w:color w:val="17365D" w:themeColor="text2" w:themeShade="BF"/>
          <w:sz w:val="20"/>
          <w:szCs w:val="20"/>
        </w:rPr>
        <w:t>128,4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CC53AC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CC53AC">
        <w:rPr>
          <w:rFonts w:ascii="Arial" w:hAnsi="Arial" w:cs="Arial"/>
          <w:color w:val="17365D" w:themeColor="text2" w:themeShade="BF"/>
          <w:sz w:val="20"/>
          <w:szCs w:val="20"/>
        </w:rPr>
        <w:t>, broj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CC53AC">
        <w:rPr>
          <w:rFonts w:ascii="Arial" w:hAnsi="Arial" w:cs="Arial"/>
          <w:color w:val="17365D" w:themeColor="text2" w:themeShade="BF"/>
          <w:sz w:val="20"/>
          <w:szCs w:val="20"/>
        </w:rPr>
        <w:t xml:space="preserve"> zaposlenih 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CC53AC">
        <w:rPr>
          <w:rFonts w:ascii="Arial" w:hAnsi="Arial" w:cs="Arial"/>
          <w:color w:val="17365D" w:themeColor="text2" w:themeShade="BF"/>
          <w:sz w:val="20"/>
          <w:szCs w:val="20"/>
        </w:rPr>
        <w:t>151,8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CC53AC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CC53AC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ukupni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h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 prihod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a (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145,3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, ukupni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h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 rashod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140,5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, dobit</w:t>
      </w:r>
      <w:r w:rsidR="00980528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 razdoblja 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226,9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, gubit</w:t>
      </w:r>
      <w:r w:rsidR="00980528">
        <w:rPr>
          <w:rFonts w:ascii="Arial" w:hAnsi="Arial" w:cs="Arial"/>
          <w:color w:val="17365D" w:themeColor="text2" w:themeShade="BF"/>
          <w:sz w:val="20"/>
          <w:szCs w:val="20"/>
        </w:rPr>
        <w:t>ka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 razdoblja 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52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, neto dobit</w:t>
      </w:r>
      <w:r w:rsidR="00980528">
        <w:rPr>
          <w:rFonts w:ascii="Arial" w:hAnsi="Arial" w:cs="Arial"/>
          <w:color w:val="17365D" w:themeColor="text2" w:themeShade="BF"/>
          <w:sz w:val="20"/>
          <w:szCs w:val="20"/>
        </w:rPr>
        <w:t>i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226,6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88791A">
        <w:rPr>
          <w:rFonts w:ascii="Arial" w:hAnsi="Arial" w:cs="Arial"/>
          <w:color w:val="17365D" w:themeColor="text2" w:themeShade="BF"/>
          <w:sz w:val="20"/>
          <w:szCs w:val="20"/>
        </w:rPr>
        <w:t xml:space="preserve">izvoza 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88791A">
        <w:rPr>
          <w:rFonts w:ascii="Arial" w:hAnsi="Arial" w:cs="Arial"/>
          <w:color w:val="17365D" w:themeColor="text2" w:themeShade="BF"/>
          <w:sz w:val="20"/>
          <w:szCs w:val="20"/>
        </w:rPr>
        <w:t>387,9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, uvoza 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165,1%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, investicij</w:t>
      </w:r>
      <w:r w:rsidR="00980528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>(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20,7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%</w:t>
      </w:r>
      <w:r w:rsidR="009D7948">
        <w:rPr>
          <w:rFonts w:ascii="Arial" w:hAnsi="Arial" w:cs="Arial"/>
          <w:color w:val="17365D" w:themeColor="text2" w:themeShade="BF"/>
          <w:sz w:val="20"/>
          <w:szCs w:val="20"/>
        </w:rPr>
        <w:t xml:space="preserve">) te prosječne mjesečne neto plaće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za 27,8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%.</w:t>
      </w:r>
    </w:p>
    <w:p w:rsidR="00FF7A18" w:rsidRPr="003C3B09" w:rsidRDefault="009D7948" w:rsidP="00FF7A18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Od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>3469 poduzetnika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u 2017. godini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, 3196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je </w:t>
      </w:r>
      <w:r w:rsid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mikro poduzetnika, </w:t>
      </w:r>
      <w:r w:rsidR="00580A46" w:rsidRP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247 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>malih</w:t>
      </w:r>
      <w:r w:rsidR="00FF7A18" w:rsidRP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r w:rsidR="00580A46" w:rsidRPr="00580A46">
        <w:rPr>
          <w:rFonts w:ascii="Arial" w:hAnsi="Arial" w:cs="Arial"/>
          <w:color w:val="17365D" w:themeColor="text2" w:themeShade="BF"/>
          <w:sz w:val="20"/>
          <w:szCs w:val="20"/>
        </w:rPr>
        <w:t>21</w:t>
      </w:r>
      <w:r w:rsidR="003306C2" w:rsidRPr="00580A4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FF7A18" w:rsidRPr="003C3B09">
        <w:rPr>
          <w:rFonts w:ascii="Arial" w:hAnsi="Arial" w:cs="Arial"/>
          <w:color w:val="17365D" w:themeColor="text2" w:themeShade="BF"/>
          <w:sz w:val="20"/>
          <w:szCs w:val="20"/>
        </w:rPr>
        <w:t xml:space="preserve">srednji </w:t>
      </w:r>
      <w:r w:rsidR="00027501" w:rsidRPr="003C3B09">
        <w:rPr>
          <w:rFonts w:ascii="Arial" w:hAnsi="Arial" w:cs="Arial"/>
          <w:color w:val="17365D" w:themeColor="text2" w:themeShade="BF"/>
          <w:sz w:val="20"/>
          <w:szCs w:val="20"/>
        </w:rPr>
        <w:t xml:space="preserve">i </w:t>
      </w:r>
      <w:r w:rsidR="00580A46" w:rsidRPr="003C3B09">
        <w:rPr>
          <w:rFonts w:ascii="Arial" w:hAnsi="Arial" w:cs="Arial"/>
          <w:color w:val="17365D" w:themeColor="text2" w:themeShade="BF"/>
          <w:sz w:val="20"/>
          <w:szCs w:val="20"/>
        </w:rPr>
        <w:t>5</w:t>
      </w:r>
      <w:r w:rsidR="003306C2" w:rsidRPr="003C3B09">
        <w:rPr>
          <w:rFonts w:ascii="Arial" w:hAnsi="Arial" w:cs="Arial"/>
          <w:color w:val="17365D" w:themeColor="text2" w:themeShade="BF"/>
          <w:sz w:val="20"/>
          <w:szCs w:val="20"/>
        </w:rPr>
        <w:t xml:space="preserve"> velik</w:t>
      </w:r>
      <w:r w:rsidR="00580A46" w:rsidRPr="003C3B09">
        <w:rPr>
          <w:rFonts w:ascii="Arial" w:hAnsi="Arial" w:cs="Arial"/>
          <w:color w:val="17365D" w:themeColor="text2" w:themeShade="BF"/>
          <w:sz w:val="20"/>
          <w:szCs w:val="20"/>
        </w:rPr>
        <w:t>ih</w:t>
      </w:r>
      <w:r w:rsidR="003306C2" w:rsidRPr="003C3B09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FF7A18" w:rsidRPr="003C3B09">
        <w:rPr>
          <w:rFonts w:ascii="Arial" w:hAnsi="Arial" w:cs="Arial"/>
          <w:color w:val="17365D" w:themeColor="text2" w:themeShade="BF"/>
          <w:sz w:val="20"/>
          <w:szCs w:val="20"/>
        </w:rPr>
        <w:t>poduzetnik</w:t>
      </w:r>
      <w:r w:rsidR="003306C2" w:rsidRPr="003C3B09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580A46" w:rsidRPr="003C3B09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FF7A18" w:rsidRPr="003C3B09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3C3B09" w:rsidRPr="003C3B09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FF7A18" w:rsidRPr="003C3B09">
        <w:rPr>
          <w:rFonts w:ascii="Arial" w:hAnsi="Arial" w:cs="Arial"/>
          <w:color w:val="17365D" w:themeColor="text2" w:themeShade="BF"/>
          <w:sz w:val="20"/>
          <w:szCs w:val="20"/>
        </w:rPr>
        <w:t xml:space="preserve">naliza rezultata po sektorima vlasništva pokazuje da je u privatnom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vlasništvu bi</w:t>
      </w:r>
      <w:r w:rsidR="009F21B6">
        <w:rPr>
          <w:rFonts w:ascii="Arial" w:hAnsi="Arial" w:cs="Arial"/>
          <w:color w:val="17365D" w:themeColor="text2" w:themeShade="BF"/>
          <w:sz w:val="20"/>
          <w:szCs w:val="20"/>
        </w:rPr>
        <w:t>l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o </w:t>
      </w:r>
      <w:r w:rsidR="003C3B09" w:rsidRPr="003C3B09">
        <w:rPr>
          <w:rFonts w:ascii="Arial" w:hAnsi="Arial" w:cs="Arial"/>
          <w:color w:val="17365D" w:themeColor="text2" w:themeShade="BF"/>
          <w:sz w:val="20"/>
          <w:szCs w:val="20"/>
        </w:rPr>
        <w:t>346</w:t>
      </w:r>
      <w:r w:rsidR="009F21B6">
        <w:rPr>
          <w:rFonts w:ascii="Arial" w:hAnsi="Arial" w:cs="Arial"/>
          <w:color w:val="17365D" w:themeColor="text2" w:themeShade="BF"/>
          <w:sz w:val="20"/>
          <w:szCs w:val="20"/>
        </w:rPr>
        <w:t>5</w:t>
      </w:r>
      <w:r w:rsidR="003306C2" w:rsidRPr="003C3B09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3C3B09" w:rsidRPr="003C3B09">
        <w:rPr>
          <w:rFonts w:ascii="Arial" w:hAnsi="Arial" w:cs="Arial"/>
          <w:color w:val="17365D" w:themeColor="text2" w:themeShade="BF"/>
          <w:sz w:val="20"/>
          <w:szCs w:val="20"/>
        </w:rPr>
        <w:t>poduzetnik</w:t>
      </w:r>
      <w:r w:rsidR="009F21B6"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="00FF7A18" w:rsidRPr="003C3B09">
        <w:rPr>
          <w:rFonts w:ascii="Arial" w:hAnsi="Arial" w:cs="Arial"/>
          <w:color w:val="17365D" w:themeColor="text2" w:themeShade="BF"/>
          <w:sz w:val="20"/>
          <w:szCs w:val="20"/>
        </w:rPr>
        <w:t xml:space="preserve">. </w:t>
      </w:r>
      <w:r w:rsidR="006119F4" w:rsidRPr="006119F4">
        <w:rPr>
          <w:rFonts w:ascii="Arial" w:hAnsi="Arial" w:cs="Arial"/>
          <w:color w:val="17365D" w:themeColor="text2" w:themeShade="BF"/>
          <w:sz w:val="20"/>
          <w:szCs w:val="20"/>
        </w:rPr>
        <w:t xml:space="preserve">Dva su u državnom vlasništvu, </w:t>
      </w:r>
      <w:hyperlink r:id="rId9" w:history="1">
        <w:r w:rsidR="006119F4" w:rsidRPr="006119F4">
          <w:rPr>
            <w:rStyle w:val="Hiperveza"/>
            <w:rFonts w:ascii="Arial" w:hAnsi="Arial" w:cs="Arial"/>
            <w:sz w:val="20"/>
            <w:szCs w:val="20"/>
          </w:rPr>
          <w:t>APIS IT d.o.o.</w:t>
        </w:r>
      </w:hyperlink>
      <w:r w:rsidR="009F21B6">
        <w:rPr>
          <w:rStyle w:val="Referencafusnote"/>
          <w:rFonts w:ascii="Arial" w:hAnsi="Arial" w:cs="Arial"/>
          <w:color w:val="0000FF"/>
          <w:sz w:val="20"/>
          <w:szCs w:val="20"/>
          <w:u w:val="single"/>
        </w:rPr>
        <w:footnoteReference w:id="1"/>
      </w:r>
      <w:r w:rsidR="006119F4" w:rsidRPr="006119F4">
        <w:rPr>
          <w:rStyle w:val="Hiperveza"/>
          <w:rFonts w:ascii="Arial" w:hAnsi="Arial" w:cs="Arial"/>
          <w:sz w:val="20"/>
          <w:szCs w:val="20"/>
        </w:rPr>
        <w:t xml:space="preserve"> </w:t>
      </w:r>
      <w:r w:rsidR="006119F4">
        <w:rPr>
          <w:rFonts w:ascii="Arial" w:hAnsi="Arial" w:cs="Arial"/>
          <w:color w:val="17365D" w:themeColor="text2" w:themeShade="BF"/>
          <w:sz w:val="20"/>
          <w:szCs w:val="20"/>
        </w:rPr>
        <w:t xml:space="preserve">i </w:t>
      </w:r>
      <w:hyperlink r:id="rId10" w:history="1">
        <w:r w:rsidR="006119F4" w:rsidRPr="009F21B6">
          <w:rPr>
            <w:rStyle w:val="Hiperveza"/>
            <w:rFonts w:ascii="Arial" w:hAnsi="Arial" w:cs="Arial"/>
            <w:sz w:val="20"/>
            <w:szCs w:val="20"/>
          </w:rPr>
          <w:t>MIPS d.o.o</w:t>
        </w:r>
      </w:hyperlink>
      <w:r w:rsidR="006119F4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9F21B6">
        <w:rPr>
          <w:rStyle w:val="Referencafusnote"/>
          <w:rFonts w:ascii="Arial" w:hAnsi="Arial" w:cs="Arial"/>
          <w:color w:val="17365D" w:themeColor="text2" w:themeShade="BF"/>
          <w:sz w:val="20"/>
          <w:szCs w:val="20"/>
        </w:rPr>
        <w:footnoteReference w:id="2"/>
      </w:r>
      <w:r w:rsidR="006119F4">
        <w:rPr>
          <w:rFonts w:ascii="Arial" w:hAnsi="Arial" w:cs="Arial"/>
          <w:color w:val="17365D" w:themeColor="text2" w:themeShade="BF"/>
          <w:sz w:val="20"/>
          <w:szCs w:val="20"/>
        </w:rPr>
        <w:t xml:space="preserve">, jedan u </w:t>
      </w:r>
      <w:r w:rsidR="003C3B09" w:rsidRPr="003C3B09">
        <w:rPr>
          <w:rFonts w:ascii="Arial" w:hAnsi="Arial" w:cs="Arial"/>
          <w:color w:val="17365D" w:themeColor="text2" w:themeShade="BF"/>
          <w:sz w:val="20"/>
          <w:szCs w:val="20"/>
        </w:rPr>
        <w:t>mješovitom vlasništ</w:t>
      </w:r>
      <w:r w:rsidR="000145F3">
        <w:rPr>
          <w:rFonts w:ascii="Arial" w:hAnsi="Arial" w:cs="Arial"/>
          <w:color w:val="17365D" w:themeColor="text2" w:themeShade="BF"/>
          <w:sz w:val="20"/>
          <w:szCs w:val="20"/>
        </w:rPr>
        <w:t>vu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hyperlink r:id="rId11" w:history="1">
        <w:r w:rsidR="006119F4" w:rsidRPr="009F21B6">
          <w:rPr>
            <w:rStyle w:val="Hiperveza"/>
            <w:rFonts w:ascii="Arial" w:hAnsi="Arial" w:cs="Arial"/>
            <w:sz w:val="20"/>
            <w:szCs w:val="20"/>
          </w:rPr>
          <w:t>PLAVI TIM d.o.o.</w:t>
        </w:r>
      </w:hyperlink>
      <w:r w:rsidR="009F21B6">
        <w:rPr>
          <w:rStyle w:val="Referencafusnote"/>
          <w:rFonts w:ascii="Arial" w:hAnsi="Arial" w:cs="Arial"/>
          <w:color w:val="17365D" w:themeColor="text2" w:themeShade="BF"/>
          <w:sz w:val="20"/>
          <w:szCs w:val="20"/>
        </w:rPr>
        <w:footnoteReference w:id="3"/>
      </w:r>
      <w:r w:rsidR="006119F4">
        <w:rPr>
          <w:rFonts w:ascii="Arial" w:hAnsi="Arial" w:cs="Arial"/>
          <w:color w:val="17365D" w:themeColor="text2" w:themeShade="BF"/>
          <w:sz w:val="20"/>
          <w:szCs w:val="20"/>
        </w:rPr>
        <w:t xml:space="preserve"> i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jedan u</w:t>
      </w:r>
      <w:r w:rsidR="008B2577" w:rsidRPr="003C3B09">
        <w:rPr>
          <w:rFonts w:ascii="Arial" w:hAnsi="Arial" w:cs="Arial"/>
          <w:color w:val="17365D" w:themeColor="text2" w:themeShade="BF"/>
          <w:sz w:val="20"/>
          <w:szCs w:val="20"/>
        </w:rPr>
        <w:t xml:space="preserve"> zadružnom vlasništvu</w:t>
      </w:r>
      <w:r w:rsidR="006119F4">
        <w:rPr>
          <w:rFonts w:ascii="Arial" w:hAnsi="Arial" w:cs="Arial"/>
          <w:color w:val="17365D" w:themeColor="text2" w:themeShade="BF"/>
          <w:sz w:val="20"/>
          <w:szCs w:val="20"/>
        </w:rPr>
        <w:t xml:space="preserve">, </w:t>
      </w:r>
      <w:hyperlink r:id="rId12" w:history="1">
        <w:r w:rsidR="001637B6" w:rsidRPr="006119F4">
          <w:rPr>
            <w:rStyle w:val="Hiperveza"/>
            <w:rFonts w:ascii="Arial" w:hAnsi="Arial" w:cs="Arial"/>
            <w:sz w:val="20"/>
            <w:szCs w:val="20"/>
          </w:rPr>
          <w:t>Braniteljska socijalno radna zadruga</w:t>
        </w:r>
        <w:r w:rsidR="006119F4" w:rsidRPr="006119F4">
          <w:rPr>
            <w:rStyle w:val="Hiperveza"/>
            <w:rFonts w:ascii="Arial" w:hAnsi="Arial" w:cs="Arial"/>
            <w:sz w:val="20"/>
            <w:szCs w:val="20"/>
          </w:rPr>
          <w:t xml:space="preserve"> IDEJA</w:t>
        </w:r>
      </w:hyperlink>
      <w:r w:rsidR="00261532" w:rsidRPr="003C3B09">
        <w:rPr>
          <w:rFonts w:ascii="Arial" w:hAnsi="Arial" w:cs="Arial"/>
          <w:color w:val="17365D" w:themeColor="text2" w:themeShade="BF"/>
          <w:sz w:val="20"/>
          <w:szCs w:val="20"/>
        </w:rPr>
        <w:t>.</w:t>
      </w:r>
    </w:p>
    <w:p w:rsidR="00E552B0" w:rsidRPr="00193993" w:rsidRDefault="007D2CBB" w:rsidP="006119F4">
      <w:pPr>
        <w:widowControl w:val="0"/>
        <w:tabs>
          <w:tab w:val="left" w:pos="7513"/>
          <w:tab w:val="right" w:pos="9639"/>
        </w:tabs>
        <w:spacing w:before="180" w:after="0" w:line="240" w:lineRule="auto"/>
        <w:ind w:left="993" w:hanging="993"/>
        <w:rPr>
          <w:rFonts w:ascii="Arial" w:hAnsi="Arial" w:cs="Arial"/>
          <w:i/>
          <w:color w:val="17365D" w:themeColor="text2" w:themeShade="BF"/>
          <w:sz w:val="20"/>
          <w:szCs w:val="20"/>
        </w:rPr>
      </w:pPr>
      <w:r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Osnovni financijski rezultati poslovanja poduzetnika u djelatnosti </w:t>
      </w:r>
      <w:r w:rsidR="000E5F7C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r</w:t>
      </w:r>
      <w:r w:rsidR="008B2577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ačunalno</w:t>
      </w:r>
      <w:r w:rsidR="000E5F7C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 programiranja</w:t>
      </w:r>
      <w:r w:rsidR="008B2577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, savjetovanj</w:t>
      </w:r>
      <w:r w:rsidR="000E5F7C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a</w:t>
      </w:r>
      <w:r w:rsidR="008B2577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i djelatnosti</w:t>
      </w:r>
      <w:r w:rsidR="000E5F7C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ma</w:t>
      </w:r>
      <w:r w:rsidR="008B2577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povezan</w:t>
      </w:r>
      <w:r w:rsidR="000E5F7C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im</w:t>
      </w:r>
      <w:r w:rsidR="008B2577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s njima</w:t>
      </w:r>
      <w:r w:rsidR="0072231B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(NKD 62),</w:t>
      </w:r>
      <w:r w:rsidR="008B2577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193993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u razdoblju od 2008</w:t>
      </w:r>
      <w:r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000337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193993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-</w:t>
      </w:r>
      <w:r w:rsidR="00000337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193993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2017.</w:t>
      </w:r>
      <w:r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g</w:t>
      </w:r>
      <w:r w:rsidR="0072231B" w:rsidRPr="000E5F7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36674A" w:rsidRPr="000E5F7C">
        <w:rPr>
          <w:rStyle w:val="Referencafusnote"/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footnoteReference w:id="4"/>
      </w:r>
      <w:r w:rsidR="002A5DA7">
        <w:rPr>
          <w:rFonts w:ascii="Arial" w:eastAsia="Times New Roman" w:hAnsi="Arial" w:cs="Arial"/>
          <w:color w:val="17365D" w:themeColor="text2" w:themeShade="BF"/>
          <w:sz w:val="19"/>
          <w:szCs w:val="19"/>
          <w:lang w:eastAsia="hr-HR"/>
        </w:rPr>
        <w:tab/>
      </w:r>
      <w:r w:rsidR="002A5DA7">
        <w:rPr>
          <w:rFonts w:ascii="Arial" w:eastAsia="Times New Roman" w:hAnsi="Arial" w:cs="Arial"/>
          <w:color w:val="17365D" w:themeColor="text2" w:themeShade="BF"/>
          <w:sz w:val="19"/>
          <w:szCs w:val="19"/>
          <w:lang w:eastAsia="hr-HR"/>
        </w:rPr>
        <w:tab/>
      </w:r>
      <w:r w:rsidR="002A5DA7">
        <w:rPr>
          <w:rFonts w:ascii="Arial" w:eastAsia="Times New Roman" w:hAnsi="Arial" w:cs="Arial"/>
          <w:color w:val="17365D" w:themeColor="text2" w:themeShade="BF"/>
          <w:sz w:val="19"/>
          <w:szCs w:val="19"/>
          <w:lang w:eastAsia="hr-HR"/>
        </w:rPr>
        <w:tab/>
      </w:r>
      <w:r w:rsidR="002A5DA7">
        <w:rPr>
          <w:rFonts w:ascii="Arial" w:eastAsia="Times New Roman" w:hAnsi="Arial" w:cs="Arial"/>
          <w:color w:val="17365D" w:themeColor="text2" w:themeShade="BF"/>
          <w:sz w:val="19"/>
          <w:szCs w:val="19"/>
          <w:lang w:eastAsia="hr-HR"/>
        </w:rPr>
        <w:tab/>
      </w:r>
      <w:r w:rsidR="002A5DA7">
        <w:rPr>
          <w:rFonts w:ascii="Arial" w:eastAsia="Times New Roman" w:hAnsi="Arial" w:cs="Arial"/>
          <w:color w:val="17365D" w:themeColor="text2" w:themeShade="BF"/>
          <w:sz w:val="19"/>
          <w:szCs w:val="19"/>
          <w:lang w:eastAsia="hr-HR"/>
        </w:rPr>
        <w:tab/>
      </w:r>
      <w:r w:rsidR="002A5DA7">
        <w:rPr>
          <w:rFonts w:ascii="Arial" w:eastAsia="Times New Roman" w:hAnsi="Arial" w:cs="Arial"/>
          <w:color w:val="17365D" w:themeColor="text2" w:themeShade="BF"/>
          <w:sz w:val="19"/>
          <w:szCs w:val="19"/>
          <w:lang w:eastAsia="hr-HR"/>
        </w:rPr>
        <w:tab/>
      </w:r>
      <w:r w:rsidR="006332AC" w:rsidRPr="00193993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i</w:t>
      </w:r>
      <w:r w:rsidRPr="00193993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znosi: u tisućama kuna</w:t>
      </w:r>
      <w:r w:rsidR="00C3268F" w:rsidRPr="00193993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, plaće u kunama</w:t>
      </w:r>
    </w:p>
    <w:tbl>
      <w:tblPr>
        <w:tblW w:w="14950" w:type="dxa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1137"/>
        <w:gridCol w:w="1133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54"/>
      </w:tblGrid>
      <w:tr w:rsidR="002A5DA7" w:rsidRPr="00357A57" w:rsidTr="002A5DA7">
        <w:trPr>
          <w:trHeight w:val="227"/>
          <w:jc w:val="center"/>
        </w:trPr>
        <w:tc>
          <w:tcPr>
            <w:tcW w:w="8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6569B4" w:rsidRPr="00357A57" w:rsidRDefault="006569B4" w:rsidP="00656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6569B4" w:rsidRPr="00357A57" w:rsidRDefault="006569B4" w:rsidP="00656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2008.</w:t>
            </w:r>
          </w:p>
        </w:tc>
        <w:tc>
          <w:tcPr>
            <w:tcW w:w="3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6569B4" w:rsidRPr="00357A57" w:rsidRDefault="006569B4" w:rsidP="00656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2009.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6569B4" w:rsidRPr="00357A57" w:rsidRDefault="006569B4" w:rsidP="00656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2010.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6569B4" w:rsidRPr="00357A57" w:rsidRDefault="006569B4" w:rsidP="00656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2011.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6569B4" w:rsidRPr="00357A57" w:rsidRDefault="006569B4" w:rsidP="00656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2012.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6569B4" w:rsidRPr="00357A57" w:rsidRDefault="006569B4" w:rsidP="00656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2013.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6569B4" w:rsidRPr="00357A57" w:rsidRDefault="006569B4" w:rsidP="00656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2014.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6569B4" w:rsidRPr="00357A57" w:rsidRDefault="006569B4" w:rsidP="00656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6569B4" w:rsidRPr="00357A57" w:rsidRDefault="006569B4" w:rsidP="00656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</w:tcPr>
          <w:p w:rsidR="006569B4" w:rsidRPr="00357A57" w:rsidRDefault="006569B4" w:rsidP="006569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2017.</w:t>
            </w:r>
          </w:p>
        </w:tc>
        <w:tc>
          <w:tcPr>
            <w:tcW w:w="3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</w:tcPr>
          <w:p w:rsidR="006569B4" w:rsidRPr="00357A57" w:rsidRDefault="006569B4" w:rsidP="002A5DA7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Indeks 2017./2008.</w:t>
            </w:r>
          </w:p>
        </w:tc>
      </w:tr>
      <w:tr w:rsidR="002A5DA7" w:rsidRPr="00357A57" w:rsidTr="002A5DA7">
        <w:trPr>
          <w:trHeight w:val="255"/>
          <w:jc w:val="center"/>
        </w:trPr>
        <w:tc>
          <w:tcPr>
            <w:tcW w:w="8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1.519</w:t>
            </w:r>
          </w:p>
        </w:tc>
        <w:tc>
          <w:tcPr>
            <w:tcW w:w="3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1.695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1.883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2.051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2.149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2.423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2.660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2.880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3.263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3.469</w:t>
            </w:r>
          </w:p>
        </w:tc>
        <w:tc>
          <w:tcPr>
            <w:tcW w:w="3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228,4</w:t>
            </w:r>
          </w:p>
        </w:tc>
      </w:tr>
      <w:tr w:rsidR="002A5DA7" w:rsidRPr="00357A57" w:rsidTr="002A5DA7">
        <w:trPr>
          <w:trHeight w:val="255"/>
          <w:jc w:val="center"/>
        </w:trPr>
        <w:tc>
          <w:tcPr>
            <w:tcW w:w="8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dobitaša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1.115</w:t>
            </w:r>
          </w:p>
        </w:tc>
        <w:tc>
          <w:tcPr>
            <w:tcW w:w="3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1.197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1.293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1.425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1.514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1.776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1.939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2.169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2.453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2.636</w:t>
            </w:r>
          </w:p>
        </w:tc>
        <w:tc>
          <w:tcPr>
            <w:tcW w:w="3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236,4</w:t>
            </w:r>
          </w:p>
        </w:tc>
      </w:tr>
      <w:tr w:rsidR="002A5DA7" w:rsidRPr="00357A57" w:rsidTr="002A5DA7">
        <w:trPr>
          <w:trHeight w:val="255"/>
          <w:jc w:val="center"/>
        </w:trPr>
        <w:tc>
          <w:tcPr>
            <w:tcW w:w="8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404</w:t>
            </w:r>
          </w:p>
        </w:tc>
        <w:tc>
          <w:tcPr>
            <w:tcW w:w="37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498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590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626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635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647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721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711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810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833</w:t>
            </w:r>
          </w:p>
        </w:tc>
        <w:tc>
          <w:tcPr>
            <w:tcW w:w="3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206,2</w:t>
            </w:r>
          </w:p>
        </w:tc>
      </w:tr>
      <w:tr w:rsidR="002A5DA7" w:rsidRPr="00357A57" w:rsidTr="002A5DA7">
        <w:trPr>
          <w:trHeight w:val="255"/>
          <w:jc w:val="center"/>
        </w:trPr>
        <w:tc>
          <w:tcPr>
            <w:tcW w:w="815" w:type="pct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6.499</w:t>
            </w:r>
          </w:p>
        </w:tc>
        <w:tc>
          <w:tcPr>
            <w:tcW w:w="379" w:type="pct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7.122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7.810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8.717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9.335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10.470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11.393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12.642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14.058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16.366</w:t>
            </w:r>
          </w:p>
        </w:tc>
        <w:tc>
          <w:tcPr>
            <w:tcW w:w="388" w:type="pct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251,8</w:t>
            </w:r>
          </w:p>
        </w:tc>
      </w:tr>
      <w:tr w:rsidR="002A5DA7" w:rsidRPr="00357A57" w:rsidTr="002A5DA7">
        <w:trPr>
          <w:trHeight w:val="255"/>
          <w:jc w:val="center"/>
        </w:trPr>
        <w:tc>
          <w:tcPr>
            <w:tcW w:w="8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4.033.605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3.679.577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4.200.596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4.796.869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4.569.333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5.525.563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6.157.967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7.098.345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7.740.666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9.893.039</w:t>
            </w: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245,3</w:t>
            </w:r>
          </w:p>
        </w:tc>
      </w:tr>
      <w:tr w:rsidR="002A5DA7" w:rsidRPr="00357A57" w:rsidTr="002A5DA7">
        <w:trPr>
          <w:trHeight w:val="255"/>
          <w:jc w:val="center"/>
        </w:trPr>
        <w:tc>
          <w:tcPr>
            <w:tcW w:w="8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3.684.595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3.310.561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3.788.341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4.318.097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4.120.253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4.940.911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5.568.329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6.337.989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6.900.778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8.859.751</w:t>
            </w: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240,5</w:t>
            </w:r>
          </w:p>
        </w:tc>
      </w:tr>
      <w:tr w:rsidR="002A5DA7" w:rsidRPr="00357A57" w:rsidTr="002A5DA7">
        <w:trPr>
          <w:trHeight w:val="255"/>
          <w:jc w:val="center"/>
        </w:trPr>
        <w:tc>
          <w:tcPr>
            <w:tcW w:w="8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363.604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451.228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501.416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561.258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523.953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671.925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700.794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890.146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936.579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1.188.507</w:t>
            </w: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326,9</w:t>
            </w:r>
          </w:p>
        </w:tc>
      </w:tr>
      <w:tr w:rsidR="002A5DA7" w:rsidRPr="00357A57" w:rsidTr="002A5DA7">
        <w:trPr>
          <w:trHeight w:val="255"/>
          <w:jc w:val="center"/>
        </w:trPr>
        <w:tc>
          <w:tcPr>
            <w:tcW w:w="8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102.110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82.213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89.161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82.486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74.873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87.273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111.157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129.790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96.691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155.220</w:t>
            </w: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152,0</w:t>
            </w:r>
          </w:p>
        </w:tc>
      </w:tr>
      <w:tr w:rsidR="002A5DA7" w:rsidRPr="00357A57" w:rsidTr="002A5DA7">
        <w:trPr>
          <w:trHeight w:val="255"/>
          <w:jc w:val="center"/>
        </w:trPr>
        <w:tc>
          <w:tcPr>
            <w:tcW w:w="8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b/>
                <w:color w:val="17365D" w:themeColor="text2" w:themeShade="BF"/>
                <w:sz w:val="18"/>
                <w:szCs w:val="18"/>
                <w:lang w:eastAsia="hr-HR"/>
              </w:rPr>
              <w:t>Neto dobit/gubitak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261.494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283.757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313.823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374.912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366.594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481.443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474.556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602.690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669.442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854.135</w:t>
            </w: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326,6</w:t>
            </w:r>
          </w:p>
        </w:tc>
      </w:tr>
      <w:tr w:rsidR="002A5DA7" w:rsidRPr="00357A57" w:rsidTr="002A5DA7">
        <w:trPr>
          <w:trHeight w:val="227"/>
          <w:jc w:val="center"/>
        </w:trPr>
        <w:tc>
          <w:tcPr>
            <w:tcW w:w="8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Prosječna mjesečna neto plaća po zaposlen</w:t>
            </w:r>
            <w:r w:rsidR="002A5DA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om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6.053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6.222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6.336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6.641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6.527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6.546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6.879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6.977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7.164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7.737</w:t>
            </w: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127,8</w:t>
            </w:r>
          </w:p>
        </w:tc>
      </w:tr>
      <w:tr w:rsidR="002A5DA7" w:rsidRPr="00357A57" w:rsidTr="002A5DA7">
        <w:trPr>
          <w:trHeight w:val="255"/>
          <w:jc w:val="center"/>
        </w:trPr>
        <w:tc>
          <w:tcPr>
            <w:tcW w:w="8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605.441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672.092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737.635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989.967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1.065.332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1.226.456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1.547.981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2.031.444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2.410.033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2.954.007</w:t>
            </w: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487,9</w:t>
            </w:r>
          </w:p>
        </w:tc>
      </w:tr>
      <w:tr w:rsidR="002A5DA7" w:rsidRPr="00357A57" w:rsidTr="002A5DA7">
        <w:trPr>
          <w:trHeight w:val="255"/>
          <w:jc w:val="center"/>
        </w:trPr>
        <w:tc>
          <w:tcPr>
            <w:tcW w:w="8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441.484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309.733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385.010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468.720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433.268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618.707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701.509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679.301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520.804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1.170.325</w:t>
            </w: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265,1</w:t>
            </w:r>
          </w:p>
        </w:tc>
      </w:tr>
      <w:tr w:rsidR="002A5DA7" w:rsidRPr="00357A57" w:rsidTr="002A5DA7">
        <w:trPr>
          <w:trHeight w:val="227"/>
          <w:jc w:val="center"/>
        </w:trPr>
        <w:tc>
          <w:tcPr>
            <w:tcW w:w="8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Trgovinski saldo (izvoz minus uvoz)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163.957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362.359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352.625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521.247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632.063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607.749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846.472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1.352.144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1.889.229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1.783.683</w:t>
            </w: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&gt;&gt;100,00</w:t>
            </w:r>
          </w:p>
        </w:tc>
      </w:tr>
      <w:tr w:rsidR="002A5DA7" w:rsidRPr="00357A57" w:rsidTr="002A5DA7">
        <w:trPr>
          <w:trHeight w:val="227"/>
          <w:jc w:val="center"/>
        </w:trPr>
        <w:tc>
          <w:tcPr>
            <w:tcW w:w="81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119F4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</w:pPr>
            <w:r w:rsidRPr="00357A57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hr-HR"/>
              </w:rPr>
              <w:t>Investicije u novu dugotrajnu imovinu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159.570</w:t>
            </w:r>
          </w:p>
        </w:tc>
        <w:tc>
          <w:tcPr>
            <w:tcW w:w="3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227.732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138.926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185.473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214.336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272.264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258.899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283.269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196.920</w:t>
            </w:r>
          </w:p>
        </w:tc>
        <w:tc>
          <w:tcPr>
            <w:tcW w:w="3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192.616</w:t>
            </w:r>
          </w:p>
        </w:tc>
        <w:tc>
          <w:tcPr>
            <w:tcW w:w="3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569B4" w:rsidRPr="00357A57" w:rsidRDefault="006569B4" w:rsidP="006569B4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357A57">
              <w:rPr>
                <w:rFonts w:ascii="Arial" w:hAnsi="Arial" w:cs="Arial"/>
                <w:color w:val="003366"/>
                <w:sz w:val="18"/>
                <w:szCs w:val="18"/>
              </w:rPr>
              <w:t>120,7</w:t>
            </w:r>
          </w:p>
        </w:tc>
      </w:tr>
    </w:tbl>
    <w:p w:rsidR="00000337" w:rsidRDefault="00DA3E57" w:rsidP="00DA3E57">
      <w:pPr>
        <w:spacing w:before="4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193993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Izvor: </w:t>
      </w:r>
      <w:r w:rsidR="00962227" w:rsidRPr="00193993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Fina - </w:t>
      </w:r>
      <w:r w:rsidRPr="00193993">
        <w:rPr>
          <w:rFonts w:ascii="Arial" w:hAnsi="Arial" w:cs="Arial"/>
          <w:i/>
          <w:color w:val="17365D" w:themeColor="text2" w:themeShade="BF"/>
          <w:sz w:val="16"/>
          <w:szCs w:val="16"/>
        </w:rPr>
        <w:t>Registar godišnjih financijskih izvještaja</w:t>
      </w:r>
    </w:p>
    <w:p w:rsidR="000E5F7C" w:rsidRPr="002A5DA7" w:rsidRDefault="000E5F7C" w:rsidP="000E5F7C">
      <w:pPr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  <w:sectPr w:rsidR="000E5F7C" w:rsidRPr="002A5DA7" w:rsidSect="007215A6">
          <w:headerReference w:type="default" r:id="rId13"/>
          <w:footerReference w:type="default" r:id="rId14"/>
          <w:pgSz w:w="16838" w:h="11906" w:orient="landscape"/>
          <w:pgMar w:top="1021" w:right="1021" w:bottom="1021" w:left="794" w:header="709" w:footer="709" w:gutter="0"/>
          <w:cols w:space="708"/>
          <w:docGrid w:linePitch="360"/>
        </w:sectPr>
      </w:pPr>
    </w:p>
    <w:p w:rsidR="00705D6A" w:rsidRDefault="001637B6" w:rsidP="001637B6">
      <w:pPr>
        <w:pageBreakBefore/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lastRenderedPageBreak/>
        <w:t xml:space="preserve">Unutar područja djelatnosti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</w:t>
      </w:r>
      <w:r w:rsidRPr="00000337">
        <w:rPr>
          <w:rFonts w:ascii="Arial" w:hAnsi="Arial" w:cs="Arial"/>
          <w:color w:val="17365D" w:themeColor="text2" w:themeShade="BF"/>
          <w:sz w:val="20"/>
          <w:szCs w:val="20"/>
        </w:rPr>
        <w:t>ačunalno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Pr="00000337">
        <w:rPr>
          <w:rFonts w:ascii="Arial" w:hAnsi="Arial" w:cs="Arial"/>
          <w:color w:val="17365D" w:themeColor="text2" w:themeShade="BF"/>
          <w:sz w:val="20"/>
          <w:szCs w:val="20"/>
        </w:rPr>
        <w:t xml:space="preserve"> programiran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og</w:t>
      </w:r>
      <w:r w:rsidRPr="00000337">
        <w:rPr>
          <w:rFonts w:ascii="Arial" w:hAnsi="Arial" w:cs="Arial"/>
          <w:color w:val="17365D" w:themeColor="text2" w:themeShade="BF"/>
          <w:sz w:val="20"/>
          <w:szCs w:val="20"/>
        </w:rPr>
        <w:t>, savjetovanj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Pr="00000337">
        <w:rPr>
          <w:rFonts w:ascii="Arial" w:hAnsi="Arial" w:cs="Arial"/>
          <w:color w:val="17365D" w:themeColor="text2" w:themeShade="BF"/>
          <w:sz w:val="20"/>
          <w:szCs w:val="20"/>
        </w:rPr>
        <w:t xml:space="preserve"> i djelatnosti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ma</w:t>
      </w:r>
      <w:r w:rsidRPr="00000337">
        <w:rPr>
          <w:rFonts w:ascii="Arial" w:hAnsi="Arial" w:cs="Arial"/>
          <w:color w:val="17365D" w:themeColor="text2" w:themeShade="BF"/>
          <w:sz w:val="20"/>
          <w:szCs w:val="20"/>
        </w:rPr>
        <w:t xml:space="preserve"> povezan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im</w:t>
      </w:r>
      <w:r w:rsidRPr="00000337">
        <w:rPr>
          <w:rFonts w:ascii="Arial" w:hAnsi="Arial" w:cs="Arial"/>
          <w:color w:val="17365D" w:themeColor="text2" w:themeShade="BF"/>
          <w:sz w:val="20"/>
          <w:szCs w:val="20"/>
        </w:rPr>
        <w:t xml:space="preserve"> s njima,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četiri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su razreda djelatnosti. P</w:t>
      </w:r>
      <w:r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oduzetnici u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sva četiri</w:t>
      </w:r>
      <w:r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razreda djelatnosti poslovali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su </w:t>
      </w:r>
      <w:r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pozitivno i ostvarili neto dobit.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Najveća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dobit razdoblja</w:t>
      </w:r>
      <w:r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ostvarena u razredu djelatnosti 62.01 - Računalno programiranje</w:t>
      </w:r>
      <w:r w:rsidR="0098052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iznosu od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749,4</w:t>
      </w:r>
      <w:r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što je za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19,5 </w:t>
      </w:r>
      <w:r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više nego prethodne godine.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DE29C7"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navedenoj djelatnosti </w:t>
      </w:r>
      <w:r w:rsidR="008D68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2017. godini bilo je registrirano</w:t>
      </w:r>
      <w:r w:rsidR="00DE29C7"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00337"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2494</w:t>
      </w:r>
      <w:r w:rsidR="00973C9C"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DE29C7"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poduzetnika</w:t>
      </w:r>
      <w:r w:rsidR="008D68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zaposleno 12</w:t>
      </w:r>
      <w:r w:rsidR="002A5DA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 </w:t>
      </w:r>
      <w:r w:rsidR="008D68C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152 radnika</w:t>
      </w:r>
      <w:r w:rsidR="00AB654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ostvareni ukupni prihodi u iznosu v</w:t>
      </w:r>
      <w:r w:rsidR="002A5DA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ećem </w:t>
      </w:r>
      <w:r w:rsidR="00AB654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 6,6 milijardi kuna (</w:t>
      </w:r>
      <w:r w:rsidR="00820F5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67,0</w:t>
      </w:r>
      <w:r w:rsidR="002A5DA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820F5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% od ukupnog ostvarenog iznosa prihoda odjeljka 62.)</w:t>
      </w:r>
      <w:r w:rsidR="00DE29C7" w:rsidRPr="0000033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522EA8" w:rsidRDefault="000C3C6E" w:rsidP="00027501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 w:rsidRPr="00000337">
        <w:rPr>
          <w:rFonts w:ascii="Arial" w:hAnsi="Arial" w:cs="Arial"/>
          <w:color w:val="17365D" w:themeColor="text2" w:themeShade="BF"/>
          <w:sz w:val="20"/>
          <w:szCs w:val="20"/>
        </w:rPr>
        <w:t xml:space="preserve">Poduzetnici 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 xml:space="preserve">u </w:t>
      </w:r>
      <w:r w:rsidRPr="00BD3471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djelatnosti </w:t>
      </w:r>
      <w:r w:rsidR="008D68C3" w:rsidRPr="00BD3471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računalno</w:t>
      </w:r>
      <w:r w:rsidR="002A5DA7" w:rsidRPr="00BD3471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g</w:t>
      </w:r>
      <w:r w:rsidR="008D68C3" w:rsidRPr="00BD3471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 xml:space="preserve"> programiranj</w:t>
      </w:r>
      <w:r w:rsidR="002A5DA7" w:rsidRPr="00BD3471">
        <w:rPr>
          <w:rFonts w:ascii="Arial" w:hAnsi="Arial" w:cs="Arial"/>
          <w:color w:val="17365D" w:themeColor="text2" w:themeShade="BF"/>
          <w:sz w:val="20"/>
          <w:szCs w:val="20"/>
          <w:u w:val="single"/>
        </w:rPr>
        <w:t>a</w:t>
      </w:r>
      <w:r w:rsidRPr="00000337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980528">
        <w:rPr>
          <w:rFonts w:ascii="Arial" w:hAnsi="Arial" w:cs="Arial"/>
          <w:color w:val="17365D" w:themeColor="text2" w:themeShade="BF"/>
          <w:sz w:val="20"/>
          <w:szCs w:val="20"/>
        </w:rPr>
        <w:t xml:space="preserve">(62.01) </w:t>
      </w:r>
      <w:r w:rsidRPr="00F027F7">
        <w:rPr>
          <w:rFonts w:ascii="Arial" w:hAnsi="Arial" w:cs="Arial"/>
          <w:color w:val="17365D" w:themeColor="text2" w:themeShade="BF"/>
          <w:sz w:val="20"/>
          <w:szCs w:val="20"/>
        </w:rPr>
        <w:t xml:space="preserve">sudjelovali su u ukupno ostvarenim rezultatima odjeljka djelatnosti 62 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 xml:space="preserve"> - </w:t>
      </w:r>
      <w:r w:rsidRPr="00121AB8">
        <w:rPr>
          <w:rFonts w:ascii="Arial" w:hAnsi="Arial" w:cs="Arial"/>
          <w:color w:val="17365D" w:themeColor="text2" w:themeShade="BF"/>
          <w:sz w:val="20"/>
          <w:szCs w:val="20"/>
        </w:rPr>
        <w:t>Računalno programiranje, savjetovanje i djelatnosti povezane s njima</w:t>
      </w:r>
      <w:r w:rsidR="002A5DA7">
        <w:rPr>
          <w:rFonts w:ascii="Arial" w:hAnsi="Arial" w:cs="Arial"/>
          <w:color w:val="17365D" w:themeColor="text2" w:themeShade="BF"/>
          <w:sz w:val="20"/>
          <w:szCs w:val="20"/>
        </w:rPr>
        <w:t>,</w:t>
      </w:r>
      <w:r w:rsidRPr="00121AB8">
        <w:rPr>
          <w:rFonts w:ascii="Arial" w:hAnsi="Arial" w:cs="Arial"/>
          <w:color w:val="17365D" w:themeColor="text2" w:themeShade="BF"/>
          <w:sz w:val="20"/>
          <w:szCs w:val="20"/>
        </w:rPr>
        <w:t xml:space="preserve"> sa sljedećim udjelima</w:t>
      </w:r>
      <w:r w:rsidRPr="00F027F7">
        <w:rPr>
          <w:rFonts w:ascii="Arial" w:hAnsi="Arial" w:cs="Arial"/>
          <w:color w:val="17365D" w:themeColor="text2" w:themeShade="BF"/>
          <w:sz w:val="20"/>
          <w:szCs w:val="20"/>
        </w:rPr>
        <w:t xml:space="preserve">: </w:t>
      </w:r>
      <w:r w:rsidR="00F027F7" w:rsidRPr="00F027F7">
        <w:rPr>
          <w:rFonts w:ascii="Arial" w:hAnsi="Arial" w:cs="Arial"/>
          <w:color w:val="17365D" w:themeColor="text2" w:themeShade="BF"/>
          <w:sz w:val="20"/>
          <w:szCs w:val="20"/>
        </w:rPr>
        <w:t>71,9</w:t>
      </w:r>
      <w:r w:rsidR="00BD347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F027F7">
        <w:rPr>
          <w:rFonts w:ascii="Arial" w:hAnsi="Arial" w:cs="Arial"/>
          <w:color w:val="17365D" w:themeColor="text2" w:themeShade="BF"/>
          <w:sz w:val="20"/>
          <w:szCs w:val="20"/>
        </w:rPr>
        <w:t xml:space="preserve">% u broju poduzetnika, </w:t>
      </w:r>
      <w:r w:rsidR="00F027F7" w:rsidRPr="00F027F7">
        <w:rPr>
          <w:rFonts w:ascii="Arial" w:hAnsi="Arial" w:cs="Arial"/>
          <w:color w:val="17365D" w:themeColor="text2" w:themeShade="BF"/>
          <w:sz w:val="20"/>
          <w:szCs w:val="20"/>
        </w:rPr>
        <w:t>74,3</w:t>
      </w:r>
      <w:r w:rsidR="00BD347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F027F7">
        <w:rPr>
          <w:rFonts w:ascii="Arial" w:hAnsi="Arial" w:cs="Arial"/>
          <w:color w:val="17365D" w:themeColor="text2" w:themeShade="BF"/>
          <w:sz w:val="20"/>
          <w:szCs w:val="20"/>
        </w:rPr>
        <w:t xml:space="preserve">% u broju </w:t>
      </w:r>
      <w:r w:rsidRPr="00D55B27">
        <w:rPr>
          <w:rFonts w:ascii="Arial" w:hAnsi="Arial" w:cs="Arial"/>
          <w:color w:val="17365D" w:themeColor="text2" w:themeShade="BF"/>
          <w:sz w:val="20"/>
          <w:szCs w:val="20"/>
        </w:rPr>
        <w:t xml:space="preserve">zaposlenih, </w:t>
      </w:r>
      <w:r w:rsidR="00D55B27" w:rsidRPr="00D55B27">
        <w:rPr>
          <w:rFonts w:ascii="Arial" w:hAnsi="Arial" w:cs="Arial"/>
          <w:color w:val="17365D" w:themeColor="text2" w:themeShade="BF"/>
          <w:sz w:val="20"/>
          <w:szCs w:val="20"/>
        </w:rPr>
        <w:t>67,0</w:t>
      </w:r>
      <w:r w:rsidR="00BD347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D55B27">
        <w:rPr>
          <w:rFonts w:ascii="Arial" w:hAnsi="Arial" w:cs="Arial"/>
          <w:color w:val="17365D" w:themeColor="text2" w:themeShade="BF"/>
          <w:sz w:val="20"/>
          <w:szCs w:val="20"/>
        </w:rPr>
        <w:t xml:space="preserve">% u ukupnim prihodima, </w:t>
      </w:r>
      <w:r w:rsidR="00D55B27" w:rsidRPr="00D55B27">
        <w:rPr>
          <w:rFonts w:ascii="Arial" w:hAnsi="Arial" w:cs="Arial"/>
          <w:color w:val="17365D" w:themeColor="text2" w:themeShade="BF"/>
          <w:sz w:val="20"/>
          <w:szCs w:val="20"/>
        </w:rPr>
        <w:t>66,0</w:t>
      </w:r>
      <w:r w:rsidR="00BD347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D55B27">
        <w:rPr>
          <w:rFonts w:ascii="Arial" w:hAnsi="Arial" w:cs="Arial"/>
          <w:color w:val="17365D" w:themeColor="text2" w:themeShade="BF"/>
          <w:sz w:val="20"/>
          <w:szCs w:val="20"/>
        </w:rPr>
        <w:t xml:space="preserve">% u ukupnim rashodima, </w:t>
      </w:r>
      <w:r w:rsidR="00D55B27" w:rsidRPr="00D55B27">
        <w:rPr>
          <w:rFonts w:ascii="Arial" w:hAnsi="Arial" w:cs="Arial"/>
          <w:color w:val="17365D" w:themeColor="text2" w:themeShade="BF"/>
          <w:sz w:val="20"/>
          <w:szCs w:val="20"/>
        </w:rPr>
        <w:t>74,3</w:t>
      </w:r>
      <w:r w:rsidR="00BD347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D55B27">
        <w:rPr>
          <w:rFonts w:ascii="Arial" w:hAnsi="Arial" w:cs="Arial"/>
          <w:color w:val="17365D" w:themeColor="text2" w:themeShade="BF"/>
          <w:sz w:val="20"/>
          <w:szCs w:val="20"/>
        </w:rPr>
        <w:t xml:space="preserve">% u dobiti razdoblja, </w:t>
      </w:r>
      <w:r w:rsidR="00D55B27" w:rsidRPr="00D55B27">
        <w:rPr>
          <w:rFonts w:ascii="Arial" w:hAnsi="Arial" w:cs="Arial"/>
          <w:color w:val="17365D" w:themeColor="text2" w:themeShade="BF"/>
          <w:sz w:val="20"/>
          <w:szCs w:val="20"/>
        </w:rPr>
        <w:t>62,8</w:t>
      </w:r>
      <w:r w:rsidR="00BD347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D55B27">
        <w:rPr>
          <w:rFonts w:ascii="Arial" w:hAnsi="Arial" w:cs="Arial"/>
          <w:color w:val="17365D" w:themeColor="text2" w:themeShade="BF"/>
          <w:sz w:val="20"/>
          <w:szCs w:val="20"/>
        </w:rPr>
        <w:t xml:space="preserve">% u gubitku razdoblja te s </w:t>
      </w:r>
      <w:r w:rsidR="00D55B27" w:rsidRPr="00D55B27">
        <w:rPr>
          <w:rFonts w:ascii="Arial" w:hAnsi="Arial" w:cs="Arial"/>
          <w:color w:val="17365D" w:themeColor="text2" w:themeShade="BF"/>
          <w:sz w:val="20"/>
          <w:szCs w:val="20"/>
        </w:rPr>
        <w:t>76,4</w:t>
      </w:r>
      <w:r w:rsidR="00BD3471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9D311B">
        <w:rPr>
          <w:rFonts w:ascii="Arial" w:hAnsi="Arial" w:cs="Arial"/>
          <w:color w:val="17365D" w:themeColor="text2" w:themeShade="BF"/>
          <w:sz w:val="20"/>
          <w:szCs w:val="20"/>
        </w:rPr>
        <w:t>% u neto dobiti.</w:t>
      </w:r>
    </w:p>
    <w:p w:rsidR="009D311B" w:rsidRPr="000E5F7C" w:rsidRDefault="009D311B" w:rsidP="000E5F7C">
      <w:pPr>
        <w:tabs>
          <w:tab w:val="left" w:pos="1134"/>
        </w:tabs>
        <w:spacing w:before="180" w:after="0" w:line="240" w:lineRule="auto"/>
        <w:ind w:left="1134" w:hanging="1134"/>
        <w:rPr>
          <w:rFonts w:ascii="Arial" w:hAnsi="Arial" w:cs="Arial"/>
          <w:b/>
          <w:color w:val="17365D" w:themeColor="text2" w:themeShade="BF"/>
          <w:sz w:val="18"/>
          <w:szCs w:val="18"/>
        </w:rPr>
      </w:pPr>
      <w:r w:rsidRPr="000E5F7C">
        <w:rPr>
          <w:rFonts w:ascii="Arial" w:hAnsi="Arial" w:cs="Arial"/>
          <w:b/>
          <w:color w:val="17365D" w:themeColor="text2" w:themeShade="BF"/>
          <w:sz w:val="18"/>
          <w:szCs w:val="18"/>
        </w:rPr>
        <w:t>Grafikon 1.</w:t>
      </w:r>
      <w:r w:rsidRPr="000E5F7C">
        <w:rPr>
          <w:rFonts w:ascii="Arial" w:hAnsi="Arial" w:cs="Arial"/>
          <w:b/>
          <w:color w:val="17365D" w:themeColor="text2" w:themeShade="BF"/>
          <w:sz w:val="18"/>
          <w:szCs w:val="18"/>
        </w:rPr>
        <w:tab/>
        <w:t xml:space="preserve">Udio ukupnih prihoda i dobiti razdoblja </w:t>
      </w:r>
      <w:r w:rsidR="00C974F4" w:rsidRPr="000E5F7C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u 2017. godini </w:t>
      </w:r>
      <w:r w:rsidRPr="000E5F7C">
        <w:rPr>
          <w:rFonts w:ascii="Arial" w:hAnsi="Arial" w:cs="Arial"/>
          <w:b/>
          <w:color w:val="17365D" w:themeColor="text2" w:themeShade="BF"/>
          <w:sz w:val="18"/>
          <w:szCs w:val="18"/>
        </w:rPr>
        <w:t>po razredima djelatnosti, odjeljak 62</w:t>
      </w:r>
    </w:p>
    <w:p w:rsidR="009D311B" w:rsidRDefault="005A08E4" w:rsidP="00027501">
      <w:pPr>
        <w:spacing w:before="12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noProof/>
          <w:color w:val="17365D" w:themeColor="text2" w:themeShade="BF"/>
          <w:sz w:val="20"/>
          <w:szCs w:val="20"/>
          <w:lang w:eastAsia="hr-HR"/>
        </w:rPr>
        <w:drawing>
          <wp:inline distT="0" distB="0" distL="0" distR="0" wp14:anchorId="40FFDDA4" wp14:editId="32E6C2EE">
            <wp:extent cx="6225871" cy="1839350"/>
            <wp:effectExtent l="0" t="0" r="3810" b="889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061" cy="1843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93D" w:rsidRPr="00210636" w:rsidRDefault="0016093D" w:rsidP="0016093D">
      <w:pPr>
        <w:spacing w:before="40" w:after="0" w:line="240" w:lineRule="auto"/>
        <w:jc w:val="both"/>
        <w:rPr>
          <w:rFonts w:ascii="Arial" w:hAnsi="Arial" w:cs="Arial"/>
          <w:i/>
          <w:noProof/>
          <w:color w:val="17365D" w:themeColor="text2" w:themeShade="BF"/>
          <w:sz w:val="16"/>
          <w:szCs w:val="16"/>
          <w:lang w:eastAsia="hr-HR"/>
        </w:rPr>
      </w:pPr>
      <w:r w:rsidRPr="00210636">
        <w:rPr>
          <w:rFonts w:ascii="Arial" w:hAnsi="Arial" w:cs="Arial"/>
          <w:i/>
          <w:noProof/>
          <w:color w:val="17365D" w:themeColor="text2" w:themeShade="BF"/>
          <w:sz w:val="16"/>
          <w:szCs w:val="16"/>
          <w:lang w:eastAsia="hr-HR"/>
        </w:rPr>
        <w:t>Izvor: Fina, Registar godišnjih financijskih izvještaja, obrada GFI-a za 2017. godinu</w:t>
      </w:r>
    </w:p>
    <w:p w:rsidR="000B157D" w:rsidRPr="00522EA8" w:rsidRDefault="00522EA8" w:rsidP="00BD3471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Najviša p</w:t>
      </w:r>
      <w:r w:rsidR="002D6C1A" w:rsidRPr="00522EA8">
        <w:rPr>
          <w:rFonts w:ascii="Arial" w:hAnsi="Arial" w:cs="Arial"/>
          <w:color w:val="17365D" w:themeColor="text2" w:themeShade="BF"/>
          <w:sz w:val="20"/>
          <w:szCs w:val="20"/>
        </w:rPr>
        <w:t xml:space="preserve">rosječna mjesečna neto plaća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obračunata je u razredu djelatnosti 62.02 </w:t>
      </w:r>
      <w:r w:rsidRPr="00522EA8">
        <w:rPr>
          <w:rFonts w:ascii="Arial" w:hAnsi="Arial" w:cs="Arial"/>
          <w:color w:val="17365D" w:themeColor="text2" w:themeShade="BF"/>
          <w:sz w:val="20"/>
          <w:szCs w:val="20"/>
        </w:rPr>
        <w:t>Savjetovanje u vezi s računalima</w:t>
      </w:r>
      <w:r w:rsidR="002D6C1A" w:rsidRPr="00522EA8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0B157D" w:rsidRPr="00522EA8">
        <w:rPr>
          <w:rFonts w:ascii="Arial" w:hAnsi="Arial" w:cs="Arial"/>
          <w:color w:val="17365D" w:themeColor="text2" w:themeShade="BF"/>
          <w:sz w:val="20"/>
          <w:szCs w:val="20"/>
        </w:rPr>
        <w:t xml:space="preserve">iznosi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8.631</w:t>
      </w:r>
      <w:r w:rsidR="000B157D" w:rsidRPr="00522EA8">
        <w:rPr>
          <w:rFonts w:ascii="Arial" w:hAnsi="Arial" w:cs="Arial"/>
          <w:color w:val="17365D" w:themeColor="text2" w:themeShade="BF"/>
          <w:sz w:val="20"/>
          <w:szCs w:val="20"/>
        </w:rPr>
        <w:t xml:space="preserve"> kuna i </w:t>
      </w:r>
      <w:r w:rsidRPr="00522EA8">
        <w:rPr>
          <w:rFonts w:ascii="Arial" w:hAnsi="Arial" w:cs="Arial"/>
          <w:color w:val="17365D" w:themeColor="text2" w:themeShade="BF"/>
          <w:sz w:val="20"/>
          <w:szCs w:val="20"/>
        </w:rPr>
        <w:t>viša</w:t>
      </w:r>
      <w:r w:rsidR="002D6C1A" w:rsidRPr="00522EA8">
        <w:rPr>
          <w:rFonts w:ascii="Arial" w:hAnsi="Arial" w:cs="Arial"/>
          <w:color w:val="17365D" w:themeColor="text2" w:themeShade="BF"/>
          <w:sz w:val="20"/>
          <w:szCs w:val="20"/>
        </w:rPr>
        <w:t xml:space="preserve"> je za </w:t>
      </w:r>
      <w:r w:rsidRPr="00522EA8">
        <w:rPr>
          <w:rFonts w:ascii="Arial" w:hAnsi="Arial" w:cs="Arial"/>
          <w:color w:val="17365D" w:themeColor="text2" w:themeShade="BF"/>
          <w:sz w:val="20"/>
          <w:szCs w:val="20"/>
        </w:rPr>
        <w:t>11,6</w:t>
      </w:r>
      <w:r w:rsidR="000E5F7C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2D6C1A" w:rsidRPr="00522EA8">
        <w:rPr>
          <w:rFonts w:ascii="Arial" w:hAnsi="Arial" w:cs="Arial"/>
          <w:color w:val="17365D" w:themeColor="text2" w:themeShade="BF"/>
          <w:sz w:val="20"/>
          <w:szCs w:val="20"/>
        </w:rPr>
        <w:t>% od prosječne plaće odjeljka djelatnosti 62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522EA8">
        <w:rPr>
          <w:rFonts w:ascii="Arial" w:hAnsi="Arial" w:cs="Arial"/>
          <w:color w:val="17365D" w:themeColor="text2" w:themeShade="BF"/>
          <w:sz w:val="20"/>
          <w:szCs w:val="20"/>
        </w:rPr>
        <w:t>i viša za 60,7%</w:t>
      </w:r>
      <w:r w:rsidRPr="00522EA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odnosu na</w:t>
      </w:r>
      <w:r w:rsidRPr="00522EA8">
        <w:rPr>
          <w:rFonts w:ascii="Arial" w:hAnsi="Arial" w:cs="Arial"/>
          <w:color w:val="17365D" w:themeColor="text2" w:themeShade="BF"/>
          <w:sz w:val="20"/>
          <w:szCs w:val="20"/>
        </w:rPr>
        <w:t xml:space="preserve"> prosječnu mjesečnu</w:t>
      </w:r>
      <w:r w:rsidR="000B157D" w:rsidRPr="00522EA8">
        <w:rPr>
          <w:rFonts w:ascii="Arial" w:hAnsi="Arial" w:cs="Arial"/>
          <w:color w:val="17365D" w:themeColor="text2" w:themeShade="BF"/>
          <w:sz w:val="20"/>
          <w:szCs w:val="20"/>
        </w:rPr>
        <w:t xml:space="preserve"> plaćom na razini RH (</w:t>
      </w:r>
      <w:r w:rsidRPr="00522EA8">
        <w:rPr>
          <w:rFonts w:ascii="Arial" w:hAnsi="Arial" w:cs="Arial"/>
          <w:color w:val="17365D" w:themeColor="text2" w:themeShade="BF"/>
          <w:sz w:val="20"/>
          <w:szCs w:val="20"/>
        </w:rPr>
        <w:t>5.372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kuna).</w:t>
      </w:r>
    </w:p>
    <w:p w:rsidR="00DE29C7" w:rsidRPr="00121AB8" w:rsidRDefault="00DE29C7" w:rsidP="009A5445">
      <w:pPr>
        <w:widowControl w:val="0"/>
        <w:spacing w:before="180" w:after="40" w:line="240" w:lineRule="auto"/>
        <w:ind w:left="1134" w:hanging="1134"/>
        <w:rPr>
          <w:rFonts w:ascii="Arial" w:hAnsi="Arial" w:cs="Arial"/>
          <w:color w:val="17365D" w:themeColor="text2" w:themeShade="BF"/>
          <w:sz w:val="16"/>
          <w:szCs w:val="16"/>
        </w:rPr>
      </w:pPr>
      <w:r w:rsidRPr="009D7948">
        <w:rPr>
          <w:rFonts w:ascii="Arial" w:hAnsi="Arial" w:cs="Arial"/>
          <w:b/>
          <w:color w:val="17365D" w:themeColor="text2" w:themeShade="BF"/>
          <w:sz w:val="18"/>
          <w:szCs w:val="18"/>
        </w:rPr>
        <w:t>T</w:t>
      </w:r>
      <w:r w:rsidR="00027C57" w:rsidRPr="009D7948">
        <w:rPr>
          <w:rFonts w:ascii="Arial" w:hAnsi="Arial" w:cs="Arial"/>
          <w:b/>
          <w:color w:val="17365D" w:themeColor="text2" w:themeShade="BF"/>
          <w:sz w:val="18"/>
          <w:szCs w:val="18"/>
        </w:rPr>
        <w:t>ablica 2</w:t>
      </w:r>
      <w:r w:rsidRPr="009D7948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Pr="009D7948">
        <w:rPr>
          <w:rFonts w:ascii="Arial" w:hAnsi="Arial" w:cs="Arial"/>
          <w:b/>
          <w:color w:val="17365D" w:themeColor="text2" w:themeShade="BF"/>
          <w:sz w:val="18"/>
          <w:szCs w:val="18"/>
        </w:rPr>
        <w:tab/>
        <w:t xml:space="preserve">Top 10 poduzetnika u </w:t>
      </w:r>
      <w:r w:rsidR="00027501" w:rsidRPr="009D7948">
        <w:rPr>
          <w:rFonts w:ascii="Arial" w:hAnsi="Arial" w:cs="Arial"/>
          <w:b/>
          <w:color w:val="17365D" w:themeColor="text2" w:themeShade="BF"/>
          <w:sz w:val="18"/>
          <w:szCs w:val="18"/>
        </w:rPr>
        <w:t>odjeljk</w:t>
      </w:r>
      <w:r w:rsidR="009D7948">
        <w:rPr>
          <w:rFonts w:ascii="Arial" w:hAnsi="Arial" w:cs="Arial"/>
          <w:b/>
          <w:color w:val="17365D" w:themeColor="text2" w:themeShade="BF"/>
          <w:sz w:val="18"/>
          <w:szCs w:val="18"/>
        </w:rPr>
        <w:t>u</w:t>
      </w:r>
      <w:r w:rsidR="00027501" w:rsidRPr="009D7948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</w:t>
      </w:r>
      <w:r w:rsidR="009D7948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NKD </w:t>
      </w:r>
      <w:r w:rsidR="00027C57" w:rsidRPr="009D7948">
        <w:rPr>
          <w:rFonts w:ascii="Arial" w:hAnsi="Arial" w:cs="Arial"/>
          <w:b/>
          <w:color w:val="17365D" w:themeColor="text2" w:themeShade="BF"/>
          <w:sz w:val="18"/>
          <w:szCs w:val="18"/>
        </w:rPr>
        <w:t>62</w:t>
      </w:r>
      <w:r w:rsidRPr="009D7948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, rangirani prema </w:t>
      </w:r>
      <w:r w:rsidR="00A4053A" w:rsidRPr="009D7948">
        <w:rPr>
          <w:rFonts w:ascii="Arial" w:hAnsi="Arial" w:cs="Arial"/>
          <w:b/>
          <w:color w:val="17365D" w:themeColor="text2" w:themeShade="BF"/>
          <w:sz w:val="18"/>
          <w:szCs w:val="18"/>
        </w:rPr>
        <w:t>ukupnom prihodu</w:t>
      </w:r>
      <w:r w:rsidRPr="009D7948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 u 201</w:t>
      </w:r>
      <w:r w:rsidR="00000337" w:rsidRPr="009D7948">
        <w:rPr>
          <w:rFonts w:ascii="Arial" w:hAnsi="Arial" w:cs="Arial"/>
          <w:b/>
          <w:color w:val="17365D" w:themeColor="text2" w:themeShade="BF"/>
          <w:sz w:val="18"/>
          <w:szCs w:val="18"/>
        </w:rPr>
        <w:t>7</w:t>
      </w:r>
      <w:r w:rsidRPr="009D7948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. </w:t>
      </w:r>
      <w:r w:rsidR="009A5445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g. </w:t>
      </w:r>
      <w:r w:rsidRPr="00121AB8">
        <w:rPr>
          <w:rFonts w:ascii="Arial" w:hAnsi="Arial" w:cs="Arial"/>
          <w:color w:val="17365D" w:themeColor="text2" w:themeShade="BF"/>
          <w:sz w:val="16"/>
          <w:szCs w:val="16"/>
        </w:rPr>
        <w:t>(</w:t>
      </w:r>
      <w:r w:rsidR="009A5445">
        <w:rPr>
          <w:rFonts w:ascii="Arial" w:hAnsi="Arial" w:cs="Arial"/>
          <w:color w:val="17365D" w:themeColor="text2" w:themeShade="BF"/>
          <w:sz w:val="16"/>
          <w:szCs w:val="16"/>
        </w:rPr>
        <w:t>i</w:t>
      </w:r>
      <w:r w:rsidRPr="00121AB8">
        <w:rPr>
          <w:rFonts w:ascii="Arial" w:hAnsi="Arial" w:cs="Arial"/>
          <w:color w:val="17365D" w:themeColor="text2" w:themeShade="BF"/>
          <w:sz w:val="16"/>
          <w:szCs w:val="16"/>
        </w:rPr>
        <w:t>znosi u tis</w:t>
      </w:r>
      <w:r w:rsidR="009A5445">
        <w:rPr>
          <w:rFonts w:ascii="Arial" w:hAnsi="Arial" w:cs="Arial"/>
          <w:color w:val="17365D" w:themeColor="text2" w:themeShade="BF"/>
          <w:sz w:val="16"/>
          <w:szCs w:val="16"/>
        </w:rPr>
        <w:t>.</w:t>
      </w:r>
      <w:r w:rsidRPr="00121AB8">
        <w:rPr>
          <w:rFonts w:ascii="Arial" w:hAnsi="Arial" w:cs="Arial"/>
          <w:color w:val="17365D" w:themeColor="text2" w:themeShade="BF"/>
          <w:sz w:val="16"/>
          <w:szCs w:val="16"/>
        </w:rPr>
        <w:t xml:space="preserve"> kuna)</w:t>
      </w:r>
    </w:p>
    <w:tbl>
      <w:tblPr>
        <w:tblW w:w="9920" w:type="dxa"/>
        <w:jc w:val="center"/>
        <w:tblInd w:w="-210" w:type="dxa"/>
        <w:tblLayout w:type="fixed"/>
        <w:tblLook w:val="04A0" w:firstRow="1" w:lastRow="0" w:firstColumn="1" w:lastColumn="0" w:noHBand="0" w:noVBand="1"/>
      </w:tblPr>
      <w:tblGrid>
        <w:gridCol w:w="453"/>
        <w:gridCol w:w="1361"/>
        <w:gridCol w:w="4195"/>
        <w:gridCol w:w="737"/>
        <w:gridCol w:w="1077"/>
        <w:gridCol w:w="1077"/>
        <w:gridCol w:w="1020"/>
      </w:tblGrid>
      <w:tr w:rsidR="00BD3471" w:rsidRPr="00121AB8" w:rsidTr="00BD3471">
        <w:trPr>
          <w:trHeight w:val="184"/>
          <w:jc w:val="center"/>
        </w:trPr>
        <w:tc>
          <w:tcPr>
            <w:tcW w:w="453" w:type="dxa"/>
            <w:vMerge w:val="restart"/>
            <w:tcBorders>
              <w:top w:val="single" w:sz="4" w:space="0" w:color="00325A"/>
              <w:left w:val="single" w:sz="4" w:space="0" w:color="00325A"/>
              <w:bottom w:val="single" w:sz="4" w:space="0" w:color="00325A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DE29C7" w:rsidRPr="00121AB8" w:rsidRDefault="00DE29C7" w:rsidP="00BD347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121AB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R. br.</w:t>
            </w:r>
          </w:p>
        </w:tc>
        <w:tc>
          <w:tcPr>
            <w:tcW w:w="1361" w:type="dxa"/>
            <w:vMerge w:val="restart"/>
            <w:tcBorders>
              <w:top w:val="single" w:sz="4" w:space="0" w:color="00325A"/>
              <w:left w:val="single" w:sz="4" w:space="0" w:color="FFFFFF"/>
              <w:bottom w:val="single" w:sz="4" w:space="0" w:color="00325A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DE29C7" w:rsidRPr="00121AB8" w:rsidRDefault="00DE29C7" w:rsidP="00BD347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121AB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4195" w:type="dxa"/>
            <w:vMerge w:val="restart"/>
            <w:tcBorders>
              <w:top w:val="single" w:sz="4" w:space="0" w:color="00325A"/>
              <w:left w:val="single" w:sz="4" w:space="0" w:color="FFFFFF"/>
              <w:bottom w:val="single" w:sz="4" w:space="0" w:color="00325A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DE29C7" w:rsidRPr="00121AB8" w:rsidRDefault="00DE29C7" w:rsidP="00BD347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121AB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737" w:type="dxa"/>
            <w:vMerge w:val="restart"/>
            <w:tcBorders>
              <w:top w:val="single" w:sz="4" w:space="0" w:color="00325A"/>
              <w:left w:val="single" w:sz="4" w:space="0" w:color="FFFFFF"/>
              <w:bottom w:val="single" w:sz="4" w:space="0" w:color="00325A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DE29C7" w:rsidRPr="00121AB8" w:rsidRDefault="00DE29C7" w:rsidP="00BD347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121AB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Razred djelat</w:t>
            </w:r>
            <w:r w:rsidR="00BD3471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77" w:type="dxa"/>
            <w:vMerge w:val="restart"/>
            <w:tcBorders>
              <w:top w:val="single" w:sz="4" w:space="0" w:color="00325A"/>
              <w:left w:val="single" w:sz="4" w:space="0" w:color="FFFFFF"/>
              <w:bottom w:val="single" w:sz="4" w:space="0" w:color="00325A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DE29C7" w:rsidRPr="00121AB8" w:rsidRDefault="00DE29C7" w:rsidP="00BD347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121AB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077" w:type="dxa"/>
            <w:vMerge w:val="restart"/>
            <w:tcBorders>
              <w:top w:val="single" w:sz="4" w:space="0" w:color="00325A"/>
              <w:left w:val="single" w:sz="4" w:space="0" w:color="FFFFFF"/>
              <w:bottom w:val="single" w:sz="4" w:space="0" w:color="00325A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DE29C7" w:rsidRPr="00121AB8" w:rsidRDefault="00DE29C7" w:rsidP="00BD347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121AB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Ukupan prihod</w:t>
            </w:r>
          </w:p>
        </w:tc>
        <w:tc>
          <w:tcPr>
            <w:tcW w:w="1020" w:type="dxa"/>
            <w:vMerge w:val="restart"/>
            <w:tcBorders>
              <w:top w:val="single" w:sz="4" w:space="0" w:color="00325A"/>
              <w:left w:val="single" w:sz="4" w:space="0" w:color="FFFFFF"/>
              <w:bottom w:val="single" w:sz="4" w:space="0" w:color="00325A"/>
              <w:right w:val="single" w:sz="4" w:space="0" w:color="FFFFFF"/>
            </w:tcBorders>
            <w:shd w:val="clear" w:color="000000" w:fill="00325A"/>
            <w:vAlign w:val="center"/>
            <w:hideMark/>
          </w:tcPr>
          <w:p w:rsidR="00DE29C7" w:rsidRPr="00121AB8" w:rsidRDefault="00905C33" w:rsidP="00BD347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121AB8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Dobit</w:t>
            </w:r>
          </w:p>
        </w:tc>
      </w:tr>
      <w:tr w:rsidR="00BD3471" w:rsidRPr="009D7948" w:rsidTr="00BD3471">
        <w:trPr>
          <w:trHeight w:val="300"/>
          <w:jc w:val="center"/>
        </w:trPr>
        <w:tc>
          <w:tcPr>
            <w:tcW w:w="453" w:type="dxa"/>
            <w:vMerge/>
            <w:tcBorders>
              <w:top w:val="single" w:sz="4" w:space="0" w:color="00325A"/>
              <w:left w:val="single" w:sz="4" w:space="0" w:color="00325A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E29C7" w:rsidRPr="007D47C3" w:rsidRDefault="00DE29C7" w:rsidP="007C7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single" w:sz="4" w:space="0" w:color="00325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E29C7" w:rsidRPr="007D47C3" w:rsidRDefault="00DE29C7" w:rsidP="007C7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4195" w:type="dxa"/>
            <w:vMerge/>
            <w:tcBorders>
              <w:top w:val="single" w:sz="4" w:space="0" w:color="00325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E29C7" w:rsidRPr="007D47C3" w:rsidRDefault="00DE29C7" w:rsidP="00BD347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737" w:type="dxa"/>
            <w:vMerge/>
            <w:tcBorders>
              <w:top w:val="single" w:sz="4" w:space="0" w:color="00325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E29C7" w:rsidRPr="007D47C3" w:rsidRDefault="00DE29C7" w:rsidP="00BD34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vMerge/>
            <w:tcBorders>
              <w:top w:val="single" w:sz="4" w:space="0" w:color="00325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E29C7" w:rsidRPr="007D47C3" w:rsidRDefault="00DE29C7" w:rsidP="007C7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077" w:type="dxa"/>
            <w:vMerge/>
            <w:tcBorders>
              <w:top w:val="single" w:sz="4" w:space="0" w:color="00325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E29C7" w:rsidRPr="007D47C3" w:rsidRDefault="00DE29C7" w:rsidP="007C7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1020" w:type="dxa"/>
            <w:vMerge/>
            <w:tcBorders>
              <w:top w:val="single" w:sz="4" w:space="0" w:color="00325A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E29C7" w:rsidRPr="007D47C3" w:rsidRDefault="00DE29C7" w:rsidP="007C78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hr-HR"/>
              </w:rPr>
            </w:pPr>
          </w:p>
        </w:tc>
      </w:tr>
      <w:tr w:rsidR="00BD3471" w:rsidRPr="009D7948" w:rsidTr="00980528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7C78BD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91678676896</w:t>
            </w:r>
          </w:p>
        </w:tc>
        <w:tc>
          <w:tcPr>
            <w:tcW w:w="4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6E5E8B" w:rsidP="00980528">
            <w:pPr>
              <w:spacing w:after="0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6" w:history="1">
              <w:r w:rsidR="00C514AE" w:rsidRPr="00CB3FA9">
                <w:rPr>
                  <w:rStyle w:val="Hiperveza"/>
                  <w:rFonts w:ascii="Arial" w:hAnsi="Arial" w:cs="Arial"/>
                  <w:sz w:val="18"/>
                  <w:szCs w:val="18"/>
                </w:rPr>
                <w:t>COMBIS d.o.o.</w:t>
              </w:r>
            </w:hyperlink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BD3471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62</w:t>
            </w:r>
            <w:r w:rsidR="00BD3471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16365C"/>
                <w:sz w:val="18"/>
                <w:szCs w:val="18"/>
              </w:rPr>
              <w:t>03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366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644.982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22.335</w:t>
            </w:r>
          </w:p>
        </w:tc>
      </w:tr>
      <w:tr w:rsidR="00BD3471" w:rsidRPr="009D7948" w:rsidTr="00980528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7C78BD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2.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67001695549</w:t>
            </w:r>
          </w:p>
        </w:tc>
        <w:tc>
          <w:tcPr>
            <w:tcW w:w="4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6E5E8B" w:rsidP="00980528">
            <w:pPr>
              <w:spacing w:after="0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7" w:history="1">
              <w:r w:rsidR="00C514AE" w:rsidRPr="00CB3FA9">
                <w:rPr>
                  <w:rStyle w:val="Hiperveza"/>
                  <w:rFonts w:ascii="Arial" w:hAnsi="Arial" w:cs="Arial"/>
                  <w:sz w:val="18"/>
                  <w:szCs w:val="18"/>
                </w:rPr>
                <w:t>KING ICT d.o.o.</w:t>
              </w:r>
            </w:hyperlink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BD3471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62</w:t>
            </w:r>
            <w:r w:rsidR="00BD3471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16365C"/>
                <w:sz w:val="18"/>
                <w:szCs w:val="18"/>
              </w:rPr>
              <w:t>01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308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625.786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23.427</w:t>
            </w:r>
          </w:p>
        </w:tc>
      </w:tr>
      <w:tr w:rsidR="00BD3471" w:rsidRPr="009D7948" w:rsidTr="00980528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7C78BD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3.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19680551758</w:t>
            </w:r>
          </w:p>
        </w:tc>
        <w:tc>
          <w:tcPr>
            <w:tcW w:w="4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6E5E8B" w:rsidP="00980528">
            <w:pPr>
              <w:spacing w:after="0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8" w:history="1">
              <w:r w:rsidR="00C514AE" w:rsidRPr="00CB3FA9">
                <w:rPr>
                  <w:rStyle w:val="Hiperveza"/>
                  <w:rFonts w:ascii="Arial" w:hAnsi="Arial" w:cs="Arial"/>
                  <w:sz w:val="18"/>
                  <w:szCs w:val="18"/>
                </w:rPr>
                <w:t>SPAN d.o.o.</w:t>
              </w:r>
            </w:hyperlink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BD3471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62</w:t>
            </w:r>
            <w:r w:rsidR="00BD3471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16365C"/>
                <w:sz w:val="18"/>
                <w:szCs w:val="18"/>
              </w:rPr>
              <w:t>01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300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323.442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8.865</w:t>
            </w:r>
          </w:p>
        </w:tc>
      </w:tr>
      <w:tr w:rsidR="00BD3471" w:rsidRPr="009D7948" w:rsidTr="00980528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7C78BD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4.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42543880714</w:t>
            </w:r>
          </w:p>
        </w:tc>
        <w:tc>
          <w:tcPr>
            <w:tcW w:w="4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6E5E8B" w:rsidP="00980528">
            <w:pPr>
              <w:spacing w:after="0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19" w:history="1">
              <w:r w:rsidR="00C514AE" w:rsidRPr="00CB3FA9">
                <w:rPr>
                  <w:rStyle w:val="Hiperveza"/>
                  <w:rFonts w:ascii="Arial" w:hAnsi="Arial" w:cs="Arial"/>
                  <w:sz w:val="18"/>
                  <w:szCs w:val="18"/>
                </w:rPr>
                <w:t>ASBISC-CR d.o.o.</w:t>
              </w:r>
            </w:hyperlink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BD3471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62</w:t>
            </w:r>
            <w:r w:rsidR="00BD3471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16365C"/>
                <w:sz w:val="18"/>
                <w:szCs w:val="18"/>
              </w:rPr>
              <w:t>01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31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218.238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1.816</w:t>
            </w:r>
          </w:p>
        </w:tc>
      </w:tr>
      <w:tr w:rsidR="00BD3471" w:rsidRPr="009D7948" w:rsidTr="00980528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7C78BD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5.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2994650199</w:t>
            </w:r>
          </w:p>
        </w:tc>
        <w:tc>
          <w:tcPr>
            <w:tcW w:w="4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6E5E8B" w:rsidP="00980528">
            <w:pPr>
              <w:spacing w:after="0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20" w:history="1">
              <w:r w:rsidR="00C514AE" w:rsidRPr="00CB3FA9">
                <w:rPr>
                  <w:rStyle w:val="Hiperveza"/>
                  <w:rFonts w:ascii="Arial" w:hAnsi="Arial" w:cs="Arial"/>
                  <w:sz w:val="18"/>
                  <w:szCs w:val="18"/>
                </w:rPr>
                <w:t>APIS IT d.o.o.</w:t>
              </w:r>
            </w:hyperlink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BD3471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62</w:t>
            </w:r>
            <w:r w:rsidR="00BD3471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16365C"/>
                <w:sz w:val="18"/>
                <w:szCs w:val="18"/>
              </w:rPr>
              <w:t>01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375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209.309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5.533</w:t>
            </w:r>
          </w:p>
        </w:tc>
      </w:tr>
      <w:tr w:rsidR="00BD3471" w:rsidRPr="009D7948" w:rsidTr="00980528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7C78BD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6.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9201087238</w:t>
            </w:r>
          </w:p>
        </w:tc>
        <w:tc>
          <w:tcPr>
            <w:tcW w:w="4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6E5E8B" w:rsidP="00980528">
            <w:pPr>
              <w:spacing w:after="0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21" w:history="1">
              <w:r w:rsidR="00C514AE" w:rsidRPr="00CB3FA9">
                <w:rPr>
                  <w:rStyle w:val="Hiperveza"/>
                  <w:rFonts w:ascii="Arial" w:hAnsi="Arial" w:cs="Arial"/>
                  <w:sz w:val="18"/>
                  <w:szCs w:val="18"/>
                </w:rPr>
                <w:t>COMPING KOMPJUTORSKI INŽENJERING d.o.o.</w:t>
              </w:r>
            </w:hyperlink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BD3471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62</w:t>
            </w:r>
            <w:r w:rsidR="00BD3471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16365C"/>
                <w:sz w:val="18"/>
                <w:szCs w:val="18"/>
              </w:rPr>
              <w:t>03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87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206.751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15.515</w:t>
            </w:r>
          </w:p>
        </w:tc>
      </w:tr>
      <w:tr w:rsidR="00BD3471" w:rsidRPr="009D7948" w:rsidTr="00980528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7C78BD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7.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99338993079</w:t>
            </w:r>
          </w:p>
        </w:tc>
        <w:tc>
          <w:tcPr>
            <w:tcW w:w="4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6E5E8B" w:rsidP="00980528">
            <w:pPr>
              <w:spacing w:after="0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22" w:history="1">
              <w:r w:rsidR="00C514AE" w:rsidRPr="00CB3FA9">
                <w:rPr>
                  <w:rStyle w:val="Hiperveza"/>
                  <w:rFonts w:ascii="Arial" w:hAnsi="Arial" w:cs="Arial"/>
                  <w:sz w:val="18"/>
                  <w:szCs w:val="18"/>
                </w:rPr>
                <w:t>ASSECO SEE d.o.o.</w:t>
              </w:r>
            </w:hyperlink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BD3471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62</w:t>
            </w:r>
            <w:r w:rsidR="00BD3471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16365C"/>
                <w:sz w:val="18"/>
                <w:szCs w:val="18"/>
              </w:rPr>
              <w:t>01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238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167.863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19.861</w:t>
            </w:r>
          </w:p>
        </w:tc>
      </w:tr>
      <w:tr w:rsidR="00BD3471" w:rsidRPr="009D7948" w:rsidTr="00980528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7C78BD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8.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68195665956</w:t>
            </w:r>
          </w:p>
        </w:tc>
        <w:tc>
          <w:tcPr>
            <w:tcW w:w="4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6E5E8B" w:rsidP="00980528">
            <w:pPr>
              <w:spacing w:after="0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23" w:history="1">
              <w:r w:rsidR="00C514AE" w:rsidRPr="00CB3FA9">
                <w:rPr>
                  <w:rStyle w:val="Hiperveza"/>
                  <w:rFonts w:ascii="Arial" w:hAnsi="Arial" w:cs="Arial"/>
                  <w:sz w:val="18"/>
                  <w:szCs w:val="18"/>
                </w:rPr>
                <w:t>IN2 d.o.o.</w:t>
              </w:r>
            </w:hyperlink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BD3471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62</w:t>
            </w:r>
            <w:r w:rsidR="00BD3471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16365C"/>
                <w:sz w:val="18"/>
                <w:szCs w:val="18"/>
              </w:rPr>
              <w:t>01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361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165.614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2.967</w:t>
            </w:r>
          </w:p>
        </w:tc>
      </w:tr>
      <w:tr w:rsidR="00BD3471" w:rsidRPr="009D7948" w:rsidTr="00980528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7C78BD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9.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86132384544</w:t>
            </w:r>
          </w:p>
        </w:tc>
        <w:tc>
          <w:tcPr>
            <w:tcW w:w="4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6E5E8B" w:rsidP="00980528">
            <w:pPr>
              <w:spacing w:after="0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24" w:history="1">
              <w:r w:rsidR="00C514AE" w:rsidRPr="00CB3FA9">
                <w:rPr>
                  <w:rStyle w:val="Hiperveza"/>
                  <w:rFonts w:ascii="Arial" w:hAnsi="Arial" w:cs="Arial"/>
                  <w:sz w:val="18"/>
                  <w:szCs w:val="18"/>
                </w:rPr>
                <w:t>CROZ d.o.o.</w:t>
              </w:r>
            </w:hyperlink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BD3471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62</w:t>
            </w:r>
            <w:r w:rsidR="00BD3471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16365C"/>
                <w:sz w:val="18"/>
                <w:szCs w:val="18"/>
              </w:rPr>
              <w:t>01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175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128.712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25.126</w:t>
            </w:r>
          </w:p>
        </w:tc>
      </w:tr>
      <w:tr w:rsidR="00BD3471" w:rsidRPr="009D7948" w:rsidTr="00980528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BD3471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10</w:t>
            </w:r>
          </w:p>
        </w:tc>
        <w:tc>
          <w:tcPr>
            <w:tcW w:w="1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78920611325</w:t>
            </w:r>
          </w:p>
        </w:tc>
        <w:tc>
          <w:tcPr>
            <w:tcW w:w="4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6E5E8B" w:rsidP="00980528">
            <w:pPr>
              <w:spacing w:after="0"/>
              <w:ind w:left="-57" w:right="-57"/>
              <w:rPr>
                <w:rFonts w:ascii="Arial" w:hAnsi="Arial" w:cs="Arial"/>
                <w:color w:val="16365C"/>
                <w:sz w:val="18"/>
                <w:szCs w:val="18"/>
              </w:rPr>
            </w:pPr>
            <w:hyperlink r:id="rId25" w:history="1">
              <w:r w:rsidR="00C514AE" w:rsidRPr="00CB3FA9">
                <w:rPr>
                  <w:rStyle w:val="Hiperveza"/>
                  <w:rFonts w:ascii="Arial" w:hAnsi="Arial" w:cs="Arial"/>
                  <w:sz w:val="18"/>
                  <w:szCs w:val="18"/>
                </w:rPr>
                <w:t>ATOS IT SOLUTIONS AND SERVICES d.o.o.</w:t>
              </w:r>
            </w:hyperlink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BD3471">
            <w:pPr>
              <w:spacing w:after="0"/>
              <w:jc w:val="center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62</w:t>
            </w:r>
            <w:r w:rsidR="00BD3471">
              <w:rPr>
                <w:rFonts w:ascii="Arial" w:hAnsi="Arial" w:cs="Arial"/>
                <w:color w:val="16365C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16365C"/>
                <w:sz w:val="18"/>
                <w:szCs w:val="18"/>
              </w:rPr>
              <w:t>03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93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125.045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6D9F1" w:themeFill="text2" w:themeFillTint="33"/>
            <w:vAlign w:val="center"/>
          </w:tcPr>
          <w:p w:rsidR="00C514AE" w:rsidRDefault="00C514AE" w:rsidP="00980528">
            <w:pPr>
              <w:spacing w:after="0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color w:val="16365C"/>
                <w:sz w:val="18"/>
                <w:szCs w:val="18"/>
              </w:rPr>
              <w:t>346</w:t>
            </w:r>
          </w:p>
        </w:tc>
      </w:tr>
      <w:tr w:rsidR="00C514AE" w:rsidRPr="009D7948" w:rsidTr="00BD3471">
        <w:trPr>
          <w:trHeight w:val="283"/>
          <w:jc w:val="center"/>
        </w:trPr>
        <w:tc>
          <w:tcPr>
            <w:tcW w:w="674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C514AE" w:rsidRPr="00121AB8" w:rsidRDefault="00C514AE" w:rsidP="007C78BD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21AB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Ukupno</w:t>
            </w:r>
            <w:r w:rsidR="00D52FEF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top 10 po ukupnom prihodu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C514AE" w:rsidRDefault="00C514AE" w:rsidP="007C78BD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2.334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C514AE" w:rsidRDefault="00C514AE" w:rsidP="007C78BD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2.815.743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C514AE" w:rsidRDefault="00C514AE" w:rsidP="007C78BD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125.791</w:t>
            </w:r>
          </w:p>
        </w:tc>
      </w:tr>
      <w:tr w:rsidR="00861FD5" w:rsidRPr="009D7948" w:rsidTr="00BD3471">
        <w:trPr>
          <w:trHeight w:val="283"/>
          <w:jc w:val="center"/>
        </w:trPr>
        <w:tc>
          <w:tcPr>
            <w:tcW w:w="674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861FD5" w:rsidRDefault="00861FD5" w:rsidP="007C78BD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Ukupno svi poduzetnici djelatnost 62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861FD5" w:rsidRDefault="00861FD5" w:rsidP="007C78BD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16.366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861FD5" w:rsidRDefault="00861FD5" w:rsidP="007C78BD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9.893.039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861FD5" w:rsidRDefault="00861FD5" w:rsidP="007C78BD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1.188.507</w:t>
            </w:r>
          </w:p>
        </w:tc>
      </w:tr>
      <w:tr w:rsidR="00861FD5" w:rsidRPr="009D7948" w:rsidTr="00BD3471">
        <w:trPr>
          <w:trHeight w:val="283"/>
          <w:jc w:val="center"/>
        </w:trPr>
        <w:tc>
          <w:tcPr>
            <w:tcW w:w="6746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861FD5" w:rsidRDefault="00861FD5" w:rsidP="007C78BD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Udio top 10 po prihodu</w:t>
            </w:r>
            <w:r w:rsidR="004A6E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u djelatnosti 62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861FD5" w:rsidRDefault="00861FD5" w:rsidP="007C78BD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14,3%</w:t>
            </w:r>
          </w:p>
        </w:tc>
        <w:tc>
          <w:tcPr>
            <w:tcW w:w="10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861FD5" w:rsidRDefault="00861FD5" w:rsidP="007C78BD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28,5%</w:t>
            </w:r>
          </w:p>
        </w:tc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325A"/>
            <w:vAlign w:val="center"/>
          </w:tcPr>
          <w:p w:rsidR="00861FD5" w:rsidRDefault="00861FD5" w:rsidP="007C78BD">
            <w:pPr>
              <w:spacing w:after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10,6%</w:t>
            </w:r>
          </w:p>
        </w:tc>
      </w:tr>
    </w:tbl>
    <w:p w:rsidR="00DE29C7" w:rsidRPr="00121AB8" w:rsidRDefault="00DE29C7" w:rsidP="00DE29C7">
      <w:pPr>
        <w:spacing w:before="60" w:after="0" w:line="240" w:lineRule="auto"/>
        <w:jc w:val="both"/>
        <w:rPr>
          <w:rFonts w:ascii="Arial" w:hAnsi="Arial" w:cs="Arial"/>
          <w:i/>
          <w:color w:val="17365D" w:themeColor="text2" w:themeShade="BF"/>
          <w:sz w:val="16"/>
          <w:szCs w:val="16"/>
        </w:rPr>
      </w:pPr>
      <w:r w:rsidRPr="00121AB8">
        <w:rPr>
          <w:rFonts w:ascii="Arial" w:hAnsi="Arial" w:cs="Arial"/>
          <w:i/>
          <w:color w:val="17365D" w:themeColor="text2" w:themeShade="BF"/>
          <w:sz w:val="16"/>
          <w:szCs w:val="16"/>
        </w:rPr>
        <w:t>Izvor: Financijska agencija – Registar godišnjih financijskih izvještaja</w:t>
      </w:r>
    </w:p>
    <w:p w:rsidR="000777A3" w:rsidRPr="000777A3" w:rsidRDefault="000E5F7C" w:rsidP="001637B6">
      <w:pPr>
        <w:spacing w:before="180" w:after="0"/>
        <w:jc w:val="both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>P</w:t>
      </w:r>
      <w:r w:rsidRPr="003B33BD">
        <w:rPr>
          <w:rFonts w:ascii="Arial" w:hAnsi="Arial" w:cs="Arial"/>
          <w:color w:val="17365D" w:themeColor="text2" w:themeShade="BF"/>
          <w:sz w:val="20"/>
          <w:szCs w:val="20"/>
        </w:rPr>
        <w:t xml:space="preserve">rvih 10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poduzetnika </w:t>
      </w:r>
      <w:r w:rsidRPr="003B33BD">
        <w:rPr>
          <w:rFonts w:ascii="Arial" w:hAnsi="Arial" w:cs="Arial"/>
          <w:color w:val="17365D" w:themeColor="text2" w:themeShade="BF"/>
          <w:sz w:val="20"/>
          <w:szCs w:val="20"/>
        </w:rPr>
        <w:t xml:space="preserve">po ukupnom prihodu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imalo je udio od 14,3 % u broju zaposlenih, </w:t>
      </w:r>
      <w:r w:rsidRPr="003B33BD">
        <w:rPr>
          <w:rFonts w:ascii="Arial" w:hAnsi="Arial" w:cs="Arial"/>
          <w:color w:val="17365D" w:themeColor="text2" w:themeShade="BF"/>
          <w:sz w:val="20"/>
          <w:szCs w:val="20"/>
        </w:rPr>
        <w:t>28,5</w:t>
      </w: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Pr="003B33BD">
        <w:rPr>
          <w:rFonts w:ascii="Arial" w:hAnsi="Arial" w:cs="Arial"/>
          <w:color w:val="17365D" w:themeColor="text2" w:themeShade="BF"/>
          <w:sz w:val="20"/>
          <w:szCs w:val="20"/>
        </w:rPr>
        <w:t xml:space="preserve">%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u ukupnim prihodima te 10,6 % u dobiti</w:t>
      </w:r>
      <w:r w:rsidRPr="003B33BD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poduzetnika u djelatnosti r</w:t>
      </w:r>
      <w:r w:rsidRPr="005C7109">
        <w:rPr>
          <w:rFonts w:ascii="Arial" w:hAnsi="Arial" w:cs="Arial"/>
          <w:color w:val="17365D" w:themeColor="text2" w:themeShade="BF"/>
          <w:sz w:val="20"/>
          <w:szCs w:val="20"/>
        </w:rPr>
        <w:t>ačunalno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g</w:t>
      </w:r>
      <w:r w:rsidRPr="005C7109">
        <w:rPr>
          <w:rFonts w:ascii="Arial" w:hAnsi="Arial" w:cs="Arial"/>
          <w:color w:val="17365D" w:themeColor="text2" w:themeShade="BF"/>
          <w:sz w:val="20"/>
          <w:szCs w:val="20"/>
        </w:rPr>
        <w:t xml:space="preserve"> programiranj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Pr="005C7109">
        <w:rPr>
          <w:rFonts w:ascii="Arial" w:hAnsi="Arial" w:cs="Arial"/>
          <w:color w:val="17365D" w:themeColor="text2" w:themeShade="BF"/>
          <w:sz w:val="20"/>
          <w:szCs w:val="20"/>
        </w:rPr>
        <w:t>, savjetovanj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a</w:t>
      </w:r>
      <w:r w:rsidRPr="005C7109">
        <w:rPr>
          <w:rFonts w:ascii="Arial" w:hAnsi="Arial" w:cs="Arial"/>
          <w:color w:val="17365D" w:themeColor="text2" w:themeShade="BF"/>
          <w:sz w:val="20"/>
          <w:szCs w:val="20"/>
        </w:rPr>
        <w:t xml:space="preserve"> i djelatnosti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ma</w:t>
      </w:r>
      <w:r w:rsidRPr="005C7109">
        <w:rPr>
          <w:rFonts w:ascii="Arial" w:hAnsi="Arial" w:cs="Arial"/>
          <w:color w:val="17365D" w:themeColor="text2" w:themeShade="BF"/>
          <w:sz w:val="20"/>
          <w:szCs w:val="20"/>
        </w:rPr>
        <w:t xml:space="preserve"> povezan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ima</w:t>
      </w:r>
      <w:r w:rsidRPr="005C7109">
        <w:rPr>
          <w:rFonts w:ascii="Arial" w:hAnsi="Arial" w:cs="Arial"/>
          <w:color w:val="17365D" w:themeColor="text2" w:themeShade="BF"/>
          <w:sz w:val="20"/>
          <w:szCs w:val="20"/>
        </w:rPr>
        <w:t xml:space="preserve"> s njima (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NKD</w:t>
      </w:r>
      <w:r w:rsidRPr="003B33BD">
        <w:rPr>
          <w:rFonts w:ascii="Arial" w:hAnsi="Arial" w:cs="Arial"/>
          <w:color w:val="17365D" w:themeColor="text2" w:themeShade="BF"/>
          <w:sz w:val="20"/>
          <w:szCs w:val="20"/>
        </w:rPr>
        <w:t xml:space="preserve"> 62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)</w:t>
      </w:r>
      <w:r w:rsidRPr="003B33BD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1637B6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 w:rsidR="002A4264" w:rsidRPr="00861FD5">
        <w:rPr>
          <w:rFonts w:ascii="Arial" w:hAnsi="Arial" w:cs="Arial"/>
          <w:color w:val="17365D" w:themeColor="text2" w:themeShade="BF"/>
          <w:sz w:val="20"/>
          <w:szCs w:val="20"/>
        </w:rPr>
        <w:t>Prvi poduzetnik na listi po ukupnim prih</w:t>
      </w:r>
      <w:bookmarkStart w:id="0" w:name="_GoBack"/>
      <w:bookmarkEnd w:id="0"/>
      <w:r w:rsidR="002A4264" w:rsidRPr="00861FD5">
        <w:rPr>
          <w:rFonts w:ascii="Arial" w:hAnsi="Arial" w:cs="Arial"/>
          <w:color w:val="17365D" w:themeColor="text2" w:themeShade="BF"/>
          <w:sz w:val="20"/>
          <w:szCs w:val="20"/>
        </w:rPr>
        <w:t xml:space="preserve">odima u </w:t>
      </w:r>
      <w:r w:rsidRPr="000E5F7C">
        <w:rPr>
          <w:rFonts w:ascii="Arial" w:hAnsi="Arial" w:cs="Arial"/>
          <w:color w:val="17365D" w:themeColor="text2" w:themeShade="BF"/>
          <w:sz w:val="20"/>
          <w:szCs w:val="20"/>
        </w:rPr>
        <w:t>odjeljku djelatnosti računalnog programiranja, savjetovanja i djelatnostima povezanim s njima (NKD 62),</w:t>
      </w:r>
      <w:r w:rsidR="002A4264" w:rsidRPr="00861FD5">
        <w:rPr>
          <w:rFonts w:ascii="Arial" w:hAnsi="Arial" w:cs="Arial"/>
          <w:color w:val="17365D" w:themeColor="text2" w:themeShade="BF"/>
          <w:sz w:val="20"/>
          <w:szCs w:val="20"/>
        </w:rPr>
        <w:t xml:space="preserve"> u 2017. g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odini</w:t>
      </w:r>
      <w:r w:rsidR="002A4264" w:rsidRPr="00861FD5">
        <w:rPr>
          <w:rFonts w:ascii="Arial" w:hAnsi="Arial" w:cs="Arial"/>
          <w:color w:val="17365D" w:themeColor="text2" w:themeShade="BF"/>
          <w:sz w:val="20"/>
          <w:szCs w:val="20"/>
        </w:rPr>
        <w:t xml:space="preserve"> je </w:t>
      </w:r>
      <w:hyperlink r:id="rId26" w:history="1">
        <w:r w:rsidR="002A4264" w:rsidRPr="00CB3FA9">
          <w:rPr>
            <w:rStyle w:val="Hiperveza"/>
            <w:rFonts w:ascii="Arial" w:hAnsi="Arial" w:cs="Arial"/>
            <w:sz w:val="20"/>
            <w:szCs w:val="20"/>
          </w:rPr>
          <w:t>COMBIS d.o.o.</w:t>
        </w:r>
      </w:hyperlink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iz Zagreba. </w:t>
      </w:r>
      <w:hyperlink r:id="rId27" w:history="1">
        <w:r w:rsidR="004A6EC4" w:rsidRPr="00567D1A">
          <w:rPr>
            <w:rStyle w:val="Hiperveza"/>
            <w:rFonts w:ascii="Arial" w:hAnsi="Arial" w:cs="Arial"/>
            <w:sz w:val="20"/>
            <w:szCs w:val="20"/>
          </w:rPr>
          <w:t>HEWLETT-PACKARD d.o.o.</w:t>
        </w:r>
      </w:hyperlink>
      <w:r w:rsidR="000777A3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iz Zagreba ostvari</w:t>
      </w:r>
      <w:r w:rsidR="008F280D" w:rsidRPr="004A6EC4">
        <w:rPr>
          <w:rFonts w:ascii="Arial" w:hAnsi="Arial" w:cs="Arial"/>
          <w:color w:val="17365D" w:themeColor="text2" w:themeShade="BF"/>
          <w:sz w:val="20"/>
          <w:szCs w:val="20"/>
        </w:rPr>
        <w:t>o je najveću dobit u odjeljku djelatnos</w:t>
      </w:r>
      <w:r w:rsidR="002A4264" w:rsidRPr="004A6EC4">
        <w:rPr>
          <w:rFonts w:ascii="Arial" w:hAnsi="Arial" w:cs="Arial"/>
          <w:color w:val="17365D" w:themeColor="text2" w:themeShade="BF"/>
          <w:sz w:val="20"/>
          <w:szCs w:val="20"/>
        </w:rPr>
        <w:t xml:space="preserve">ti </w:t>
      </w:r>
      <w:r w:rsidRPr="000E5F7C">
        <w:rPr>
          <w:rFonts w:ascii="Arial" w:hAnsi="Arial" w:cs="Arial"/>
          <w:color w:val="17365D" w:themeColor="text2" w:themeShade="BF"/>
          <w:sz w:val="20"/>
          <w:szCs w:val="20"/>
        </w:rPr>
        <w:t>računalnog programiranja, savjetovanja i djelatnostima povezanim s njima (NKD 62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),</w:t>
      </w:r>
      <w:r w:rsidR="002A4264" w:rsidRPr="004A6EC4">
        <w:rPr>
          <w:rFonts w:ascii="Arial" w:hAnsi="Arial" w:cs="Arial"/>
          <w:color w:val="17365D" w:themeColor="text2" w:themeShade="BF"/>
          <w:sz w:val="20"/>
          <w:szCs w:val="20"/>
        </w:rPr>
        <w:t xml:space="preserve"> u iznosu od </w:t>
      </w:r>
      <w:r w:rsidR="004A6EC4" w:rsidRPr="004A6EC4">
        <w:rPr>
          <w:rFonts w:ascii="Arial" w:hAnsi="Arial" w:cs="Arial"/>
          <w:color w:val="17365D" w:themeColor="text2" w:themeShade="BF"/>
          <w:sz w:val="20"/>
          <w:szCs w:val="20"/>
        </w:rPr>
        <w:t>gotovo 34,9 milijuna kuna</w:t>
      </w:r>
      <w:r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="004A6EC4">
        <w:rPr>
          <w:rFonts w:ascii="Arial" w:hAnsi="Arial" w:cs="Arial"/>
          <w:color w:val="17365D" w:themeColor="text2" w:themeShade="BF"/>
          <w:sz w:val="20"/>
          <w:szCs w:val="20"/>
        </w:rPr>
        <w:t xml:space="preserve"> </w:t>
      </w:r>
    </w:p>
    <w:p w:rsidR="001637B6" w:rsidRDefault="001637B6" w:rsidP="001637B6">
      <w:pPr>
        <w:pageBreakBefore/>
        <w:spacing w:after="0"/>
        <w:rPr>
          <w:rFonts w:ascii="Arial" w:hAnsi="Arial" w:cs="Arial"/>
          <w:color w:val="17365D" w:themeColor="text2" w:themeShade="BF"/>
          <w:sz w:val="20"/>
          <w:szCs w:val="20"/>
        </w:rPr>
      </w:pPr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Na drugom mjestu je </w:t>
      </w:r>
      <w:hyperlink r:id="rId28" w:history="1">
        <w:r w:rsidRPr="00567D1A">
          <w:rPr>
            <w:rStyle w:val="Hiperveza"/>
            <w:rFonts w:ascii="Arial" w:hAnsi="Arial" w:cs="Arial"/>
            <w:sz w:val="20"/>
            <w:szCs w:val="20"/>
          </w:rPr>
          <w:t>MANAS d.o.o.</w:t>
        </w:r>
      </w:hyperlink>
      <w:r>
        <w:rPr>
          <w:rFonts w:ascii="Arial" w:hAnsi="Arial" w:cs="Arial"/>
          <w:color w:val="17365D" w:themeColor="text2" w:themeShade="BF"/>
          <w:sz w:val="20"/>
          <w:szCs w:val="20"/>
        </w:rPr>
        <w:t xml:space="preserve"> koji je ostvario dobit razdoblja u iznosu od 25,9 milijuna kuna što je 12,3 % udjela u dobiti razdoblja top 10 poduzetnika prema dobiti razdoblja.</w:t>
      </w:r>
    </w:p>
    <w:p w:rsidR="00C56390" w:rsidRPr="00BD3471" w:rsidRDefault="005D1C64" w:rsidP="001637B6">
      <w:pPr>
        <w:widowControl w:val="0"/>
        <w:tabs>
          <w:tab w:val="left" w:pos="1134"/>
        </w:tabs>
        <w:spacing w:before="180" w:after="0" w:line="240" w:lineRule="auto"/>
        <w:ind w:left="1134" w:hanging="1134"/>
        <w:rPr>
          <w:rFonts w:ascii="Arial" w:hAnsi="Arial" w:cs="Arial"/>
          <w:b/>
          <w:color w:val="17365D" w:themeColor="text2" w:themeShade="BF"/>
          <w:sz w:val="19"/>
          <w:szCs w:val="19"/>
        </w:rPr>
      </w:pPr>
      <w:r w:rsidRPr="00BD3471">
        <w:rPr>
          <w:rFonts w:ascii="Arial" w:hAnsi="Arial" w:cs="Arial"/>
          <w:b/>
          <w:color w:val="17365D" w:themeColor="text2" w:themeShade="BF"/>
          <w:sz w:val="19"/>
          <w:szCs w:val="19"/>
        </w:rPr>
        <w:t>Grafikon 2</w:t>
      </w:r>
      <w:r w:rsidR="00C56390" w:rsidRPr="00BD3471">
        <w:rPr>
          <w:rFonts w:ascii="Arial" w:hAnsi="Arial" w:cs="Arial"/>
          <w:b/>
          <w:color w:val="17365D" w:themeColor="text2" w:themeShade="BF"/>
          <w:sz w:val="19"/>
          <w:szCs w:val="19"/>
        </w:rPr>
        <w:t>.</w:t>
      </w:r>
      <w:r w:rsidR="00C56390" w:rsidRPr="00BD3471">
        <w:rPr>
          <w:rFonts w:ascii="Arial" w:hAnsi="Arial" w:cs="Arial"/>
          <w:b/>
          <w:color w:val="17365D" w:themeColor="text2" w:themeShade="BF"/>
          <w:sz w:val="19"/>
          <w:szCs w:val="19"/>
        </w:rPr>
        <w:tab/>
        <w:t xml:space="preserve">Top 5 poduzetnika </w:t>
      </w:r>
      <w:r w:rsidR="002B638F" w:rsidRPr="00BD3471">
        <w:rPr>
          <w:rFonts w:ascii="Arial" w:hAnsi="Arial" w:cs="Arial"/>
          <w:b/>
          <w:color w:val="17365D" w:themeColor="text2" w:themeShade="BF"/>
          <w:sz w:val="19"/>
          <w:szCs w:val="19"/>
        </w:rPr>
        <w:t>u</w:t>
      </w:r>
      <w:r w:rsidR="009D7948">
        <w:rPr>
          <w:rFonts w:ascii="Arial" w:hAnsi="Arial" w:cs="Arial"/>
          <w:b/>
          <w:color w:val="17365D" w:themeColor="text2" w:themeShade="BF"/>
          <w:sz w:val="19"/>
          <w:szCs w:val="19"/>
        </w:rPr>
        <w:t xml:space="preserve"> djelatnosti r</w:t>
      </w:r>
      <w:r w:rsidR="009D7948" w:rsidRPr="009D7948">
        <w:rPr>
          <w:rFonts w:ascii="Arial" w:hAnsi="Arial" w:cs="Arial"/>
          <w:b/>
          <w:color w:val="17365D" w:themeColor="text2" w:themeShade="BF"/>
          <w:sz w:val="19"/>
          <w:szCs w:val="19"/>
        </w:rPr>
        <w:t>ačunalno</w:t>
      </w:r>
      <w:r w:rsidR="009D7948">
        <w:rPr>
          <w:rFonts w:ascii="Arial" w:hAnsi="Arial" w:cs="Arial"/>
          <w:b/>
          <w:color w:val="17365D" w:themeColor="text2" w:themeShade="BF"/>
          <w:sz w:val="19"/>
          <w:szCs w:val="19"/>
        </w:rPr>
        <w:t>g</w:t>
      </w:r>
      <w:r w:rsidR="009D7948" w:rsidRPr="009D7948">
        <w:rPr>
          <w:rFonts w:ascii="Arial" w:hAnsi="Arial" w:cs="Arial"/>
          <w:b/>
          <w:color w:val="17365D" w:themeColor="text2" w:themeShade="BF"/>
          <w:sz w:val="19"/>
          <w:szCs w:val="19"/>
        </w:rPr>
        <w:t xml:space="preserve"> programiranj</w:t>
      </w:r>
      <w:r w:rsidR="009D7948">
        <w:rPr>
          <w:rFonts w:ascii="Arial" w:hAnsi="Arial" w:cs="Arial"/>
          <w:b/>
          <w:color w:val="17365D" w:themeColor="text2" w:themeShade="BF"/>
          <w:sz w:val="19"/>
          <w:szCs w:val="19"/>
        </w:rPr>
        <w:t>a</w:t>
      </w:r>
      <w:r w:rsidR="009D7948" w:rsidRPr="009D7948">
        <w:rPr>
          <w:rFonts w:ascii="Arial" w:hAnsi="Arial" w:cs="Arial"/>
          <w:b/>
          <w:color w:val="17365D" w:themeColor="text2" w:themeShade="BF"/>
          <w:sz w:val="19"/>
          <w:szCs w:val="19"/>
        </w:rPr>
        <w:t>, savjetovanj</w:t>
      </w:r>
      <w:r w:rsidR="009D7948">
        <w:rPr>
          <w:rFonts w:ascii="Arial" w:hAnsi="Arial" w:cs="Arial"/>
          <w:b/>
          <w:color w:val="17365D" w:themeColor="text2" w:themeShade="BF"/>
          <w:sz w:val="19"/>
          <w:szCs w:val="19"/>
        </w:rPr>
        <w:t>a</w:t>
      </w:r>
      <w:r w:rsidR="009D7948" w:rsidRPr="009D7948">
        <w:rPr>
          <w:rFonts w:ascii="Arial" w:hAnsi="Arial" w:cs="Arial"/>
          <w:b/>
          <w:color w:val="17365D" w:themeColor="text2" w:themeShade="BF"/>
          <w:sz w:val="19"/>
          <w:szCs w:val="19"/>
        </w:rPr>
        <w:t xml:space="preserve"> i djelatnosti</w:t>
      </w:r>
      <w:r w:rsidR="009D7948">
        <w:rPr>
          <w:rFonts w:ascii="Arial" w:hAnsi="Arial" w:cs="Arial"/>
          <w:b/>
          <w:color w:val="17365D" w:themeColor="text2" w:themeShade="BF"/>
          <w:sz w:val="19"/>
          <w:szCs w:val="19"/>
        </w:rPr>
        <w:t>ma</w:t>
      </w:r>
      <w:r w:rsidR="009D7948" w:rsidRPr="009D7948">
        <w:rPr>
          <w:rFonts w:ascii="Arial" w:hAnsi="Arial" w:cs="Arial"/>
          <w:b/>
          <w:color w:val="17365D" w:themeColor="text2" w:themeShade="BF"/>
          <w:sz w:val="19"/>
          <w:szCs w:val="19"/>
        </w:rPr>
        <w:t xml:space="preserve"> povezan</w:t>
      </w:r>
      <w:r w:rsidR="009D7948">
        <w:rPr>
          <w:rFonts w:ascii="Arial" w:hAnsi="Arial" w:cs="Arial"/>
          <w:b/>
          <w:color w:val="17365D" w:themeColor="text2" w:themeShade="BF"/>
          <w:sz w:val="19"/>
          <w:szCs w:val="19"/>
        </w:rPr>
        <w:t>im</w:t>
      </w:r>
      <w:r w:rsidR="009D7948" w:rsidRPr="009D7948">
        <w:rPr>
          <w:rFonts w:ascii="Arial" w:hAnsi="Arial" w:cs="Arial"/>
          <w:b/>
          <w:color w:val="17365D" w:themeColor="text2" w:themeShade="BF"/>
          <w:sz w:val="19"/>
          <w:szCs w:val="19"/>
        </w:rPr>
        <w:t xml:space="preserve"> s njima</w:t>
      </w:r>
      <w:r w:rsidR="009D7948">
        <w:rPr>
          <w:rFonts w:ascii="Arial" w:hAnsi="Arial" w:cs="Arial"/>
          <w:b/>
          <w:color w:val="17365D" w:themeColor="text2" w:themeShade="BF"/>
          <w:sz w:val="19"/>
          <w:szCs w:val="19"/>
        </w:rPr>
        <w:t xml:space="preserve"> (NKD 62),</w:t>
      </w:r>
      <w:r w:rsidR="002B638F" w:rsidRPr="00BD3471">
        <w:rPr>
          <w:rFonts w:ascii="Arial" w:hAnsi="Arial" w:cs="Arial"/>
          <w:b/>
          <w:color w:val="17365D" w:themeColor="text2" w:themeShade="BF"/>
          <w:sz w:val="19"/>
          <w:szCs w:val="19"/>
        </w:rPr>
        <w:t xml:space="preserve"> </w:t>
      </w:r>
      <w:r w:rsidR="00C56390" w:rsidRPr="00BD3471">
        <w:rPr>
          <w:rFonts w:ascii="Arial" w:hAnsi="Arial" w:cs="Arial"/>
          <w:b/>
          <w:color w:val="17365D" w:themeColor="text2" w:themeShade="BF"/>
          <w:sz w:val="19"/>
          <w:szCs w:val="19"/>
        </w:rPr>
        <w:t>rangiran</w:t>
      </w:r>
      <w:r w:rsidR="002A4264" w:rsidRPr="00BD3471">
        <w:rPr>
          <w:rFonts w:ascii="Arial" w:hAnsi="Arial" w:cs="Arial"/>
          <w:b/>
          <w:color w:val="17365D" w:themeColor="text2" w:themeShade="BF"/>
          <w:sz w:val="19"/>
          <w:szCs w:val="19"/>
        </w:rPr>
        <w:t>i prema ostvarenoj dobiti u 2017</w:t>
      </w:r>
      <w:r w:rsidR="00C56390" w:rsidRPr="00BD3471">
        <w:rPr>
          <w:rFonts w:ascii="Arial" w:hAnsi="Arial" w:cs="Arial"/>
          <w:b/>
          <w:color w:val="17365D" w:themeColor="text2" w:themeShade="BF"/>
          <w:sz w:val="19"/>
          <w:szCs w:val="19"/>
        </w:rPr>
        <w:t xml:space="preserve">. </w:t>
      </w:r>
      <w:r w:rsidR="00045FD6" w:rsidRPr="00BD3471">
        <w:rPr>
          <w:rFonts w:ascii="Arial" w:hAnsi="Arial" w:cs="Arial"/>
          <w:b/>
          <w:color w:val="17365D" w:themeColor="text2" w:themeShade="BF"/>
          <w:sz w:val="19"/>
          <w:szCs w:val="19"/>
        </w:rPr>
        <w:t>g</w:t>
      </w:r>
      <w:r w:rsidR="00BD3471">
        <w:rPr>
          <w:rFonts w:ascii="Arial" w:hAnsi="Arial" w:cs="Arial"/>
          <w:b/>
          <w:color w:val="17365D" w:themeColor="text2" w:themeShade="BF"/>
          <w:sz w:val="19"/>
          <w:szCs w:val="19"/>
        </w:rPr>
        <w:t>odini</w:t>
      </w:r>
    </w:p>
    <w:p w:rsidR="00C56390" w:rsidRPr="006943B4" w:rsidRDefault="00A92B3E" w:rsidP="009D7948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color w:val="17365D" w:themeColor="text2" w:themeShade="BF"/>
          <w:sz w:val="16"/>
          <w:szCs w:val="16"/>
        </w:rPr>
      </w:pPr>
      <w:r>
        <w:rPr>
          <w:rFonts w:ascii="Arial" w:hAnsi="Arial" w:cs="Arial"/>
          <w:noProof/>
          <w:color w:val="17365D" w:themeColor="text2" w:themeShade="BF"/>
          <w:sz w:val="16"/>
          <w:szCs w:val="16"/>
          <w:lang w:eastAsia="hr-HR"/>
        </w:rPr>
        <w:drawing>
          <wp:inline distT="0" distB="0" distL="0" distR="0" wp14:anchorId="5F95DC22">
            <wp:extent cx="6153221" cy="2448000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221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390" w:rsidRDefault="00C56390" w:rsidP="00C56390">
      <w:pPr>
        <w:spacing w:before="40" w:after="0" w:line="240" w:lineRule="auto"/>
        <w:jc w:val="both"/>
        <w:rPr>
          <w:rFonts w:ascii="Arial" w:hAnsi="Arial" w:cs="Arial"/>
          <w:i/>
          <w:noProof/>
          <w:color w:val="17365D" w:themeColor="text2" w:themeShade="BF"/>
          <w:sz w:val="16"/>
          <w:szCs w:val="16"/>
          <w:lang w:eastAsia="hr-HR"/>
        </w:rPr>
      </w:pPr>
      <w:r w:rsidRPr="00210636">
        <w:rPr>
          <w:rFonts w:ascii="Arial" w:hAnsi="Arial" w:cs="Arial"/>
          <w:i/>
          <w:noProof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2A4264" w:rsidRPr="00210636">
        <w:rPr>
          <w:rFonts w:ascii="Arial" w:hAnsi="Arial" w:cs="Arial"/>
          <w:i/>
          <w:noProof/>
          <w:color w:val="17365D" w:themeColor="text2" w:themeShade="BF"/>
          <w:sz w:val="16"/>
          <w:szCs w:val="16"/>
          <w:lang w:eastAsia="hr-HR"/>
        </w:rPr>
        <w:t>izvještaja, obrada GFI-a za 2017</w:t>
      </w:r>
      <w:r w:rsidRPr="00210636">
        <w:rPr>
          <w:rFonts w:ascii="Arial" w:hAnsi="Arial" w:cs="Arial"/>
          <w:i/>
          <w:noProof/>
          <w:color w:val="17365D" w:themeColor="text2" w:themeShade="BF"/>
          <w:sz w:val="16"/>
          <w:szCs w:val="16"/>
          <w:lang w:eastAsia="hr-HR"/>
        </w:rPr>
        <w:t xml:space="preserve">. </w:t>
      </w:r>
      <w:r w:rsidR="009A5445" w:rsidRPr="00210636">
        <w:rPr>
          <w:rFonts w:ascii="Arial" w:hAnsi="Arial" w:cs="Arial"/>
          <w:i/>
          <w:noProof/>
          <w:color w:val="17365D" w:themeColor="text2" w:themeShade="BF"/>
          <w:sz w:val="16"/>
          <w:szCs w:val="16"/>
          <w:lang w:eastAsia="hr-HR"/>
        </w:rPr>
        <w:t>G</w:t>
      </w:r>
      <w:r w:rsidRPr="00210636">
        <w:rPr>
          <w:rFonts w:ascii="Arial" w:hAnsi="Arial" w:cs="Arial"/>
          <w:i/>
          <w:noProof/>
          <w:color w:val="17365D" w:themeColor="text2" w:themeShade="BF"/>
          <w:sz w:val="16"/>
          <w:szCs w:val="16"/>
          <w:lang w:eastAsia="hr-HR"/>
        </w:rPr>
        <w:t>odinu</w:t>
      </w:r>
    </w:p>
    <w:p w:rsidR="009A5445" w:rsidRPr="009A5445" w:rsidRDefault="009A5445" w:rsidP="009A5445">
      <w:pPr>
        <w:spacing w:before="180" w:after="0"/>
        <w:jc w:val="both"/>
        <w:rPr>
          <w:rFonts w:ascii="Arial" w:hAnsi="Arial" w:cs="Arial"/>
          <w:noProof/>
          <w:color w:val="17365D" w:themeColor="text2" w:themeShade="BF"/>
          <w:sz w:val="20"/>
          <w:szCs w:val="20"/>
          <w:lang w:eastAsia="hr-HR"/>
        </w:rPr>
      </w:pPr>
      <w:r w:rsidRPr="009A5445">
        <w:rPr>
          <w:rFonts w:ascii="Arial" w:hAnsi="Arial" w:cs="Arial"/>
          <w:color w:val="00204F"/>
          <w:sz w:val="20"/>
          <w:szCs w:val="20"/>
          <w:lang w:eastAsia="hr-HR"/>
        </w:rPr>
        <w:t>Na razini županija u promatranom razdoblju (2008.-2017.), u djelatnosti računalnog programiranja, savjetovanja i djelatnostima povezanim s njima (NKD 62), nominalno je najviše rastao broj poduzetnika u Gradu Zagrebu (1075), Splitsko-dalmatinskoj (132), Zagrebačkoj (115) i Osječko-baranjskoj županiji (91), a izraženo u postotku najveći je rast ostvaren u Požeško-slavonskoj (325 %), Koprivničko-križevačkoj (312 %), Karlovačkoj (240 %) i Virovitičko-podravskoj županiji (200 %). Broj zaposlenih u navedenoj djelatnosti nominalno je najviše porastao u Gradu Zagrebu (6387), Splitsko-dalmatinskoj (762) i Varaždinskoj županiji (428).</w:t>
      </w:r>
    </w:p>
    <w:p w:rsidR="005F46A4" w:rsidRDefault="005F46A4" w:rsidP="005F46A4">
      <w:pPr>
        <w:pBdr>
          <w:top w:val="single" w:sz="12" w:space="1" w:color="auto"/>
        </w:pBdr>
        <w:spacing w:before="240" w:after="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</w:p>
    <w:p w:rsidR="005F46A4" w:rsidRDefault="005F46A4" w:rsidP="00D860FF">
      <w:pPr>
        <w:pBdr>
          <w:top w:val="single" w:sz="12" w:space="1" w:color="auto"/>
        </w:pBdr>
        <w:spacing w:before="120" w:after="0" w:line="240" w:lineRule="auto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30" w:history="1">
        <w:r>
          <w:rPr>
            <w:rStyle w:val="Hiperveza"/>
            <w:rFonts w:ascii="Arial" w:eastAsia="Times New Roman" w:hAnsi="Arial" w:cs="Arial"/>
            <w:i/>
            <w:sz w:val="18"/>
            <w:szCs w:val="19"/>
            <w:lang w:eastAsia="hr-HR"/>
          </w:rPr>
          <w:t>standardnim analizama</w:t>
        </w:r>
      </w:hyperlink>
      <w:r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 xml:space="preserve"> rezultata poslovanja poduzetnika RH, po županijama i po gradovima i općinama u 2017. godini.</w:t>
      </w:r>
    </w:p>
    <w:p w:rsidR="005F46A4" w:rsidRDefault="005F46A4" w:rsidP="00D860FF">
      <w:pPr>
        <w:pBdr>
          <w:top w:val="single" w:sz="12" w:space="1" w:color="auto"/>
        </w:pBdr>
        <w:spacing w:before="120" w:after="0" w:line="240" w:lineRule="auto"/>
        <w:rPr>
          <w:rFonts w:ascii="Arial" w:hAnsi="Arial" w:cs="Arial"/>
          <w:i/>
          <w:color w:val="244061"/>
          <w:sz w:val="18"/>
          <w:szCs w:val="19"/>
          <w:lang w:eastAsia="hr-HR"/>
        </w:rPr>
      </w:pPr>
      <w:r>
        <w:rPr>
          <w:rFonts w:ascii="Arial" w:eastAsia="Times New Roman" w:hAnsi="Arial" w:cs="Arial"/>
          <w:i/>
          <w:color w:val="17365D"/>
          <w:sz w:val="18"/>
          <w:szCs w:val="19"/>
          <w:lang w:eastAsia="hr-HR"/>
        </w:rPr>
        <w:t>Pojedinačni podaci o rezultatima poslovanja poduzetnika dostupni su besplatno na</w:t>
      </w:r>
      <w:r>
        <w:rPr>
          <w:rFonts w:ascii="Arial" w:hAnsi="Arial" w:cs="Arial"/>
          <w:i/>
          <w:color w:val="17365D"/>
          <w:sz w:val="18"/>
          <w:szCs w:val="19"/>
          <w:lang w:eastAsia="hr-HR"/>
        </w:rPr>
        <w:t xml:space="preserve"> </w:t>
      </w:r>
      <w:hyperlink r:id="rId31" w:history="1">
        <w:r>
          <w:rPr>
            <w:rStyle w:val="Hiperveza"/>
            <w:rFonts w:ascii="Arial" w:hAnsi="Arial" w:cs="Arial"/>
            <w:i/>
            <w:sz w:val="18"/>
            <w:szCs w:val="19"/>
            <w:lang w:eastAsia="hr-HR"/>
          </w:rPr>
          <w:t>RGFI – javna objava</w:t>
        </w:r>
      </w:hyperlink>
      <w:r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r>
        <w:rPr>
          <w:rFonts w:ascii="Arial" w:eastAsia="Times New Roman" w:hAnsi="Arial" w:cs="Arial"/>
          <w:i/>
          <w:color w:val="17375E"/>
          <w:sz w:val="18"/>
          <w:szCs w:val="19"/>
          <w:lang w:eastAsia="hr-HR"/>
        </w:rPr>
        <w:t>i na</w:t>
      </w:r>
      <w:r>
        <w:rPr>
          <w:rFonts w:ascii="Arial" w:hAnsi="Arial" w:cs="Arial"/>
          <w:i/>
          <w:color w:val="0F243E"/>
          <w:sz w:val="18"/>
          <w:szCs w:val="19"/>
          <w:lang w:eastAsia="hr-HR"/>
        </w:rPr>
        <w:t xml:space="preserve"> </w:t>
      </w:r>
      <w:hyperlink r:id="rId32" w:history="1">
        <w:r>
          <w:rPr>
            <w:rStyle w:val="Hiperveza"/>
            <w:rFonts w:ascii="Arial" w:hAnsi="Arial" w:cs="Arial"/>
            <w:i/>
            <w:sz w:val="18"/>
            <w:szCs w:val="19"/>
            <w:lang w:eastAsia="hr-HR"/>
          </w:rPr>
          <w:t>Transparentno.hr</w:t>
        </w:r>
      </w:hyperlink>
      <w:r>
        <w:rPr>
          <w:rFonts w:ascii="Arial" w:hAnsi="Arial" w:cs="Arial"/>
          <w:i/>
          <w:color w:val="0000FF"/>
          <w:sz w:val="18"/>
          <w:szCs w:val="19"/>
          <w:u w:val="single"/>
          <w:lang w:eastAsia="hr-HR"/>
        </w:rPr>
        <w:t>,</w:t>
      </w:r>
      <w:r>
        <w:rPr>
          <w:rFonts w:ascii="Arial" w:hAnsi="Arial" w:cs="Arial"/>
          <w:i/>
          <w:color w:val="0000FF"/>
          <w:sz w:val="18"/>
          <w:szCs w:val="19"/>
          <w:lang w:eastAsia="hr-HR"/>
        </w:rPr>
        <w:t xml:space="preserve"> </w:t>
      </w:r>
      <w:r>
        <w:rPr>
          <w:rFonts w:ascii="Arial" w:hAnsi="Arial" w:cs="Arial"/>
          <w:i/>
          <w:color w:val="244061"/>
          <w:sz w:val="18"/>
          <w:szCs w:val="19"/>
          <w:lang w:eastAsia="hr-HR"/>
        </w:rPr>
        <w:t xml:space="preserve">a agregirani i pojedinačni podaci dostupni su uz naknadu na servisu </w:t>
      </w:r>
      <w:hyperlink r:id="rId33" w:history="1">
        <w:r>
          <w:rPr>
            <w:rStyle w:val="Hiperveza"/>
            <w:rFonts w:ascii="Arial" w:hAnsi="Arial" w:cs="Arial"/>
            <w:i/>
            <w:sz w:val="18"/>
            <w:szCs w:val="19"/>
            <w:lang w:eastAsia="hr-HR"/>
          </w:rPr>
          <w:t>info.BIZ</w:t>
        </w:r>
      </w:hyperlink>
    </w:p>
    <w:p w:rsidR="005F46A4" w:rsidRDefault="005F46A4" w:rsidP="00D860FF">
      <w:pPr>
        <w:pBdr>
          <w:top w:val="single" w:sz="12" w:space="1" w:color="auto"/>
        </w:pBdr>
        <w:spacing w:before="120" w:after="120" w:line="240" w:lineRule="auto"/>
        <w:rPr>
          <w:rFonts w:ascii="Arial" w:hAnsi="Arial" w:cs="Arial"/>
          <w:bCs/>
          <w:i/>
          <w:color w:val="17365D"/>
          <w:sz w:val="18"/>
          <w:szCs w:val="19"/>
        </w:rPr>
      </w:pPr>
      <w:r>
        <w:rPr>
          <w:rFonts w:ascii="Arial" w:hAnsi="Arial" w:cs="Arial"/>
          <w:bCs/>
          <w:i/>
          <w:color w:val="17365D"/>
          <w:sz w:val="18"/>
          <w:szCs w:val="19"/>
        </w:rPr>
        <w:t xml:space="preserve">Informacija o tome je li poslovni subjekt u blokadi ili ne, dostupna je korištenjem usluge </w:t>
      </w:r>
      <w:hyperlink r:id="rId34" w:history="1">
        <w:r>
          <w:rPr>
            <w:rStyle w:val="Hiperveza"/>
            <w:rFonts w:ascii="Arial" w:hAnsi="Arial" w:cs="Arial"/>
            <w:bCs/>
            <w:i/>
            <w:sz w:val="18"/>
            <w:szCs w:val="19"/>
          </w:rPr>
          <w:t>FINA InfoBlokade</w:t>
        </w:r>
      </w:hyperlink>
      <w:r>
        <w:rPr>
          <w:rFonts w:ascii="Arial" w:hAnsi="Arial" w:cs="Arial"/>
          <w:bCs/>
          <w:i/>
          <w:color w:val="17365D"/>
          <w:sz w:val="18"/>
          <w:szCs w:val="19"/>
        </w:rPr>
        <w:t xml:space="preserve"> slanjem SMS poruke na broj 818058, te korištenjem </w:t>
      </w:r>
      <w:hyperlink r:id="rId35" w:history="1">
        <w:r>
          <w:rPr>
            <w:rStyle w:val="Hiperveza"/>
            <w:rFonts w:ascii="Arial" w:hAnsi="Arial" w:cs="Arial"/>
            <w:bCs/>
            <w:i/>
            <w:sz w:val="18"/>
            <w:szCs w:val="19"/>
          </w:rPr>
          <w:t>WEB aplikacije JRR</w:t>
        </w:r>
      </w:hyperlink>
      <w:r>
        <w:rPr>
          <w:rFonts w:ascii="Arial" w:hAnsi="Arial" w:cs="Arial"/>
          <w:bCs/>
          <w:i/>
          <w:color w:val="17365D"/>
          <w:sz w:val="18"/>
          <w:szCs w:val="19"/>
        </w:rPr>
        <w:t xml:space="preserve"> tj. uvidom u podatke o računima i statusu blokade poslovnih subjekata, koji se ažuriraju u </w:t>
      </w:r>
      <w:hyperlink r:id="rId36" w:history="1">
        <w:r>
          <w:rPr>
            <w:rStyle w:val="Hiperveza"/>
            <w:rFonts w:ascii="Arial" w:hAnsi="Arial" w:cs="Arial"/>
            <w:bCs/>
            <w:i/>
            <w:sz w:val="18"/>
            <w:szCs w:val="19"/>
          </w:rPr>
          <w:t>Jedinstvenom registru računa</w:t>
        </w:r>
      </w:hyperlink>
      <w:r>
        <w:rPr>
          <w:rFonts w:ascii="Arial" w:hAnsi="Arial" w:cs="Arial"/>
          <w:bCs/>
          <w:i/>
          <w:color w:val="17365D"/>
          <w:sz w:val="18"/>
          <w:szCs w:val="19"/>
        </w:rPr>
        <w:t xml:space="preserve"> kojega u skladu sa zakonskim propisima, od 2002. godine, vodi Financijska agencija.</w:t>
      </w:r>
    </w:p>
    <w:tbl>
      <w:tblPr>
        <w:tblW w:w="9495" w:type="dxa"/>
        <w:jc w:val="center"/>
        <w:tblInd w:w="-14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3218"/>
        <w:gridCol w:w="2930"/>
        <w:gridCol w:w="3347"/>
      </w:tblGrid>
      <w:tr w:rsidR="005F46A4" w:rsidTr="000273F4">
        <w:trPr>
          <w:trHeight w:val="1616"/>
          <w:jc w:val="center"/>
        </w:trPr>
        <w:tc>
          <w:tcPr>
            <w:tcW w:w="321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5F46A4" w:rsidRDefault="005F46A4">
            <w:pPr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808080"/>
                <w:szCs w:val="17"/>
                <w:lang w:eastAsia="hr-HR"/>
              </w:rPr>
              <w:drawing>
                <wp:inline distT="0" distB="0" distL="0" distR="0" wp14:anchorId="182BB58E" wp14:editId="5FE0C7AD">
                  <wp:extent cx="1876507" cy="1510748"/>
                  <wp:effectExtent l="0" t="0" r="0" b="0"/>
                  <wp:docPr id="7" name="Slika 7" descr="Fina info šasija_210x270.jpg">
                    <a:hlinkClick xmlns:a="http://schemas.openxmlformats.org/drawingml/2006/main" r:id="rId37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8" descr="Fina info šasija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596" cy="15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5F46A4" w:rsidRDefault="005F46A4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noProof/>
                <w:color w:val="17365D"/>
                <w:szCs w:val="19"/>
                <w:lang w:eastAsia="hr-HR"/>
              </w:rPr>
              <w:drawing>
                <wp:inline distT="0" distB="0" distL="0" distR="0" wp14:anchorId="4D590F70" wp14:editId="6CB2227D">
                  <wp:extent cx="1685676" cy="1478942"/>
                  <wp:effectExtent l="0" t="0" r="0" b="698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239" cy="1482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7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5F46A4" w:rsidRDefault="005F46A4">
            <w:pPr>
              <w:jc w:val="center"/>
              <w:rPr>
                <w:rFonts w:ascii="Arial" w:eastAsia="Times New Roman" w:hAnsi="Arial" w:cs="Arial"/>
                <w:bCs/>
                <w:i/>
                <w:color w:val="17365D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/>
                <w:szCs w:val="17"/>
                <w:lang w:eastAsia="hr-HR"/>
              </w:rPr>
              <w:drawing>
                <wp:inline distT="0" distB="0" distL="0" distR="0" wp14:anchorId="08E1F758" wp14:editId="5FDAAE07">
                  <wp:extent cx="2051685" cy="1478915"/>
                  <wp:effectExtent l="0" t="0" r="5715" b="6985"/>
                  <wp:docPr id="5" name="Slika 5" descr="smsBlokade_210x270.jpg">
                    <a:hlinkClick xmlns:a="http://schemas.openxmlformats.org/drawingml/2006/main" r:id="rId40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46A4" w:rsidRPr="000777A3" w:rsidRDefault="005F46A4" w:rsidP="00210636">
      <w:pPr>
        <w:spacing w:before="120"/>
        <w:rPr>
          <w:rFonts w:ascii="Arial" w:hAnsi="Arial" w:cs="Arial"/>
          <w:color w:val="17365D" w:themeColor="text2" w:themeShade="BF"/>
          <w:sz w:val="20"/>
          <w:szCs w:val="20"/>
        </w:rPr>
      </w:pPr>
    </w:p>
    <w:sectPr w:rsidR="005F46A4" w:rsidRPr="000777A3" w:rsidSect="007215A6">
      <w:pgSz w:w="11906" w:h="16838"/>
      <w:pgMar w:top="1021" w:right="1021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8B" w:rsidRDefault="006E5E8B" w:rsidP="007B2A8F">
      <w:pPr>
        <w:spacing w:after="0" w:line="240" w:lineRule="auto"/>
      </w:pPr>
      <w:r>
        <w:separator/>
      </w:r>
    </w:p>
  </w:endnote>
  <w:endnote w:type="continuationSeparator" w:id="0">
    <w:p w:rsidR="006E5E8B" w:rsidRDefault="006E5E8B" w:rsidP="007B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0175890"/>
      <w:docPartObj>
        <w:docPartGallery w:val="Page Numbers (Bottom of Page)"/>
        <w:docPartUnique/>
      </w:docPartObj>
    </w:sdtPr>
    <w:sdtEndPr/>
    <w:sdtContent>
      <w:p w:rsidR="009D7948" w:rsidRDefault="009D7948" w:rsidP="00045FD6">
        <w:pPr>
          <w:pStyle w:val="Podnoje"/>
          <w:spacing w:after="0" w:line="240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E8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8B" w:rsidRDefault="006E5E8B" w:rsidP="007B2A8F">
      <w:pPr>
        <w:spacing w:after="0" w:line="240" w:lineRule="auto"/>
      </w:pPr>
      <w:r>
        <w:separator/>
      </w:r>
    </w:p>
  </w:footnote>
  <w:footnote w:type="continuationSeparator" w:id="0">
    <w:p w:rsidR="006E5E8B" w:rsidRDefault="006E5E8B" w:rsidP="007B2A8F">
      <w:pPr>
        <w:spacing w:after="0" w:line="240" w:lineRule="auto"/>
      </w:pPr>
      <w:r>
        <w:continuationSeparator/>
      </w:r>
    </w:p>
  </w:footnote>
  <w:footnote w:id="1">
    <w:p w:rsidR="009F21B6" w:rsidRPr="00980528" w:rsidRDefault="009F21B6">
      <w:pPr>
        <w:pStyle w:val="Tekstfusnote"/>
        <w:rPr>
          <w:rFonts w:ascii="Arial" w:hAnsi="Arial" w:cs="Arial"/>
          <w:color w:val="0F243E" w:themeColor="text2" w:themeShade="80"/>
          <w:sz w:val="17"/>
          <w:szCs w:val="17"/>
        </w:rPr>
      </w:pPr>
      <w:r w:rsidRPr="00980528">
        <w:rPr>
          <w:rStyle w:val="Referencafusnote"/>
          <w:rFonts w:ascii="Arial" w:hAnsi="Arial" w:cs="Arial"/>
          <w:color w:val="0F243E" w:themeColor="text2" w:themeShade="80"/>
          <w:sz w:val="17"/>
          <w:szCs w:val="17"/>
        </w:rPr>
        <w:footnoteRef/>
      </w:r>
      <w:r w:rsidRPr="00980528">
        <w:rPr>
          <w:rFonts w:ascii="Arial" w:hAnsi="Arial" w:cs="Arial"/>
          <w:color w:val="0F243E" w:themeColor="text2" w:themeShade="80"/>
          <w:sz w:val="17"/>
          <w:szCs w:val="17"/>
        </w:rPr>
        <w:t xml:space="preserve"> Osnivači REPUBLIKA HRVATSKA i GRAD ZAGREB. Izvor: Sudski registar, preuzeto 25. siječnja 2019.</w:t>
      </w:r>
    </w:p>
  </w:footnote>
  <w:footnote w:id="2">
    <w:p w:rsidR="009F21B6" w:rsidRPr="00980528" w:rsidRDefault="009F21B6" w:rsidP="001637B6">
      <w:pPr>
        <w:pStyle w:val="Tekstfusnote"/>
        <w:spacing w:before="40"/>
        <w:rPr>
          <w:rFonts w:ascii="Arial" w:hAnsi="Arial" w:cs="Arial"/>
          <w:color w:val="0F243E" w:themeColor="text2" w:themeShade="80"/>
          <w:sz w:val="17"/>
          <w:szCs w:val="17"/>
        </w:rPr>
      </w:pPr>
      <w:r w:rsidRPr="00980528">
        <w:rPr>
          <w:rStyle w:val="Referencafusnote"/>
          <w:rFonts w:ascii="Arial" w:hAnsi="Arial" w:cs="Arial"/>
          <w:color w:val="0F243E" w:themeColor="text2" w:themeShade="80"/>
          <w:sz w:val="17"/>
          <w:szCs w:val="17"/>
        </w:rPr>
        <w:footnoteRef/>
      </w:r>
      <w:r w:rsidRPr="00980528">
        <w:rPr>
          <w:rFonts w:ascii="Arial" w:hAnsi="Arial" w:cs="Arial"/>
          <w:color w:val="0F243E" w:themeColor="text2" w:themeShade="80"/>
          <w:sz w:val="17"/>
          <w:szCs w:val="17"/>
        </w:rPr>
        <w:t xml:space="preserve"> Osnivač HP - Hrvatska pošta d.d. Izvor: Sudski registar, preuzeto 25. siječnja 2019.</w:t>
      </w:r>
    </w:p>
  </w:footnote>
  <w:footnote w:id="3">
    <w:p w:rsidR="009F21B6" w:rsidRPr="00980528" w:rsidRDefault="009F21B6" w:rsidP="001637B6">
      <w:pPr>
        <w:pStyle w:val="Tekstfusnote"/>
        <w:spacing w:before="40"/>
        <w:rPr>
          <w:rFonts w:ascii="Arial" w:hAnsi="Arial" w:cs="Arial"/>
          <w:color w:val="0F243E" w:themeColor="text2" w:themeShade="80"/>
          <w:sz w:val="17"/>
          <w:szCs w:val="17"/>
        </w:rPr>
      </w:pPr>
      <w:r w:rsidRPr="00980528">
        <w:rPr>
          <w:rStyle w:val="Referencafusnote"/>
          <w:rFonts w:ascii="Arial" w:hAnsi="Arial" w:cs="Arial"/>
          <w:color w:val="0F243E" w:themeColor="text2" w:themeShade="80"/>
          <w:sz w:val="17"/>
          <w:szCs w:val="17"/>
        </w:rPr>
        <w:footnoteRef/>
      </w:r>
      <w:r w:rsidRPr="00980528">
        <w:rPr>
          <w:rFonts w:ascii="Arial" w:hAnsi="Arial" w:cs="Arial"/>
          <w:color w:val="0F243E" w:themeColor="text2" w:themeShade="80"/>
          <w:sz w:val="17"/>
          <w:szCs w:val="17"/>
        </w:rPr>
        <w:t xml:space="preserve"> Osnivač INA-INDUSTRIJA NAFTE, d.d. Izvor: Sudski registar, preuzeto 25. siječnja 2019.</w:t>
      </w:r>
    </w:p>
  </w:footnote>
  <w:footnote w:id="4">
    <w:p w:rsidR="009D7948" w:rsidRPr="00980528" w:rsidRDefault="009D7948" w:rsidP="001637B6">
      <w:pPr>
        <w:pStyle w:val="Tekstfusnote"/>
        <w:spacing w:before="40"/>
        <w:rPr>
          <w:rFonts w:ascii="Arial" w:hAnsi="Arial" w:cs="Arial"/>
          <w:color w:val="0F243E" w:themeColor="text2" w:themeShade="80"/>
          <w:sz w:val="17"/>
          <w:szCs w:val="17"/>
        </w:rPr>
      </w:pPr>
      <w:r w:rsidRPr="00980528">
        <w:rPr>
          <w:rStyle w:val="Referencafusnote"/>
          <w:rFonts w:ascii="Arial" w:hAnsi="Arial" w:cs="Arial"/>
          <w:color w:val="0F243E" w:themeColor="text2" w:themeShade="80"/>
          <w:sz w:val="17"/>
          <w:szCs w:val="17"/>
        </w:rPr>
        <w:footnoteRef/>
      </w:r>
      <w:r w:rsidRPr="00980528">
        <w:rPr>
          <w:rFonts w:ascii="Arial" w:hAnsi="Arial" w:cs="Arial"/>
          <w:color w:val="0F243E" w:themeColor="text2" w:themeShade="80"/>
          <w:sz w:val="17"/>
          <w:szCs w:val="17"/>
        </w:rPr>
        <w:t xml:space="preserve"> Serija podataka u tablici za sve godine prikazana je iz godišnjeg financijskog izvještaja iz kolone tekuće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48" w:rsidRPr="007B2A8F" w:rsidRDefault="009D7948" w:rsidP="002A5DA7">
    <w:pPr>
      <w:pStyle w:val="Zaglavlje"/>
      <w:spacing w:after="0" w:line="240" w:lineRule="auto"/>
      <w:rPr>
        <w:sz w:val="4"/>
        <w:szCs w:val="4"/>
      </w:rPr>
    </w:pPr>
    <w:r>
      <w:rPr>
        <w:rFonts w:ascii="Arial, Helvetica, sans-serif" w:eastAsia="Times New Roman" w:hAnsi="Arial, Helvetica, sans-serif"/>
        <w:noProof/>
        <w:color w:val="00325A"/>
        <w:sz w:val="20"/>
        <w:szCs w:val="20"/>
        <w:lang w:eastAsia="hr-HR"/>
      </w:rPr>
      <w:drawing>
        <wp:inline distT="0" distB="0" distL="0" distR="0" wp14:anchorId="54E497CF" wp14:editId="60A0CFEA">
          <wp:extent cx="1000125" cy="219075"/>
          <wp:effectExtent l="0" t="0" r="9525" b="9525"/>
          <wp:docPr id="4" name="Slika 4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7948" w:rsidRPr="002A5DA7" w:rsidRDefault="009D7948" w:rsidP="002A5DA7">
    <w:pPr>
      <w:pStyle w:val="Zaglavlje"/>
      <w:spacing w:after="0" w:line="240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3CF9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F6"/>
    <w:rsid w:val="00000337"/>
    <w:rsid w:val="000145F3"/>
    <w:rsid w:val="000273F4"/>
    <w:rsid w:val="00027501"/>
    <w:rsid w:val="00027C57"/>
    <w:rsid w:val="00034238"/>
    <w:rsid w:val="00045FD6"/>
    <w:rsid w:val="00061453"/>
    <w:rsid w:val="0006358C"/>
    <w:rsid w:val="000709E0"/>
    <w:rsid w:val="00070CE5"/>
    <w:rsid w:val="000777A3"/>
    <w:rsid w:val="000A36C0"/>
    <w:rsid w:val="000B157D"/>
    <w:rsid w:val="000C1F17"/>
    <w:rsid w:val="000C3C6E"/>
    <w:rsid w:val="000C783C"/>
    <w:rsid w:val="000C79BE"/>
    <w:rsid w:val="000E5F7C"/>
    <w:rsid w:val="0010616E"/>
    <w:rsid w:val="0010755E"/>
    <w:rsid w:val="00121AB8"/>
    <w:rsid w:val="0016093D"/>
    <w:rsid w:val="001637B6"/>
    <w:rsid w:val="00193130"/>
    <w:rsid w:val="00193993"/>
    <w:rsid w:val="0019506D"/>
    <w:rsid w:val="001A2909"/>
    <w:rsid w:val="001C75B5"/>
    <w:rsid w:val="001D06D1"/>
    <w:rsid w:val="001D1411"/>
    <w:rsid w:val="001D50C3"/>
    <w:rsid w:val="001F552D"/>
    <w:rsid w:val="002068B4"/>
    <w:rsid w:val="00210636"/>
    <w:rsid w:val="00217447"/>
    <w:rsid w:val="002418FA"/>
    <w:rsid w:val="002545AE"/>
    <w:rsid w:val="002570BE"/>
    <w:rsid w:val="00261532"/>
    <w:rsid w:val="00273A71"/>
    <w:rsid w:val="002759D7"/>
    <w:rsid w:val="002A3FB1"/>
    <w:rsid w:val="002A4264"/>
    <w:rsid w:val="002A5DA7"/>
    <w:rsid w:val="002B638F"/>
    <w:rsid w:val="002C31D8"/>
    <w:rsid w:val="002D6C1A"/>
    <w:rsid w:val="003039A1"/>
    <w:rsid w:val="00303B58"/>
    <w:rsid w:val="003306C2"/>
    <w:rsid w:val="003333D3"/>
    <w:rsid w:val="0035548A"/>
    <w:rsid w:val="00355FA9"/>
    <w:rsid w:val="00357A57"/>
    <w:rsid w:val="0036674A"/>
    <w:rsid w:val="0037497A"/>
    <w:rsid w:val="00396865"/>
    <w:rsid w:val="003A6042"/>
    <w:rsid w:val="003A7546"/>
    <w:rsid w:val="003B33BD"/>
    <w:rsid w:val="003B41C7"/>
    <w:rsid w:val="003B6B3B"/>
    <w:rsid w:val="003C3B09"/>
    <w:rsid w:val="004041E5"/>
    <w:rsid w:val="00413019"/>
    <w:rsid w:val="00423049"/>
    <w:rsid w:val="004516AB"/>
    <w:rsid w:val="004717E6"/>
    <w:rsid w:val="00475D0F"/>
    <w:rsid w:val="00481684"/>
    <w:rsid w:val="00495508"/>
    <w:rsid w:val="004A5976"/>
    <w:rsid w:val="004A6EC4"/>
    <w:rsid w:val="004B0D63"/>
    <w:rsid w:val="004B73AA"/>
    <w:rsid w:val="004C184C"/>
    <w:rsid w:val="00522EA8"/>
    <w:rsid w:val="005254B0"/>
    <w:rsid w:val="00530738"/>
    <w:rsid w:val="005322B9"/>
    <w:rsid w:val="00557442"/>
    <w:rsid w:val="00567D1A"/>
    <w:rsid w:val="00580A46"/>
    <w:rsid w:val="005A08E4"/>
    <w:rsid w:val="005A4C75"/>
    <w:rsid w:val="005A702D"/>
    <w:rsid w:val="005A7266"/>
    <w:rsid w:val="005A72B2"/>
    <w:rsid w:val="005B474F"/>
    <w:rsid w:val="005C7109"/>
    <w:rsid w:val="005D1C64"/>
    <w:rsid w:val="005E4769"/>
    <w:rsid w:val="005F46A4"/>
    <w:rsid w:val="00610E3B"/>
    <w:rsid w:val="006119F4"/>
    <w:rsid w:val="006332AC"/>
    <w:rsid w:val="00633CCC"/>
    <w:rsid w:val="0063692C"/>
    <w:rsid w:val="006569B4"/>
    <w:rsid w:val="00661A48"/>
    <w:rsid w:val="0066799B"/>
    <w:rsid w:val="006943B4"/>
    <w:rsid w:val="00697BAE"/>
    <w:rsid w:val="006A01B7"/>
    <w:rsid w:val="006A5756"/>
    <w:rsid w:val="006B452C"/>
    <w:rsid w:val="006C5A01"/>
    <w:rsid w:val="006E372B"/>
    <w:rsid w:val="006E52F6"/>
    <w:rsid w:val="006E5E8B"/>
    <w:rsid w:val="006F7C38"/>
    <w:rsid w:val="00705D6A"/>
    <w:rsid w:val="0072053A"/>
    <w:rsid w:val="007215A6"/>
    <w:rsid w:val="00721DA6"/>
    <w:rsid w:val="0072231B"/>
    <w:rsid w:val="0073037A"/>
    <w:rsid w:val="0073041D"/>
    <w:rsid w:val="00732C68"/>
    <w:rsid w:val="00732E81"/>
    <w:rsid w:val="007342E3"/>
    <w:rsid w:val="00740F8C"/>
    <w:rsid w:val="007453C1"/>
    <w:rsid w:val="007570F2"/>
    <w:rsid w:val="007672BB"/>
    <w:rsid w:val="007A7499"/>
    <w:rsid w:val="007B2A8F"/>
    <w:rsid w:val="007C49CE"/>
    <w:rsid w:val="007C78BD"/>
    <w:rsid w:val="007D2CBB"/>
    <w:rsid w:val="007D47C3"/>
    <w:rsid w:val="00812769"/>
    <w:rsid w:val="0081642B"/>
    <w:rsid w:val="00816E49"/>
    <w:rsid w:val="00820F5F"/>
    <w:rsid w:val="00821945"/>
    <w:rsid w:val="00833BC6"/>
    <w:rsid w:val="00861FD5"/>
    <w:rsid w:val="00881574"/>
    <w:rsid w:val="0088791A"/>
    <w:rsid w:val="00890168"/>
    <w:rsid w:val="00892A8C"/>
    <w:rsid w:val="008B2577"/>
    <w:rsid w:val="008B6597"/>
    <w:rsid w:val="008D2027"/>
    <w:rsid w:val="008D288E"/>
    <w:rsid w:val="008D68C3"/>
    <w:rsid w:val="008E545C"/>
    <w:rsid w:val="008F280D"/>
    <w:rsid w:val="00905C33"/>
    <w:rsid w:val="00905FA9"/>
    <w:rsid w:val="00913A67"/>
    <w:rsid w:val="00914502"/>
    <w:rsid w:val="0093423E"/>
    <w:rsid w:val="009568D1"/>
    <w:rsid w:val="0095716E"/>
    <w:rsid w:val="009573EE"/>
    <w:rsid w:val="00962227"/>
    <w:rsid w:val="00973C9C"/>
    <w:rsid w:val="00974186"/>
    <w:rsid w:val="00980528"/>
    <w:rsid w:val="00996089"/>
    <w:rsid w:val="009A5445"/>
    <w:rsid w:val="009B0094"/>
    <w:rsid w:val="009B01BB"/>
    <w:rsid w:val="009D311B"/>
    <w:rsid w:val="009D5FAE"/>
    <w:rsid w:val="009D7948"/>
    <w:rsid w:val="009E35B7"/>
    <w:rsid w:val="009E5EA2"/>
    <w:rsid w:val="009F21B6"/>
    <w:rsid w:val="009F71BE"/>
    <w:rsid w:val="00A00BA8"/>
    <w:rsid w:val="00A01EF3"/>
    <w:rsid w:val="00A075C3"/>
    <w:rsid w:val="00A11600"/>
    <w:rsid w:val="00A1471E"/>
    <w:rsid w:val="00A246B1"/>
    <w:rsid w:val="00A4053A"/>
    <w:rsid w:val="00A55FF1"/>
    <w:rsid w:val="00A73AA9"/>
    <w:rsid w:val="00A76D5C"/>
    <w:rsid w:val="00A87C05"/>
    <w:rsid w:val="00A92B3E"/>
    <w:rsid w:val="00A93BF5"/>
    <w:rsid w:val="00AA551F"/>
    <w:rsid w:val="00AB6470"/>
    <w:rsid w:val="00AB6543"/>
    <w:rsid w:val="00AC4B84"/>
    <w:rsid w:val="00AE1F6F"/>
    <w:rsid w:val="00AE21DD"/>
    <w:rsid w:val="00B164B8"/>
    <w:rsid w:val="00B31242"/>
    <w:rsid w:val="00B35567"/>
    <w:rsid w:val="00B42C98"/>
    <w:rsid w:val="00B44595"/>
    <w:rsid w:val="00B80899"/>
    <w:rsid w:val="00B830FF"/>
    <w:rsid w:val="00B90138"/>
    <w:rsid w:val="00BA202B"/>
    <w:rsid w:val="00BA218A"/>
    <w:rsid w:val="00BA3B09"/>
    <w:rsid w:val="00BA6CE3"/>
    <w:rsid w:val="00BB0137"/>
    <w:rsid w:val="00BD3471"/>
    <w:rsid w:val="00BE0DB8"/>
    <w:rsid w:val="00BE5A27"/>
    <w:rsid w:val="00C03929"/>
    <w:rsid w:val="00C119F4"/>
    <w:rsid w:val="00C24384"/>
    <w:rsid w:val="00C3268F"/>
    <w:rsid w:val="00C36D88"/>
    <w:rsid w:val="00C43130"/>
    <w:rsid w:val="00C5032D"/>
    <w:rsid w:val="00C514AE"/>
    <w:rsid w:val="00C556E7"/>
    <w:rsid w:val="00C56390"/>
    <w:rsid w:val="00C60F43"/>
    <w:rsid w:val="00C82919"/>
    <w:rsid w:val="00C85395"/>
    <w:rsid w:val="00C95AF0"/>
    <w:rsid w:val="00C974F4"/>
    <w:rsid w:val="00CB3FA9"/>
    <w:rsid w:val="00CB4755"/>
    <w:rsid w:val="00CB6956"/>
    <w:rsid w:val="00CC1D03"/>
    <w:rsid w:val="00CC3B18"/>
    <w:rsid w:val="00CC53AC"/>
    <w:rsid w:val="00CC6EC4"/>
    <w:rsid w:val="00CD69BE"/>
    <w:rsid w:val="00CE1139"/>
    <w:rsid w:val="00D12EC2"/>
    <w:rsid w:val="00D25B0D"/>
    <w:rsid w:val="00D3730F"/>
    <w:rsid w:val="00D52FEF"/>
    <w:rsid w:val="00D55B27"/>
    <w:rsid w:val="00D727C1"/>
    <w:rsid w:val="00D77488"/>
    <w:rsid w:val="00D860FF"/>
    <w:rsid w:val="00DA35A1"/>
    <w:rsid w:val="00DA3E57"/>
    <w:rsid w:val="00DA6716"/>
    <w:rsid w:val="00DA6DBE"/>
    <w:rsid w:val="00DB370D"/>
    <w:rsid w:val="00DE29C7"/>
    <w:rsid w:val="00DF2B42"/>
    <w:rsid w:val="00DF476F"/>
    <w:rsid w:val="00E12716"/>
    <w:rsid w:val="00E328B3"/>
    <w:rsid w:val="00E51614"/>
    <w:rsid w:val="00E552B0"/>
    <w:rsid w:val="00E73BC2"/>
    <w:rsid w:val="00E906D5"/>
    <w:rsid w:val="00E96412"/>
    <w:rsid w:val="00EA5367"/>
    <w:rsid w:val="00ED27AD"/>
    <w:rsid w:val="00ED67D4"/>
    <w:rsid w:val="00EE2312"/>
    <w:rsid w:val="00F027F7"/>
    <w:rsid w:val="00F03052"/>
    <w:rsid w:val="00F052E0"/>
    <w:rsid w:val="00F338B3"/>
    <w:rsid w:val="00F46BAE"/>
    <w:rsid w:val="00F53EE3"/>
    <w:rsid w:val="00F60A90"/>
    <w:rsid w:val="00F638E9"/>
    <w:rsid w:val="00F70847"/>
    <w:rsid w:val="00F77836"/>
    <w:rsid w:val="00F80113"/>
    <w:rsid w:val="00F9270A"/>
    <w:rsid w:val="00FB0AC3"/>
    <w:rsid w:val="00FE1CB5"/>
    <w:rsid w:val="00FE571B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7C1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DE2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7C1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A246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46B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246B1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46B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246B1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A246B1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C8539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B2A8F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B2A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B2A8F"/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622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62227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962227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DE29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transparentno.hr/pregled/19680551758/a83c255d02ef76b07637888eb6042d063c8f2cc078ba7ea4a15133a14e82692f8a3e2776a9145f69fea5ca271df66dc4b5aae5ea3acb08f28cced21fbceb2e02" TargetMode="External"/><Relationship Id="rId26" Type="http://schemas.openxmlformats.org/officeDocument/2006/relationships/hyperlink" Target="https://www.transparentno.hr/pregled/91678676896/64689fb1812a18883ec54212199482930f63f35590a3877e7a4f1c491269a54b997f28766bde7730c8456556ec8775bcf1124b4ba3f3ef72ba0f43b01a3cf644" TargetMode="External"/><Relationship Id="rId39" Type="http://schemas.openxmlformats.org/officeDocument/2006/relationships/image" Target="media/image5.png"/><Relationship Id="rId21" Type="http://schemas.openxmlformats.org/officeDocument/2006/relationships/hyperlink" Target="https://www.transparentno.hr/pregled/09201087238/ee8a3577c9566ffc72f8d9412f307a4c3f9b541870d7b88ac73afe1812ea28c65649d41bc4ef67accb41232bddcb3af5bc6ec93e4401848f5672255df2d26441" TargetMode="External"/><Relationship Id="rId34" Type="http://schemas.openxmlformats.org/officeDocument/2006/relationships/hyperlink" Target="http://www.fina.hr/Default.aspx?sec=1538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tno.hr/pregled/91678676896/64689fb1812a18883ec54212199482930f63f35590a3877e7a4f1c491269a54b997f28766bde7730c8456556ec8775bcf1124b4ba3f3ef72ba0f43b01a3cf644" TargetMode="External"/><Relationship Id="rId20" Type="http://schemas.openxmlformats.org/officeDocument/2006/relationships/hyperlink" Target="https://www.transparentno.hr/pregled/02994650199/350922bef2ebe8d317c8e293db103c6b9030b928e5a00c955c5afd91b3715885fb7d09fbfc9fa2a39b14f2465fbbadd7ed0c84f32f3af4df5764af29748d7170" TargetMode="External"/><Relationship Id="rId29" Type="http://schemas.openxmlformats.org/officeDocument/2006/relationships/image" Target="media/image3.png"/><Relationship Id="rId41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11651581989/eea78a6fabb84bd100ea358b3d895a83b60af52bddb0bfb4aa176fd4daf36d3ce0dff60afd15fc7f3bf1b50d9fa85f82c5d3cd0581071858393f76eadc4d9e41" TargetMode="External"/><Relationship Id="rId24" Type="http://schemas.openxmlformats.org/officeDocument/2006/relationships/hyperlink" Target="https://www.transparentno.hr/pregled/86132384544/dc5f2650ef09a866952a978e3b9692325c366c11b9ef37a705fb4d1fcf93a74fcffcd94552c5d0564833a7e4edc5061a0d5694d9bffd9344695443e32aac53b6" TargetMode="External"/><Relationship Id="rId32" Type="http://schemas.openxmlformats.org/officeDocument/2006/relationships/hyperlink" Target="https://www.transparentno.hr/" TargetMode="External"/><Relationship Id="rId37" Type="http://schemas.openxmlformats.org/officeDocument/2006/relationships/hyperlink" Target="http://www.fina.hr/Default.aspx?sec=17" TargetMode="External"/><Relationship Id="rId40" Type="http://schemas.openxmlformats.org/officeDocument/2006/relationships/hyperlink" Target="http://www.fina.hr/lgs.axd?t=24&amp;id=15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www.transparentno.hr/pregled/68195665956/c2e87886b6fda53bbfdf6fc1fd1f770f5b7d784865baba859ace13de0a32d1e3f3c0e0b5b6473ea67a04f835256efecea05d5dd943a04867a330026167bd763b" TargetMode="External"/><Relationship Id="rId28" Type="http://schemas.openxmlformats.org/officeDocument/2006/relationships/hyperlink" Target="https://www.transparentno.hr/pregled/77290534017/f0dc385dbe1985b5dd807b48f83f4342c9efb5c551ae46c08f90ec6ee1407ef16b17e75a63a50993785d792a29cc4e5100f8016f82abbbd7a1fc6264848ac0b8" TargetMode="External"/><Relationship Id="rId36" Type="http://schemas.openxmlformats.org/officeDocument/2006/relationships/hyperlink" Target="http://www.fina.hr/Default.aspx?sec=972" TargetMode="External"/><Relationship Id="rId10" Type="http://schemas.openxmlformats.org/officeDocument/2006/relationships/hyperlink" Target="https://www.transparentno.hr/pregled/82770956304/b53a08ca2c4c3165b0022495240814ac6aed06a059eda225beb46909531458ae42314340977e51b1f16d3db1f13803e86f7e82395908ebafbf9ecf193008da1b" TargetMode="External"/><Relationship Id="rId19" Type="http://schemas.openxmlformats.org/officeDocument/2006/relationships/hyperlink" Target="https://www.transparentno.hr/pregled/42543880714/72500706bb71f622194baac3b7f527dd3bcfeac691a357d3bbd3096e5ea4d210dac29cedf2d3bbad09c92fdce53740eb23414a8f3c0fcfca0b08e247ef0afd0d" TargetMode="External"/><Relationship Id="rId31" Type="http://schemas.openxmlformats.org/officeDocument/2006/relationships/hyperlink" Target="http://rgfi.fina.hr/JavnaObjava-web/jsp/prijavaKorisnika.j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02994650199/350922bef2ebe8d317c8e293db103c6b9030b928e5a00c955c5afd91b3715885fb7d09fbfc9fa2a39b14f2465fbbadd7ed0c84f32f3af4df5764af29748d7170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transparentno.hr/pregled/99338993079/60537b20816bf9d20dbd3f95c904d6c0795bf823ed9903369693af2ef6bd2113d0093961b07fede820c23721a235db38cba698bd8869c8cf22572acae9472667" TargetMode="External"/><Relationship Id="rId27" Type="http://schemas.openxmlformats.org/officeDocument/2006/relationships/hyperlink" Target="https://www.transparentno.hr/pregled/78657968570/b9ee4e40f63981c2e8127da9054f76883ce63de9a3cfbc91d781015e10a8f5f9d5d082275d1525b392562de984f7c800e5b4bb4a91f04601e5bbd8eb6a1bef6b" TargetMode="External"/><Relationship Id="rId30" Type="http://schemas.openxmlformats.org/officeDocument/2006/relationships/hyperlink" Target="http://www.fina.hr/Default.aspx?sec=1279" TargetMode="External"/><Relationship Id="rId35" Type="http://schemas.openxmlformats.org/officeDocument/2006/relationships/hyperlink" Target="https://jrr.fina.hr/jrir/" TargetMode="External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transparentno.hr/pregled/22176241237/4b4695bf2ec8ea8a99a8da3382bb0a4d3cc603e4b2e099605f9be6289897b8d69852ee74ea8c10b5a2d06ad23aaf8d43519ebb68fa4a21aaf78aec9adb903f78" TargetMode="External"/><Relationship Id="rId17" Type="http://schemas.openxmlformats.org/officeDocument/2006/relationships/hyperlink" Target="https://www.transparentno.hr/pregled/67001695549/f389d1efb832f4e9758a170466f9679d11d2a22cfc43f3916a942ffd79aa48d011a6196f11e5ec159c3fa676e7ccd91669b2393dcb808e1b8c8faa6028c95db1" TargetMode="External"/><Relationship Id="rId25" Type="http://schemas.openxmlformats.org/officeDocument/2006/relationships/hyperlink" Target="https://www.transparentno.hr/pregled/78920611325/1c2434ab471f2f648f8beda47386998a0ba1022b008f508d73f807052e46a140dcef4134a8434797f146e01b71c64f627953bba26d3f69858d25c766046e95e1" TargetMode="External"/><Relationship Id="rId33" Type="http://schemas.openxmlformats.org/officeDocument/2006/relationships/hyperlink" Target="http://www.fina.hr/Default.aspx?art=8958&amp;sec=1275" TargetMode="External"/><Relationship Id="rId38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B294-66DF-45EC-8222-F01404CD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1749</Words>
  <Characters>9970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ENERGETSKI SEKTOR U 2013</vt:lpstr>
      <vt:lpstr>ENERGETSKI SEKTOR U 2013</vt:lpstr>
    </vt:vector>
  </TitlesOfParts>
  <Company/>
  <LinksUpToDate>false</LinksUpToDate>
  <CharactersWithSpaces>11696</CharactersWithSpaces>
  <SharedDoc>false</SharedDoc>
  <HLinks>
    <vt:vector size="30" baseType="variant">
      <vt:variant>
        <vt:i4>5636194</vt:i4>
      </vt:variant>
      <vt:variant>
        <vt:i4>12</vt:i4>
      </vt:variant>
      <vt:variant>
        <vt:i4>0</vt:i4>
      </vt:variant>
      <vt:variant>
        <vt:i4>5</vt:i4>
      </vt:variant>
      <vt:variant>
        <vt:lpwstr>mailto:rgfi@fina.hr</vt:lpwstr>
      </vt:variant>
      <vt:variant>
        <vt:lpwstr/>
      </vt:variant>
      <vt:variant>
        <vt:i4>1376272</vt:i4>
      </vt:variant>
      <vt:variant>
        <vt:i4>9</vt:i4>
      </vt:variant>
      <vt:variant>
        <vt:i4>0</vt:i4>
      </vt:variant>
      <vt:variant>
        <vt:i4>5</vt:i4>
      </vt:variant>
      <vt:variant>
        <vt:lpwstr>http://rgfi.fina.hr/IzvjestajiRGFI.web/main/home.jsp</vt:lpwstr>
      </vt:variant>
      <vt:variant>
        <vt:lpwstr/>
      </vt:variant>
      <vt:variant>
        <vt:i4>1245201</vt:i4>
      </vt:variant>
      <vt:variant>
        <vt:i4>6</vt:i4>
      </vt:variant>
      <vt:variant>
        <vt:i4>0</vt:i4>
      </vt:variant>
      <vt:variant>
        <vt:i4>5</vt:i4>
      </vt:variant>
      <vt:variant>
        <vt:lpwstr>https://servisi.fina.hr/IPaket-login.web/pSubjektTrazi.do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ENERGETSKI SEKTOR U 2013</dc:title>
  <dc:creator>Vesna Kavur</dc:creator>
  <cp:lastModifiedBy>admin</cp:lastModifiedBy>
  <cp:revision>2</cp:revision>
  <cp:lastPrinted>2016-01-13T14:40:00Z</cp:lastPrinted>
  <dcterms:created xsi:type="dcterms:W3CDTF">2019-01-28T14:40:00Z</dcterms:created>
  <dcterms:modified xsi:type="dcterms:W3CDTF">2019-01-28T14:40:00Z</dcterms:modified>
</cp:coreProperties>
</file>