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F0" w:rsidRPr="001D7D3D" w:rsidRDefault="006040F0" w:rsidP="006040F0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0"/>
          <w:szCs w:val="20"/>
        </w:rPr>
      </w:pPr>
      <w:r w:rsidRPr="001D7D3D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PODUZETNICI U DJELATNOSTI KOCKANJA I KLAĐENJA U 2017. GODINI </w:t>
      </w:r>
    </w:p>
    <w:p w:rsidR="00CF1377" w:rsidRDefault="006040F0" w:rsidP="00CF1377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0"/>
          <w:szCs w:val="20"/>
        </w:rPr>
      </w:pPr>
      <w:r w:rsidRPr="001D7D3D">
        <w:rPr>
          <w:rFonts w:ascii="Arial" w:hAnsi="Arial" w:cs="Arial"/>
          <w:b/>
          <w:color w:val="17365D" w:themeColor="text2" w:themeShade="BF"/>
          <w:sz w:val="20"/>
          <w:szCs w:val="20"/>
        </w:rPr>
        <w:t>POVEĆALI NETO DOBIT ZA 58,6 %</w:t>
      </w:r>
    </w:p>
    <w:p w:rsidR="0044344C" w:rsidRDefault="0044344C" w:rsidP="00CF1377">
      <w:pPr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1D7D3D">
        <w:rPr>
          <w:rFonts w:ascii="Arial" w:hAnsi="Arial" w:cs="Arial"/>
          <w:color w:val="17365D" w:themeColor="text2" w:themeShade="BF"/>
          <w:sz w:val="20"/>
          <w:szCs w:val="20"/>
        </w:rPr>
        <w:t xml:space="preserve">Prema podacima iz obrađenih godišnjih financijskih izvještaja za statističke i druge potrebe, u </w:t>
      </w:r>
      <w:r w:rsidR="00001500" w:rsidRPr="001D7D3D">
        <w:rPr>
          <w:rFonts w:ascii="Arial" w:hAnsi="Arial" w:cs="Arial"/>
          <w:color w:val="17365D" w:themeColor="text2" w:themeShade="BF"/>
          <w:sz w:val="20"/>
          <w:szCs w:val="20"/>
        </w:rPr>
        <w:t>odjeljku</w:t>
      </w:r>
      <w:r w:rsidR="00887F22" w:rsidRPr="001D7D3D">
        <w:rPr>
          <w:rFonts w:ascii="Arial" w:hAnsi="Arial" w:cs="Arial"/>
          <w:color w:val="17365D" w:themeColor="text2" w:themeShade="BF"/>
          <w:sz w:val="20"/>
          <w:szCs w:val="20"/>
        </w:rPr>
        <w:t xml:space="preserve"> djelatnosti </w:t>
      </w:r>
      <w:r w:rsidR="00001500" w:rsidRPr="001D7D3D">
        <w:rPr>
          <w:rFonts w:ascii="Arial" w:hAnsi="Arial" w:cs="Arial"/>
          <w:color w:val="17365D" w:themeColor="text2" w:themeShade="BF"/>
          <w:sz w:val="20"/>
          <w:szCs w:val="20"/>
        </w:rPr>
        <w:t>kockanja i klađenja</w:t>
      </w:r>
      <w:r w:rsidRPr="001D7D3D">
        <w:rPr>
          <w:rFonts w:ascii="Arial" w:hAnsi="Arial" w:cs="Arial"/>
          <w:color w:val="17365D" w:themeColor="text2" w:themeShade="BF"/>
          <w:sz w:val="20"/>
          <w:szCs w:val="20"/>
        </w:rPr>
        <w:t xml:space="preserve"> u 2017. godini poslovalo je </w:t>
      </w:r>
      <w:r w:rsidR="00001500" w:rsidRPr="001D7D3D">
        <w:rPr>
          <w:rFonts w:ascii="Arial" w:hAnsi="Arial" w:cs="Arial"/>
          <w:color w:val="17365D" w:themeColor="text2" w:themeShade="BF"/>
          <w:sz w:val="20"/>
          <w:szCs w:val="20"/>
        </w:rPr>
        <w:t>64</w:t>
      </w:r>
      <w:r w:rsidRPr="001D7D3D">
        <w:rPr>
          <w:rFonts w:ascii="Arial" w:hAnsi="Arial" w:cs="Arial"/>
          <w:color w:val="17365D" w:themeColor="text2" w:themeShade="BF"/>
          <w:sz w:val="20"/>
          <w:szCs w:val="20"/>
        </w:rPr>
        <w:t xml:space="preserve"> poduzetnika kod kojih je bilo </w:t>
      </w:r>
      <w:r w:rsidR="00001500" w:rsidRPr="001D7D3D">
        <w:rPr>
          <w:rFonts w:ascii="Arial" w:hAnsi="Arial" w:cs="Arial"/>
          <w:color w:val="17365D" w:themeColor="text2" w:themeShade="BF"/>
          <w:sz w:val="20"/>
          <w:szCs w:val="20"/>
        </w:rPr>
        <w:t>6.333</w:t>
      </w:r>
      <w:r w:rsidRPr="001D7D3D">
        <w:rPr>
          <w:rFonts w:ascii="Arial" w:hAnsi="Arial" w:cs="Arial"/>
          <w:color w:val="17365D" w:themeColor="text2" w:themeShade="BF"/>
          <w:sz w:val="20"/>
          <w:szCs w:val="20"/>
        </w:rPr>
        <w:t xml:space="preserve"> zaposlenih, što je u odnosu na prethodnu godinu </w:t>
      </w:r>
      <w:r w:rsidR="00001500" w:rsidRPr="00E25A7D">
        <w:rPr>
          <w:rFonts w:ascii="Arial" w:hAnsi="Arial" w:cs="Arial"/>
          <w:color w:val="17365D" w:themeColor="text2" w:themeShade="BF"/>
          <w:sz w:val="20"/>
          <w:szCs w:val="20"/>
        </w:rPr>
        <w:t>povećanje</w:t>
      </w:r>
      <w:r w:rsidRPr="00E25A7D">
        <w:rPr>
          <w:rFonts w:ascii="Arial" w:hAnsi="Arial" w:cs="Arial"/>
          <w:color w:val="17365D" w:themeColor="text2" w:themeShade="BF"/>
          <w:sz w:val="20"/>
          <w:szCs w:val="20"/>
        </w:rPr>
        <w:t xml:space="preserve"> broja zaposlenih za </w:t>
      </w:r>
      <w:r w:rsidR="00001500" w:rsidRPr="00E25A7D">
        <w:rPr>
          <w:rFonts w:ascii="Arial" w:hAnsi="Arial" w:cs="Arial"/>
          <w:color w:val="17365D" w:themeColor="text2" w:themeShade="BF"/>
          <w:sz w:val="20"/>
          <w:szCs w:val="20"/>
        </w:rPr>
        <w:t>8,3</w:t>
      </w:r>
      <w:r w:rsidRPr="00E25A7D">
        <w:rPr>
          <w:rFonts w:ascii="Arial" w:hAnsi="Arial" w:cs="Arial"/>
          <w:color w:val="17365D" w:themeColor="text2" w:themeShade="BF"/>
          <w:sz w:val="20"/>
          <w:szCs w:val="20"/>
        </w:rPr>
        <w:t xml:space="preserve"> %. Navedena skupina poduzetnika u promatranom je razdoblju ostvarila ukupne prihode u iznosu od </w:t>
      </w:r>
      <w:r w:rsidR="00887F22" w:rsidRPr="00E25A7D">
        <w:rPr>
          <w:rFonts w:ascii="Arial" w:hAnsi="Arial" w:cs="Arial"/>
          <w:color w:val="17365D" w:themeColor="text2" w:themeShade="BF"/>
          <w:sz w:val="20"/>
          <w:szCs w:val="20"/>
        </w:rPr>
        <w:t>3,2</w:t>
      </w:r>
      <w:r w:rsidRPr="00E25A7D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887F22" w:rsidRPr="00E25A7D">
        <w:rPr>
          <w:rFonts w:ascii="Arial" w:hAnsi="Arial" w:cs="Arial"/>
          <w:color w:val="17365D" w:themeColor="text2" w:themeShade="BF"/>
          <w:sz w:val="20"/>
          <w:szCs w:val="20"/>
        </w:rPr>
        <w:t>milijarde</w:t>
      </w:r>
      <w:r w:rsidRPr="00E25A7D">
        <w:rPr>
          <w:rFonts w:ascii="Arial" w:hAnsi="Arial" w:cs="Arial"/>
          <w:color w:val="17365D" w:themeColor="text2" w:themeShade="BF"/>
          <w:sz w:val="20"/>
          <w:szCs w:val="20"/>
        </w:rPr>
        <w:t xml:space="preserve"> kuna te ukupne rashode od </w:t>
      </w:r>
      <w:r w:rsidR="00C01045" w:rsidRPr="00E25A7D">
        <w:rPr>
          <w:rFonts w:ascii="Arial" w:hAnsi="Arial" w:cs="Arial"/>
          <w:color w:val="17365D" w:themeColor="text2" w:themeShade="BF"/>
          <w:sz w:val="20"/>
          <w:szCs w:val="20"/>
        </w:rPr>
        <w:t>2,6</w:t>
      </w:r>
      <w:r w:rsidR="00887F22" w:rsidRPr="00E25A7D">
        <w:rPr>
          <w:rFonts w:ascii="Arial" w:hAnsi="Arial" w:cs="Arial"/>
          <w:color w:val="17365D" w:themeColor="text2" w:themeShade="BF"/>
          <w:sz w:val="20"/>
          <w:szCs w:val="20"/>
        </w:rPr>
        <w:t xml:space="preserve"> milijard</w:t>
      </w:r>
      <w:r w:rsidR="00C01045" w:rsidRPr="00E25A7D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="00D45A79" w:rsidRPr="00E25A7D">
        <w:rPr>
          <w:rFonts w:ascii="Arial" w:hAnsi="Arial" w:cs="Arial"/>
          <w:color w:val="17365D" w:themeColor="text2" w:themeShade="BF"/>
          <w:sz w:val="20"/>
          <w:szCs w:val="20"/>
        </w:rPr>
        <w:t xml:space="preserve"> kuna, </w:t>
      </w:r>
      <w:r w:rsidRPr="00E25A7D">
        <w:rPr>
          <w:rFonts w:ascii="Arial" w:hAnsi="Arial" w:cs="Arial"/>
          <w:color w:val="17365D" w:themeColor="text2" w:themeShade="BF"/>
          <w:sz w:val="20"/>
          <w:szCs w:val="20"/>
        </w:rPr>
        <w:t xml:space="preserve">dobit razdoblja od </w:t>
      </w:r>
      <w:r w:rsidR="00C01045" w:rsidRPr="00E25A7D">
        <w:rPr>
          <w:rFonts w:ascii="Arial" w:hAnsi="Arial" w:cs="Arial"/>
          <w:color w:val="17365D" w:themeColor="text2" w:themeShade="BF"/>
          <w:sz w:val="20"/>
          <w:szCs w:val="20"/>
        </w:rPr>
        <w:t>548,9 milijuna kuna, 88,9</w:t>
      </w:r>
      <w:r w:rsidRPr="00E25A7D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</w:t>
      </w:r>
      <w:r w:rsidR="00A14692" w:rsidRPr="00E25A7D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Pr="00E25A7D">
        <w:rPr>
          <w:rFonts w:ascii="Arial" w:hAnsi="Arial" w:cs="Arial"/>
          <w:color w:val="17365D" w:themeColor="text2" w:themeShade="BF"/>
          <w:sz w:val="20"/>
          <w:szCs w:val="20"/>
        </w:rPr>
        <w:t xml:space="preserve"> kuna gubitka razdoblja</w:t>
      </w:r>
      <w:r w:rsidR="00C01045" w:rsidRPr="00E25A7D">
        <w:rPr>
          <w:rFonts w:ascii="Arial" w:hAnsi="Arial" w:cs="Arial"/>
          <w:color w:val="17365D" w:themeColor="text2" w:themeShade="BF"/>
          <w:sz w:val="20"/>
          <w:szCs w:val="20"/>
        </w:rPr>
        <w:t>, što je rezultiralo ostvarenoj neto dobiti od 460,0 milijun</w:t>
      </w:r>
      <w:r w:rsidR="00C01045" w:rsidRPr="00BB7425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E25A7D" w:rsidRPr="00BB7425">
        <w:rPr>
          <w:rFonts w:ascii="Arial" w:hAnsi="Arial" w:cs="Arial"/>
          <w:color w:val="17365D" w:themeColor="text2" w:themeShade="BF"/>
          <w:sz w:val="20"/>
          <w:szCs w:val="20"/>
        </w:rPr>
        <w:t xml:space="preserve"> kuna</w:t>
      </w:r>
      <w:r w:rsidR="00C01045" w:rsidRPr="00BB7425">
        <w:rPr>
          <w:rFonts w:ascii="Arial" w:hAnsi="Arial" w:cs="Arial"/>
          <w:color w:val="17365D" w:themeColor="text2" w:themeShade="BF"/>
          <w:sz w:val="20"/>
          <w:szCs w:val="20"/>
        </w:rPr>
        <w:t xml:space="preserve">. </w:t>
      </w:r>
      <w:r w:rsidRPr="00BB7425">
        <w:rPr>
          <w:rFonts w:ascii="Arial" w:hAnsi="Arial" w:cs="Arial"/>
          <w:color w:val="17365D" w:themeColor="text2" w:themeShade="BF"/>
          <w:sz w:val="20"/>
          <w:szCs w:val="20"/>
        </w:rPr>
        <w:t xml:space="preserve">U odnosu na 2016. godinu, ukupni prihodi povećani su </w:t>
      </w:r>
      <w:r w:rsidR="00C01045" w:rsidRPr="00BB7425">
        <w:rPr>
          <w:rFonts w:ascii="Arial" w:hAnsi="Arial" w:cs="Arial"/>
          <w:color w:val="17365D" w:themeColor="text2" w:themeShade="BF"/>
          <w:sz w:val="20"/>
          <w:szCs w:val="20"/>
        </w:rPr>
        <w:t>27,5</w:t>
      </w:r>
      <w:r w:rsidRPr="00BB7425">
        <w:rPr>
          <w:rFonts w:ascii="Arial" w:hAnsi="Arial" w:cs="Arial"/>
          <w:color w:val="17365D" w:themeColor="text2" w:themeShade="BF"/>
          <w:sz w:val="20"/>
          <w:szCs w:val="20"/>
        </w:rPr>
        <w:t xml:space="preserve"> %, ukupni rashodi</w:t>
      </w:r>
      <w:r w:rsidR="00C01045" w:rsidRPr="00BB7425">
        <w:rPr>
          <w:rFonts w:ascii="Arial" w:hAnsi="Arial" w:cs="Arial"/>
          <w:color w:val="17365D" w:themeColor="text2" w:themeShade="BF"/>
          <w:sz w:val="20"/>
          <w:szCs w:val="20"/>
        </w:rPr>
        <w:t xml:space="preserve"> 21,7</w:t>
      </w:r>
      <w:r w:rsidRPr="00BB7425">
        <w:rPr>
          <w:rFonts w:ascii="Arial" w:hAnsi="Arial" w:cs="Arial"/>
          <w:color w:val="17365D" w:themeColor="text2" w:themeShade="BF"/>
          <w:sz w:val="20"/>
          <w:szCs w:val="20"/>
        </w:rPr>
        <w:t xml:space="preserve"> %, dobit razdoblja </w:t>
      </w:r>
      <w:r w:rsidR="00C01045" w:rsidRPr="00BB7425">
        <w:rPr>
          <w:rFonts w:ascii="Arial" w:hAnsi="Arial" w:cs="Arial"/>
          <w:color w:val="17365D" w:themeColor="text2" w:themeShade="BF"/>
          <w:sz w:val="20"/>
          <w:szCs w:val="20"/>
        </w:rPr>
        <w:t>38,8</w:t>
      </w:r>
      <w:r w:rsidRPr="00BB7425">
        <w:rPr>
          <w:rFonts w:ascii="Arial" w:hAnsi="Arial" w:cs="Arial"/>
          <w:color w:val="17365D" w:themeColor="text2" w:themeShade="BF"/>
          <w:sz w:val="20"/>
          <w:szCs w:val="20"/>
        </w:rPr>
        <w:t xml:space="preserve"> %, gubitak razdoblja </w:t>
      </w:r>
      <w:r w:rsidR="00A14692" w:rsidRPr="00BB7425">
        <w:rPr>
          <w:rFonts w:ascii="Arial" w:hAnsi="Arial" w:cs="Arial"/>
          <w:color w:val="17365D" w:themeColor="text2" w:themeShade="BF"/>
          <w:sz w:val="20"/>
          <w:szCs w:val="20"/>
        </w:rPr>
        <w:t>smanjen</w:t>
      </w:r>
      <w:r w:rsidRPr="00BB7425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BB7425" w:rsidRPr="00BB7425">
        <w:rPr>
          <w:rFonts w:ascii="Arial" w:hAnsi="Arial" w:cs="Arial"/>
          <w:color w:val="17365D" w:themeColor="text2" w:themeShade="BF"/>
          <w:sz w:val="20"/>
          <w:szCs w:val="20"/>
        </w:rPr>
        <w:t xml:space="preserve">je </w:t>
      </w:r>
      <w:r w:rsidR="00C01045" w:rsidRPr="00BB7425">
        <w:rPr>
          <w:rFonts w:ascii="Arial" w:hAnsi="Arial" w:cs="Arial"/>
          <w:color w:val="17365D" w:themeColor="text2" w:themeShade="BF"/>
          <w:sz w:val="20"/>
          <w:szCs w:val="20"/>
        </w:rPr>
        <w:t>15,8</w:t>
      </w:r>
      <w:r w:rsidR="00A14692" w:rsidRPr="00BB7425">
        <w:rPr>
          <w:rFonts w:ascii="Arial" w:hAnsi="Arial" w:cs="Arial"/>
          <w:color w:val="17365D" w:themeColor="text2" w:themeShade="BF"/>
          <w:sz w:val="20"/>
          <w:szCs w:val="20"/>
        </w:rPr>
        <w:t xml:space="preserve"> %</w:t>
      </w:r>
      <w:r w:rsidR="00C01045" w:rsidRPr="00BB7425">
        <w:rPr>
          <w:rFonts w:ascii="Arial" w:hAnsi="Arial" w:cs="Arial"/>
          <w:color w:val="17365D" w:themeColor="text2" w:themeShade="BF"/>
          <w:sz w:val="20"/>
          <w:szCs w:val="20"/>
        </w:rPr>
        <w:t>, dok je neto dobit povećana 58,6 %</w:t>
      </w:r>
      <w:r w:rsidRPr="00BB7425">
        <w:rPr>
          <w:rFonts w:ascii="Arial" w:hAnsi="Arial" w:cs="Arial"/>
          <w:color w:val="17365D" w:themeColor="text2" w:themeShade="BF"/>
          <w:sz w:val="20"/>
          <w:szCs w:val="20"/>
        </w:rPr>
        <w:t xml:space="preserve"> (tablica 1). Od ukupnog broja poduzetnika u </w:t>
      </w:r>
      <w:r w:rsidR="001B0720" w:rsidRPr="00BB7425">
        <w:rPr>
          <w:rFonts w:ascii="Arial" w:hAnsi="Arial" w:cs="Arial"/>
          <w:color w:val="17365D" w:themeColor="text2" w:themeShade="BF"/>
          <w:sz w:val="20"/>
          <w:szCs w:val="20"/>
        </w:rPr>
        <w:t>odjeljku djelatnosti kockanja i klađenja</w:t>
      </w:r>
      <w:r w:rsidRPr="00BB7425">
        <w:rPr>
          <w:rFonts w:ascii="Arial" w:hAnsi="Arial" w:cs="Arial"/>
          <w:color w:val="17365D" w:themeColor="text2" w:themeShade="BF"/>
          <w:sz w:val="20"/>
          <w:szCs w:val="20"/>
        </w:rPr>
        <w:t xml:space="preserve">, s dobitkom je poslovalo njih </w:t>
      </w:r>
      <w:r w:rsidR="001B0720" w:rsidRPr="00BB7425">
        <w:rPr>
          <w:rFonts w:ascii="Arial" w:hAnsi="Arial" w:cs="Arial"/>
          <w:color w:val="17365D" w:themeColor="text2" w:themeShade="BF"/>
          <w:sz w:val="20"/>
          <w:szCs w:val="20"/>
        </w:rPr>
        <w:t>60,9</w:t>
      </w:r>
      <w:r w:rsidRPr="00BB7425">
        <w:rPr>
          <w:rFonts w:ascii="Arial" w:hAnsi="Arial" w:cs="Arial"/>
          <w:color w:val="17365D" w:themeColor="text2" w:themeShade="BF"/>
          <w:sz w:val="20"/>
          <w:szCs w:val="20"/>
        </w:rPr>
        <w:t xml:space="preserve"> %.</w:t>
      </w:r>
    </w:p>
    <w:p w:rsidR="0044344C" w:rsidRPr="0044344C" w:rsidRDefault="0044344C" w:rsidP="005C1A65">
      <w:pPr>
        <w:widowControl w:val="0"/>
        <w:tabs>
          <w:tab w:val="left" w:pos="7513"/>
          <w:tab w:val="right" w:pos="9781"/>
        </w:tabs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7B4D07">
        <w:rPr>
          <w:rFonts w:ascii="Arial" w:hAnsi="Arial" w:cs="Arial"/>
          <w:color w:val="17365D" w:themeColor="text2" w:themeShade="BF"/>
          <w:sz w:val="20"/>
          <w:szCs w:val="20"/>
        </w:rPr>
        <w:t xml:space="preserve">Najviše poduzetnika, čija je pretežita djelatnost </w:t>
      </w:r>
      <w:r w:rsidR="00EB1A06" w:rsidRPr="007B4D07">
        <w:rPr>
          <w:rFonts w:ascii="Arial" w:hAnsi="Arial" w:cs="Arial"/>
          <w:color w:val="17365D" w:themeColor="text2" w:themeShade="BF"/>
          <w:sz w:val="20"/>
          <w:szCs w:val="20"/>
        </w:rPr>
        <w:t>kockanje i klađenje</w:t>
      </w:r>
      <w:r w:rsidRPr="007B4D07">
        <w:rPr>
          <w:rFonts w:ascii="Arial" w:hAnsi="Arial" w:cs="Arial"/>
          <w:color w:val="17365D" w:themeColor="text2" w:themeShade="BF"/>
          <w:sz w:val="20"/>
          <w:szCs w:val="20"/>
        </w:rPr>
        <w:t xml:space="preserve">, u 2017. godini imalo je sjedište u </w:t>
      </w:r>
      <w:r w:rsidR="00EB1A06" w:rsidRPr="007B4D07">
        <w:rPr>
          <w:rFonts w:ascii="Arial" w:hAnsi="Arial" w:cs="Arial"/>
          <w:color w:val="17365D" w:themeColor="text2" w:themeShade="BF"/>
          <w:sz w:val="20"/>
          <w:szCs w:val="20"/>
        </w:rPr>
        <w:t>županiji Grad Zagreb (32)</w:t>
      </w:r>
      <w:r w:rsidRPr="007B4D07">
        <w:rPr>
          <w:rFonts w:ascii="Arial" w:hAnsi="Arial" w:cs="Arial"/>
          <w:color w:val="17365D" w:themeColor="text2" w:themeShade="BF"/>
          <w:sz w:val="20"/>
          <w:szCs w:val="20"/>
        </w:rPr>
        <w:t xml:space="preserve">, a po njihovoj brojnosti slijedi </w:t>
      </w:r>
      <w:r w:rsidR="00EB1A06" w:rsidRPr="007B4D07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Pr="007B4D07">
        <w:rPr>
          <w:rFonts w:ascii="Arial" w:hAnsi="Arial" w:cs="Arial"/>
          <w:color w:val="17365D" w:themeColor="text2" w:themeShade="BF"/>
          <w:sz w:val="20"/>
          <w:szCs w:val="20"/>
        </w:rPr>
        <w:t>starska (</w:t>
      </w:r>
      <w:r w:rsidR="00CE2AA6" w:rsidRPr="007B4D07">
        <w:rPr>
          <w:rFonts w:ascii="Arial" w:hAnsi="Arial" w:cs="Arial"/>
          <w:color w:val="17365D" w:themeColor="text2" w:themeShade="BF"/>
          <w:sz w:val="20"/>
          <w:szCs w:val="20"/>
        </w:rPr>
        <w:t>osam</w:t>
      </w:r>
      <w:r w:rsidRPr="007B4D07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="00EB1A06" w:rsidRPr="007B4D07">
        <w:rPr>
          <w:rFonts w:ascii="Arial" w:hAnsi="Arial" w:cs="Arial"/>
          <w:color w:val="17365D" w:themeColor="text2" w:themeShade="BF"/>
          <w:sz w:val="20"/>
          <w:szCs w:val="20"/>
        </w:rPr>
        <w:t xml:space="preserve"> te Primorsko-goranska i Splitsko-dalmatinska</w:t>
      </w:r>
      <w:r w:rsidR="00122EDA" w:rsidRPr="007B4D07">
        <w:rPr>
          <w:rFonts w:ascii="Arial" w:hAnsi="Arial" w:cs="Arial"/>
          <w:color w:val="17365D" w:themeColor="text2" w:themeShade="BF"/>
          <w:sz w:val="20"/>
          <w:szCs w:val="20"/>
        </w:rPr>
        <w:t xml:space="preserve"> županija</w:t>
      </w:r>
      <w:r w:rsidR="00EB1A06" w:rsidRPr="007B4D07">
        <w:rPr>
          <w:rFonts w:ascii="Arial" w:hAnsi="Arial" w:cs="Arial"/>
          <w:color w:val="17365D" w:themeColor="text2" w:themeShade="BF"/>
          <w:sz w:val="20"/>
          <w:szCs w:val="20"/>
        </w:rPr>
        <w:t xml:space="preserve"> (</w:t>
      </w:r>
      <w:r w:rsidR="00922123">
        <w:rPr>
          <w:rFonts w:ascii="Arial" w:hAnsi="Arial" w:cs="Arial"/>
          <w:color w:val="17365D" w:themeColor="text2" w:themeShade="BF"/>
          <w:sz w:val="20"/>
          <w:szCs w:val="20"/>
        </w:rPr>
        <w:t>7</w:t>
      </w:r>
      <w:r w:rsidR="00EB1A06" w:rsidRPr="007B4D07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="007E77E8" w:rsidRPr="007B4D07">
        <w:rPr>
          <w:rFonts w:ascii="Arial" w:hAnsi="Arial" w:cs="Arial"/>
          <w:color w:val="17365D" w:themeColor="text2" w:themeShade="BF"/>
          <w:sz w:val="20"/>
          <w:szCs w:val="20"/>
        </w:rPr>
        <w:t>, dok</w:t>
      </w:r>
      <w:r w:rsidRPr="007B4D07">
        <w:rPr>
          <w:rFonts w:ascii="Arial" w:hAnsi="Arial" w:cs="Arial"/>
          <w:color w:val="17365D" w:themeColor="text2" w:themeShade="BF"/>
          <w:sz w:val="20"/>
          <w:szCs w:val="20"/>
        </w:rPr>
        <w:t xml:space="preserve"> najmanje poduzetnika u </w:t>
      </w:r>
      <w:r w:rsidR="00EB1A06" w:rsidRPr="007B4D07">
        <w:rPr>
          <w:rFonts w:ascii="Arial" w:hAnsi="Arial" w:cs="Arial"/>
          <w:color w:val="17365D" w:themeColor="text2" w:themeShade="BF"/>
          <w:sz w:val="20"/>
          <w:szCs w:val="20"/>
        </w:rPr>
        <w:t xml:space="preserve">odjeljku promatrane </w:t>
      </w:r>
      <w:r w:rsidRPr="007B4D07">
        <w:rPr>
          <w:rFonts w:ascii="Arial" w:hAnsi="Arial" w:cs="Arial"/>
          <w:color w:val="17365D" w:themeColor="text2" w:themeShade="BF"/>
          <w:sz w:val="20"/>
          <w:szCs w:val="20"/>
        </w:rPr>
        <w:t xml:space="preserve">djelatnosti bilo je u </w:t>
      </w:r>
      <w:r w:rsidR="00EB1A06" w:rsidRPr="007B4D07">
        <w:rPr>
          <w:rFonts w:ascii="Arial" w:hAnsi="Arial" w:cs="Arial"/>
          <w:color w:val="17365D" w:themeColor="text2" w:themeShade="BF"/>
          <w:sz w:val="20"/>
          <w:szCs w:val="20"/>
        </w:rPr>
        <w:t>Međimurskoj, Osječko-baranjskoj, Karlovačkoj, Sisačko-moslavačkoj i Zagrebačkoj županiji (</w:t>
      </w:r>
      <w:r w:rsidR="00922123">
        <w:rPr>
          <w:rFonts w:ascii="Arial" w:hAnsi="Arial" w:cs="Arial"/>
          <w:color w:val="17365D" w:themeColor="text2" w:themeShade="BF"/>
          <w:sz w:val="20"/>
          <w:szCs w:val="20"/>
        </w:rPr>
        <w:t>1</w:t>
      </w:r>
      <w:bookmarkStart w:id="0" w:name="_GoBack"/>
      <w:bookmarkEnd w:id="0"/>
      <w:r w:rsidR="00EB1A06" w:rsidRPr="007B4D07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Pr="007B4D07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7D2CBB" w:rsidRDefault="007D2CBB" w:rsidP="00CF1377">
      <w:pPr>
        <w:widowControl w:val="0"/>
        <w:tabs>
          <w:tab w:val="left" w:pos="7513"/>
          <w:tab w:val="right" w:pos="9781"/>
        </w:tabs>
        <w:spacing w:before="180" w:after="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7B4D0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7B4D0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A543C5" w:rsidRPr="007B4D0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Broj poduzetnika, broj zaposlenih te osnovni financijski rezultati poslovanja poduzetnika u odjeljku djelatnosti R92 u 2017. godini</w:t>
      </w:r>
      <w:r w:rsidR="004E781A" w:rsidRPr="007B4D0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               </w:t>
      </w:r>
      <w:r w:rsidR="006170B2" w:rsidRPr="007B4D0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                                </w:t>
      </w:r>
      <w:r w:rsidR="004E781A" w:rsidRPr="007B4D07"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  <w:t>(</w:t>
      </w:r>
      <w:r w:rsidR="004E781A" w:rsidRPr="007B4D07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iznosi u tisućama kuna, prosječne plaće u kunama)</w:t>
      </w:r>
    </w:p>
    <w:tbl>
      <w:tblPr>
        <w:tblW w:w="9822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1"/>
        <w:gridCol w:w="1207"/>
        <w:gridCol w:w="1207"/>
        <w:gridCol w:w="1207"/>
      </w:tblGrid>
      <w:tr w:rsidR="00A543C5" w:rsidRPr="00A543C5" w:rsidTr="00A543C5">
        <w:trPr>
          <w:trHeight w:hRule="exact" w:val="278"/>
          <w:jc w:val="center"/>
        </w:trPr>
        <w:tc>
          <w:tcPr>
            <w:tcW w:w="620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543C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3621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Djelatnost kockanja i klađenja NKD 92</w:t>
            </w:r>
          </w:p>
        </w:tc>
      </w:tr>
      <w:tr w:rsidR="00A543C5" w:rsidRPr="00A543C5" w:rsidTr="00A543C5">
        <w:trPr>
          <w:trHeight w:hRule="exact" w:val="271"/>
          <w:jc w:val="center"/>
        </w:trPr>
        <w:tc>
          <w:tcPr>
            <w:tcW w:w="620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2017.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proofErr w:type="spellStart"/>
            <w:r w:rsidRPr="00A543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Index</w:t>
            </w:r>
            <w:proofErr w:type="spellEnd"/>
          </w:p>
        </w:tc>
      </w:tr>
      <w:tr w:rsidR="00A543C5" w:rsidRPr="00A543C5" w:rsidTr="005C1A65">
        <w:trPr>
          <w:trHeight w:hRule="exact" w:val="283"/>
          <w:jc w:val="center"/>
        </w:trPr>
        <w:tc>
          <w:tcPr>
            <w:tcW w:w="62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-</w:t>
            </w:r>
          </w:p>
        </w:tc>
      </w:tr>
      <w:tr w:rsidR="00A543C5" w:rsidRPr="00A543C5" w:rsidTr="005C1A65">
        <w:trPr>
          <w:trHeight w:hRule="exact" w:val="283"/>
          <w:jc w:val="center"/>
        </w:trPr>
        <w:tc>
          <w:tcPr>
            <w:tcW w:w="62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Broj </w:t>
            </w:r>
            <w:proofErr w:type="spellStart"/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dobitaša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111,4</w:t>
            </w:r>
          </w:p>
        </w:tc>
      </w:tr>
      <w:tr w:rsidR="00A543C5" w:rsidRPr="00A543C5" w:rsidTr="005C1A65">
        <w:trPr>
          <w:trHeight w:hRule="exact" w:val="283"/>
          <w:jc w:val="center"/>
        </w:trPr>
        <w:tc>
          <w:tcPr>
            <w:tcW w:w="62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96,2</w:t>
            </w:r>
          </w:p>
        </w:tc>
      </w:tr>
      <w:tr w:rsidR="00A543C5" w:rsidRPr="00A543C5" w:rsidTr="005C1A65">
        <w:trPr>
          <w:trHeight w:hRule="exact" w:val="283"/>
          <w:jc w:val="center"/>
        </w:trPr>
        <w:tc>
          <w:tcPr>
            <w:tcW w:w="62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5.846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6.333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108,3</w:t>
            </w:r>
          </w:p>
        </w:tc>
      </w:tr>
      <w:tr w:rsidR="00A543C5" w:rsidRPr="00A543C5" w:rsidTr="005C1A65">
        <w:trPr>
          <w:trHeight w:hRule="exact" w:val="283"/>
          <w:jc w:val="center"/>
        </w:trPr>
        <w:tc>
          <w:tcPr>
            <w:tcW w:w="62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2.506.887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3.195.368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127,5</w:t>
            </w:r>
          </w:p>
        </w:tc>
      </w:tr>
      <w:tr w:rsidR="00A543C5" w:rsidRPr="00A543C5" w:rsidTr="005C1A65">
        <w:trPr>
          <w:trHeight w:hRule="exact" w:val="283"/>
          <w:jc w:val="center"/>
        </w:trPr>
        <w:tc>
          <w:tcPr>
            <w:tcW w:w="62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2.153.001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2.620.425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121,7</w:t>
            </w:r>
          </w:p>
        </w:tc>
      </w:tr>
      <w:tr w:rsidR="00A543C5" w:rsidRPr="00A543C5" w:rsidTr="005C1A65">
        <w:trPr>
          <w:trHeight w:hRule="exact" w:val="283"/>
          <w:jc w:val="center"/>
        </w:trPr>
        <w:tc>
          <w:tcPr>
            <w:tcW w:w="62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463.757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667.647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144,0</w:t>
            </w:r>
          </w:p>
        </w:tc>
      </w:tr>
      <w:tr w:rsidR="00A543C5" w:rsidRPr="00A543C5" w:rsidTr="005C1A65">
        <w:trPr>
          <w:trHeight w:hRule="exact" w:val="283"/>
          <w:jc w:val="center"/>
        </w:trPr>
        <w:tc>
          <w:tcPr>
            <w:tcW w:w="62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109.871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92.704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84,4</w:t>
            </w:r>
          </w:p>
        </w:tc>
      </w:tr>
      <w:tr w:rsidR="00A543C5" w:rsidRPr="00A543C5" w:rsidTr="005C1A65">
        <w:trPr>
          <w:trHeight w:hRule="exact" w:val="283"/>
          <w:jc w:val="center"/>
        </w:trPr>
        <w:tc>
          <w:tcPr>
            <w:tcW w:w="62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63.938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114.953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179,8</w:t>
            </w:r>
          </w:p>
        </w:tc>
      </w:tr>
      <w:tr w:rsidR="00A543C5" w:rsidRPr="00A543C5" w:rsidTr="005C1A65">
        <w:trPr>
          <w:trHeight w:hRule="exact" w:val="283"/>
          <w:jc w:val="center"/>
        </w:trPr>
        <w:tc>
          <w:tcPr>
            <w:tcW w:w="62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395.537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548.876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138,8</w:t>
            </w:r>
          </w:p>
        </w:tc>
      </w:tr>
      <w:tr w:rsidR="00A543C5" w:rsidRPr="00A543C5" w:rsidTr="005C1A65">
        <w:trPr>
          <w:trHeight w:hRule="exact" w:val="283"/>
          <w:jc w:val="center"/>
        </w:trPr>
        <w:tc>
          <w:tcPr>
            <w:tcW w:w="62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105.589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88.886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84,2</w:t>
            </w:r>
          </w:p>
        </w:tc>
      </w:tr>
      <w:tr w:rsidR="00A543C5" w:rsidRPr="00A543C5" w:rsidTr="005C1A65">
        <w:trPr>
          <w:trHeight w:hRule="exact" w:val="283"/>
          <w:jc w:val="center"/>
        </w:trPr>
        <w:tc>
          <w:tcPr>
            <w:tcW w:w="62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289.948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459.990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158,6</w:t>
            </w:r>
          </w:p>
        </w:tc>
      </w:tr>
      <w:tr w:rsidR="00A543C5" w:rsidRPr="00A543C5" w:rsidTr="005C1A65">
        <w:trPr>
          <w:trHeight w:hRule="exact" w:val="283"/>
          <w:jc w:val="center"/>
        </w:trPr>
        <w:tc>
          <w:tcPr>
            <w:tcW w:w="62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3.088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6.287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203,6</w:t>
            </w:r>
          </w:p>
        </w:tc>
      </w:tr>
      <w:tr w:rsidR="00A543C5" w:rsidRPr="00A543C5" w:rsidTr="005C1A65">
        <w:trPr>
          <w:trHeight w:hRule="exact" w:val="283"/>
          <w:jc w:val="center"/>
        </w:trPr>
        <w:tc>
          <w:tcPr>
            <w:tcW w:w="62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140.898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109.253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77,5</w:t>
            </w:r>
          </w:p>
        </w:tc>
      </w:tr>
      <w:tr w:rsidR="00A543C5" w:rsidRPr="00A543C5" w:rsidTr="005C1A65">
        <w:trPr>
          <w:trHeight w:hRule="exact" w:val="283"/>
          <w:jc w:val="center"/>
        </w:trPr>
        <w:tc>
          <w:tcPr>
            <w:tcW w:w="62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Trgovinski saldo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-137.811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-102.966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74,7</w:t>
            </w:r>
          </w:p>
        </w:tc>
      </w:tr>
      <w:tr w:rsidR="00A543C5" w:rsidRPr="00A543C5" w:rsidTr="005C1A65">
        <w:trPr>
          <w:trHeight w:hRule="exact" w:val="283"/>
          <w:jc w:val="center"/>
        </w:trPr>
        <w:tc>
          <w:tcPr>
            <w:tcW w:w="62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Bruto investicije samo u novu dugotrajnu imovinu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230.746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215.520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93,4</w:t>
            </w:r>
          </w:p>
        </w:tc>
      </w:tr>
      <w:tr w:rsidR="00A543C5" w:rsidRPr="00A543C5" w:rsidTr="005C1A65">
        <w:trPr>
          <w:trHeight w:hRule="exact" w:val="283"/>
          <w:jc w:val="center"/>
        </w:trPr>
        <w:tc>
          <w:tcPr>
            <w:tcW w:w="62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4.605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4.906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106,5</w:t>
            </w:r>
          </w:p>
        </w:tc>
      </w:tr>
    </w:tbl>
    <w:p w:rsidR="00DA3E57" w:rsidRPr="002D3059" w:rsidRDefault="00DA3E57" w:rsidP="00DA3E57">
      <w:pPr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2D3059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</w:t>
      </w:r>
      <w:r w:rsidR="00962227" w:rsidRPr="002D3059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Fina - </w:t>
      </w:r>
      <w:r w:rsidRPr="002D3059">
        <w:rPr>
          <w:rFonts w:ascii="Arial" w:hAnsi="Arial" w:cs="Arial"/>
          <w:i/>
          <w:color w:val="17365D" w:themeColor="text2" w:themeShade="BF"/>
          <w:sz w:val="16"/>
          <w:szCs w:val="16"/>
        </w:rPr>
        <w:t>Registar godišnjih financijskih izvještaja</w:t>
      </w:r>
    </w:p>
    <w:p w:rsidR="00744A06" w:rsidRDefault="00744A06" w:rsidP="00744A06">
      <w:pPr>
        <w:widowControl w:val="0"/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7B4D07">
        <w:rPr>
          <w:rFonts w:ascii="Arial" w:hAnsi="Arial" w:cs="Arial"/>
          <w:color w:val="17365D" w:themeColor="text2" w:themeShade="BF"/>
          <w:sz w:val="20"/>
          <w:szCs w:val="20"/>
        </w:rPr>
        <w:t>Ukupne neto plaće i nadnice u 2017. godini, u promatranoj djelatnosti, iznosile su 372,8 milijuna kuna. Prosječna mjesečna neto plaća u odjeljku djelatnosti kockanja i klađenja iznosila je 4.906 kuna u promatranoj godini i bila je za 6,5 % veća u odnosu na prethodnu godinu te za 8,7 % manja od prosječne mjesečne neto plaće zaposlenih kod poduzetnika na razini RH (5.372 kune). Bruto investicije samo u novu dugotrajnu imovinu u 2017. godini iznosile su 215,5 milijuna kuna, dok su u 2016. godini iste iznosile 230,7 milijuna kuna.</w:t>
      </w:r>
    </w:p>
    <w:p w:rsidR="00B76C15" w:rsidRDefault="00B76C15" w:rsidP="00B76C15">
      <w:pPr>
        <w:spacing w:before="120" w:after="0"/>
        <w:jc w:val="both"/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P</w:t>
      </w:r>
      <w:r w:rsidRPr="005A55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rvo </w:t>
      </w:r>
      <w:r w:rsidRPr="005A55F2">
        <w:rPr>
          <w:rFonts w:ascii="Arial" w:eastAsia="Times New Roman" w:hAnsi="Arial"/>
          <w:color w:val="17365D" w:themeColor="text2" w:themeShade="BF"/>
          <w:sz w:val="20"/>
          <w:szCs w:val="20"/>
          <w:u w:val="single"/>
          <w:lang w:eastAsia="hr-HR"/>
        </w:rPr>
        <w:t>po ostvarenim ukupnim prihodima</w:t>
      </w:r>
      <w:r w:rsidRPr="005A55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u djelatnosti kockanja i klađenja u 2017. godini, bilo je društvo </w:t>
      </w:r>
      <w:hyperlink r:id="rId9" w:history="1">
        <w:r w:rsidRPr="00CB4719">
          <w:rPr>
            <w:rStyle w:val="Hiperveza"/>
            <w:rFonts w:ascii="Arial" w:eastAsia="Times New Roman" w:hAnsi="Arial"/>
            <w:sz w:val="20"/>
            <w:szCs w:val="20"/>
            <w:lang w:eastAsia="hr-HR"/>
          </w:rPr>
          <w:t>SUPER SPORT d.o.o.</w:t>
        </w:r>
      </w:hyperlink>
      <w:r w:rsidRPr="005A55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, s 581,4 milijuna kuna. Društvo je </w:t>
      </w: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imalo je </w:t>
      </w:r>
      <w:r w:rsidRPr="005A55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945</w:t>
      </w: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zaposlenih</w:t>
      </w:r>
      <w:r w:rsidRPr="005A55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kojima je obračunata prosječna mjesečna neto plaća u iznosu od 3.880 kuna. </w:t>
      </w:r>
    </w:p>
    <w:p w:rsidR="00B76C15" w:rsidRPr="00B03524" w:rsidRDefault="00B76C15" w:rsidP="00B76C15">
      <w:pPr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5A55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Prv</w:t>
      </w: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a</w:t>
      </w:r>
      <w:r w:rsidRPr="005A55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po </w:t>
      </w:r>
      <w:r w:rsidRPr="005A55F2">
        <w:rPr>
          <w:rFonts w:ascii="Arial" w:eastAsia="Times New Roman" w:hAnsi="Arial"/>
          <w:color w:val="17365D" w:themeColor="text2" w:themeShade="BF"/>
          <w:sz w:val="20"/>
          <w:szCs w:val="20"/>
          <w:u w:val="single"/>
          <w:lang w:eastAsia="hr-HR"/>
        </w:rPr>
        <w:t>broju zaposlenih</w:t>
      </w:r>
      <w:r w:rsidRPr="005A55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u djelatnosti </w:t>
      </w: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kockanja i klađenja</w:t>
      </w:r>
      <w:r w:rsidRPr="005A55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u 2017. godini bi</w:t>
      </w: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la je </w:t>
      </w:r>
      <w:hyperlink r:id="rId10" w:history="1">
        <w:r w:rsidRPr="00CB4719">
          <w:rPr>
            <w:rStyle w:val="Hiperveza"/>
            <w:rFonts w:ascii="Arial" w:eastAsia="Times New Roman" w:hAnsi="Arial"/>
            <w:sz w:val="20"/>
            <w:szCs w:val="20"/>
            <w:lang w:eastAsia="hr-HR"/>
          </w:rPr>
          <w:t>Hrvatska Lutrija d.o.o.</w:t>
        </w:r>
      </w:hyperlink>
      <w:r w:rsidRPr="005A55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iz Zagreba, s 1214 zaposlenih, koj</w:t>
      </w: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a</w:t>
      </w:r>
      <w:r w:rsidRPr="005A55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je na drugom mjestu po ukupnim prihodima (528,3 milijuna kuna).</w:t>
      </w: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Prosječna mjesečna neto plaća zaposlenih u Hrvatskoj Lutriji iznosila je 6.175 kuna, što je više od prosjeka na razini djelatnosti kockanja i klađenja za 25,9 %. Među poduzetnicima sa 10 i više zaposlenih, veću prosječnu mjesečnu neto plaću po zaposlenom obračunali su sljedeći poduzetnici: </w:t>
      </w:r>
      <w:hyperlink r:id="rId11" w:history="1">
        <w:r w:rsidRPr="00F74671">
          <w:rPr>
            <w:rStyle w:val="Hiperveza"/>
            <w:rFonts w:ascii="Arial" w:eastAsia="Times New Roman" w:hAnsi="Arial"/>
            <w:sz w:val="20"/>
            <w:szCs w:val="20"/>
            <w:lang w:eastAsia="hr-HR"/>
          </w:rPr>
          <w:t>SONIK d.d</w:t>
        </w:r>
      </w:hyperlink>
      <w:r w:rsidRPr="00F6504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.</w:t>
      </w: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, </w:t>
      </w:r>
      <w:hyperlink r:id="rId12" w:history="1">
        <w:r w:rsidRPr="00F74671">
          <w:rPr>
            <w:rStyle w:val="Hiperveza"/>
            <w:rFonts w:ascii="Arial" w:eastAsia="Times New Roman" w:hAnsi="Arial"/>
            <w:sz w:val="20"/>
            <w:szCs w:val="20"/>
            <w:lang w:eastAsia="hr-HR"/>
          </w:rPr>
          <w:t>MERIT d.o.o</w:t>
        </w:r>
      </w:hyperlink>
      <w:r w:rsidRPr="00F6504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.</w:t>
      </w: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,</w:t>
      </w:r>
      <w:r w:rsidRPr="00F74671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Pr="00F74671">
          <w:rPr>
            <w:rStyle w:val="Hiperveza"/>
            <w:rFonts w:ascii="Arial" w:eastAsia="Times New Roman" w:hAnsi="Arial"/>
            <w:sz w:val="20"/>
            <w:szCs w:val="20"/>
            <w:lang w:eastAsia="hr-HR"/>
          </w:rPr>
          <w:t>MSFG d.o.o</w:t>
        </w:r>
      </w:hyperlink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., </w:t>
      </w:r>
      <w:hyperlink r:id="rId14" w:history="1">
        <w:r w:rsidRPr="00F74671">
          <w:rPr>
            <w:rStyle w:val="Hiperveza"/>
            <w:rFonts w:ascii="Arial" w:eastAsia="Times New Roman" w:hAnsi="Arial"/>
            <w:sz w:val="20"/>
            <w:szCs w:val="20"/>
            <w:lang w:eastAsia="hr-HR"/>
          </w:rPr>
          <w:t>JADRAN VEGAS d.o.o</w:t>
        </w:r>
      </w:hyperlink>
      <w:r w:rsidRPr="00F6504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.</w:t>
      </w: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, </w:t>
      </w:r>
      <w:hyperlink r:id="rId15" w:history="1">
        <w:r w:rsidRPr="00F74671">
          <w:rPr>
            <w:rStyle w:val="Hiperveza"/>
            <w:rFonts w:ascii="Arial" w:eastAsia="Times New Roman" w:hAnsi="Arial"/>
            <w:sz w:val="20"/>
            <w:szCs w:val="20"/>
            <w:lang w:eastAsia="hr-HR"/>
          </w:rPr>
          <w:t>GOGS d.o.o</w:t>
        </w:r>
      </w:hyperlink>
      <w:r w:rsidRPr="00F6504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.</w:t>
      </w: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, </w:t>
      </w:r>
      <w:hyperlink r:id="rId16" w:history="1">
        <w:r w:rsidRPr="00F74671">
          <w:rPr>
            <w:rStyle w:val="Hiperveza"/>
            <w:rFonts w:ascii="Arial" w:eastAsia="Times New Roman" w:hAnsi="Arial"/>
            <w:sz w:val="20"/>
            <w:szCs w:val="20"/>
            <w:lang w:eastAsia="hr-HR"/>
          </w:rPr>
          <w:t>GLOBUS IGRE d.o.o.</w:t>
        </w:r>
      </w:hyperlink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i </w:t>
      </w:r>
      <w:hyperlink r:id="rId17" w:history="1">
        <w:r w:rsidRPr="00F74671">
          <w:rPr>
            <w:rStyle w:val="Hiperveza"/>
            <w:rFonts w:ascii="Arial" w:eastAsia="Times New Roman" w:hAnsi="Arial"/>
            <w:sz w:val="20"/>
            <w:szCs w:val="20"/>
            <w:lang w:eastAsia="hr-HR"/>
          </w:rPr>
          <w:t>REBUY STARS d.o.o</w:t>
        </w:r>
      </w:hyperlink>
      <w:r w:rsidRPr="00F6504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.</w:t>
      </w:r>
      <w:r w:rsidRPr="00B03524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</w:p>
    <w:p w:rsidR="00B76C15" w:rsidRDefault="00B76C15" w:rsidP="00B76C15">
      <w:pPr>
        <w:pageBreakBefore/>
        <w:tabs>
          <w:tab w:val="left" w:pos="567"/>
          <w:tab w:val="left" w:pos="1134"/>
          <w:tab w:val="left" w:pos="8080"/>
        </w:tabs>
        <w:spacing w:after="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D3497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lastRenderedPageBreak/>
        <w:t xml:space="preserve">Tablica 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Pr="00D3497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D3497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 xml:space="preserve">Top 10 poduzetnika u djelatnosti kockanja i klađenja, rangirani prema ukupnom prihodu, u 2017. 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</w:t>
      </w:r>
      <w:r w:rsidRPr="00D3497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D34974"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  <w:tab/>
        <w:t>(</w:t>
      </w:r>
      <w:r w:rsidRPr="00D34974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iznosi u tisućama kuna)</w:t>
      </w:r>
    </w:p>
    <w:tbl>
      <w:tblPr>
        <w:tblW w:w="9861" w:type="dxa"/>
        <w:jc w:val="center"/>
        <w:tblInd w:w="-11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6"/>
        <w:gridCol w:w="1420"/>
        <w:gridCol w:w="3220"/>
        <w:gridCol w:w="980"/>
        <w:gridCol w:w="1120"/>
        <w:gridCol w:w="1120"/>
        <w:gridCol w:w="1245"/>
      </w:tblGrid>
      <w:tr w:rsidR="00B76C15" w:rsidRPr="00CF1377" w:rsidTr="004304FF">
        <w:trPr>
          <w:trHeight w:hRule="exact" w:val="454"/>
          <w:jc w:val="center"/>
        </w:trPr>
        <w:tc>
          <w:tcPr>
            <w:tcW w:w="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R.br.</w:t>
            </w:r>
          </w:p>
        </w:tc>
        <w:tc>
          <w:tcPr>
            <w:tcW w:w="14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32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9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Sjedište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Ukupan prihod</w:t>
            </w:r>
          </w:p>
        </w:tc>
        <w:tc>
          <w:tcPr>
            <w:tcW w:w="124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Neto dobit/gubitak</w:t>
            </w:r>
          </w:p>
        </w:tc>
      </w:tr>
      <w:tr w:rsidR="00B76C15" w:rsidRPr="00CF1377" w:rsidTr="004304FF">
        <w:trPr>
          <w:trHeight w:hRule="exact" w:val="283"/>
          <w:jc w:val="center"/>
        </w:trPr>
        <w:tc>
          <w:tcPr>
            <w:tcW w:w="7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48471634697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18" w:history="1">
              <w:r w:rsidRPr="00CB4719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SUPER SPORT d.o.o.</w:t>
              </w:r>
            </w:hyperlink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581.366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292.181</w:t>
            </w:r>
          </w:p>
        </w:tc>
      </w:tr>
      <w:tr w:rsidR="00B76C15" w:rsidRPr="00CF1377" w:rsidTr="004304FF">
        <w:trPr>
          <w:trHeight w:hRule="exact" w:val="283"/>
          <w:jc w:val="center"/>
        </w:trPr>
        <w:tc>
          <w:tcPr>
            <w:tcW w:w="7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27905228158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19" w:history="1">
              <w:r w:rsidRPr="00CB4719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Hrvatska Lutrija d.o.o.</w:t>
              </w:r>
            </w:hyperlink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528.267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45.400</w:t>
            </w:r>
          </w:p>
        </w:tc>
      </w:tr>
      <w:tr w:rsidR="00B76C15" w:rsidRPr="00CF1377" w:rsidTr="004304FF">
        <w:trPr>
          <w:trHeight w:hRule="exact" w:val="283"/>
          <w:jc w:val="center"/>
        </w:trPr>
        <w:tc>
          <w:tcPr>
            <w:tcW w:w="7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92265244213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20" w:history="1">
              <w:r w:rsidRPr="00CB4719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HATTRICK-PSK d.o.o.</w:t>
              </w:r>
            </w:hyperlink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Dugopolje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503.095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94.539</w:t>
            </w:r>
          </w:p>
        </w:tc>
      </w:tr>
      <w:tr w:rsidR="00B76C15" w:rsidRPr="00CF1377" w:rsidTr="004304FF">
        <w:trPr>
          <w:trHeight w:hRule="exact" w:val="283"/>
          <w:jc w:val="center"/>
        </w:trPr>
        <w:tc>
          <w:tcPr>
            <w:tcW w:w="7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57930981912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21" w:history="1">
              <w:r w:rsidRPr="00CB4719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INTERIGRE d.o.o.</w:t>
              </w:r>
            </w:hyperlink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437.916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-2.103</w:t>
            </w:r>
          </w:p>
        </w:tc>
      </w:tr>
      <w:tr w:rsidR="00B76C15" w:rsidRPr="00CF1377" w:rsidTr="004304FF">
        <w:trPr>
          <w:trHeight w:hRule="exact" w:val="283"/>
          <w:jc w:val="center"/>
        </w:trPr>
        <w:tc>
          <w:tcPr>
            <w:tcW w:w="7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76118645526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22" w:history="1">
              <w:r w:rsidRPr="00CB4719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INTERNATIONAL</w:t>
              </w:r>
              <w:r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</w:t>
              </w:r>
              <w:r w:rsidRPr="00CB4719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EVONA d.o.o.</w:t>
              </w:r>
            </w:hyperlink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Stobreč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182.787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30.140</w:t>
            </w:r>
          </w:p>
        </w:tc>
      </w:tr>
      <w:tr w:rsidR="00B76C15" w:rsidRPr="00CF1377" w:rsidTr="004304FF">
        <w:trPr>
          <w:trHeight w:hRule="exact" w:val="283"/>
          <w:jc w:val="center"/>
        </w:trPr>
        <w:tc>
          <w:tcPr>
            <w:tcW w:w="7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75632766837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GERMANIA SPORT d.o.o.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127.852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9.411</w:t>
            </w:r>
          </w:p>
        </w:tc>
      </w:tr>
      <w:tr w:rsidR="00B76C15" w:rsidRPr="00CF1377" w:rsidTr="004304FF">
        <w:trPr>
          <w:trHeight w:hRule="exact" w:val="283"/>
          <w:jc w:val="center"/>
        </w:trPr>
        <w:tc>
          <w:tcPr>
            <w:tcW w:w="7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90416649365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WETTPUNKT d.o.o.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95.369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9.437</w:t>
            </w:r>
          </w:p>
        </w:tc>
      </w:tr>
      <w:tr w:rsidR="00B76C15" w:rsidRPr="00CF1377" w:rsidTr="004304FF">
        <w:trPr>
          <w:trHeight w:hRule="exact" w:val="283"/>
          <w:jc w:val="center"/>
        </w:trPr>
        <w:tc>
          <w:tcPr>
            <w:tcW w:w="7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90180501899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ADRIA CASINO d.o.o.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61.211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2.922</w:t>
            </w:r>
          </w:p>
        </w:tc>
      </w:tr>
      <w:tr w:rsidR="00B76C15" w:rsidRPr="00CF1377" w:rsidTr="004304FF">
        <w:trPr>
          <w:trHeight w:hRule="exact" w:val="283"/>
          <w:jc w:val="center"/>
        </w:trPr>
        <w:tc>
          <w:tcPr>
            <w:tcW w:w="7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23362184943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MONEO d.o.o.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46.191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6.696</w:t>
            </w:r>
          </w:p>
        </w:tc>
      </w:tr>
      <w:tr w:rsidR="00B76C15" w:rsidRPr="00CF1377" w:rsidTr="004304FF">
        <w:trPr>
          <w:trHeight w:hRule="exact" w:val="283"/>
          <w:jc w:val="center"/>
        </w:trPr>
        <w:tc>
          <w:tcPr>
            <w:tcW w:w="7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49604933226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MAJOR INTERNACIONAL d.o.o.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42.264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3.118</w:t>
            </w:r>
          </w:p>
        </w:tc>
      </w:tr>
      <w:tr w:rsidR="00B76C15" w:rsidRPr="00CF1377" w:rsidTr="004304FF">
        <w:trPr>
          <w:trHeight w:hRule="exact" w:val="278"/>
          <w:jc w:val="center"/>
        </w:trPr>
        <w:tc>
          <w:tcPr>
            <w:tcW w:w="637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9D9D9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Ukupno top 10 po ukupnom prihodu</w:t>
            </w:r>
          </w:p>
        </w:tc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4.863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2.606.319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491.742</w:t>
            </w:r>
          </w:p>
        </w:tc>
      </w:tr>
      <w:tr w:rsidR="00B76C15" w:rsidRPr="00CF1377" w:rsidTr="004304FF">
        <w:trPr>
          <w:trHeight w:hRule="exact" w:val="278"/>
          <w:jc w:val="center"/>
        </w:trPr>
        <w:tc>
          <w:tcPr>
            <w:tcW w:w="637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 xml:space="preserve">Ukupno svi poduzetnici u </w:t>
            </w:r>
            <w:r w:rsidRPr="0011113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odjeljku djelatnosti kockanja i klađenja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6.333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3.195.368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459.990</w:t>
            </w:r>
          </w:p>
        </w:tc>
      </w:tr>
      <w:tr w:rsidR="00B76C15" w:rsidRPr="00CF1377" w:rsidTr="004304FF">
        <w:trPr>
          <w:trHeight w:hRule="exact" w:val="278"/>
          <w:jc w:val="center"/>
        </w:trPr>
        <w:tc>
          <w:tcPr>
            <w:tcW w:w="637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Udio top 10 poduzetnika po ukupnom prihodu u odjeljku djelatnosti R92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76,8%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81,6%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B76C15" w:rsidRPr="00111137" w:rsidRDefault="00B76C15" w:rsidP="004304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106,9%</w:t>
            </w:r>
          </w:p>
        </w:tc>
      </w:tr>
    </w:tbl>
    <w:p w:rsidR="00B76C15" w:rsidRPr="00E14884" w:rsidRDefault="00B76C15" w:rsidP="00B76C15">
      <w:pPr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E14884">
        <w:rPr>
          <w:rFonts w:ascii="Arial" w:hAnsi="Arial" w:cs="Arial"/>
          <w:i/>
          <w:color w:val="17365D" w:themeColor="text2" w:themeShade="BF"/>
          <w:sz w:val="16"/>
          <w:szCs w:val="16"/>
        </w:rPr>
        <w:t>Izvor: Fina - Registar godišnjih financijskih izvještaja</w:t>
      </w:r>
    </w:p>
    <w:p w:rsidR="00072715" w:rsidRDefault="00072715" w:rsidP="00B76C15">
      <w:pPr>
        <w:widowControl w:val="0"/>
        <w:spacing w:before="24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4E2C16">
        <w:rPr>
          <w:rFonts w:ascii="Arial" w:hAnsi="Arial" w:cs="Arial"/>
          <w:color w:val="17365D" w:themeColor="text2" w:themeShade="BF"/>
          <w:sz w:val="20"/>
          <w:szCs w:val="20"/>
        </w:rPr>
        <w:t xml:space="preserve">U razdoblju od </w:t>
      </w:r>
      <w:r w:rsidR="00945ABD">
        <w:rPr>
          <w:rFonts w:ascii="Arial" w:hAnsi="Arial" w:cs="Arial"/>
          <w:color w:val="17365D" w:themeColor="text2" w:themeShade="BF"/>
          <w:sz w:val="20"/>
          <w:szCs w:val="20"/>
        </w:rPr>
        <w:t xml:space="preserve">2008. do 2017. godine, </w:t>
      </w:r>
      <w:r w:rsidRPr="004E2C16">
        <w:rPr>
          <w:rFonts w:ascii="Arial" w:hAnsi="Arial" w:cs="Arial"/>
          <w:color w:val="17365D" w:themeColor="text2" w:themeShade="BF"/>
          <w:sz w:val="20"/>
          <w:szCs w:val="20"/>
        </w:rPr>
        <w:t>najmanji broj pravnih i fizičkih osoba (obrta), obveznika poreza na dobit, u djelatnosti kockanja i klađenja bio je u 2017. godini (64), a najveći u 200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8</w:t>
      </w:r>
      <w:r w:rsidRPr="004E2C16">
        <w:rPr>
          <w:rFonts w:ascii="Arial" w:hAnsi="Arial" w:cs="Arial"/>
          <w:color w:val="17365D" w:themeColor="text2" w:themeShade="BF"/>
          <w:sz w:val="20"/>
          <w:szCs w:val="20"/>
        </w:rPr>
        <w:t>. godini (9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9</w:t>
      </w:r>
      <w:r w:rsidRPr="004E2C16">
        <w:rPr>
          <w:rFonts w:ascii="Arial" w:hAnsi="Arial" w:cs="Arial"/>
          <w:color w:val="17365D" w:themeColor="text2" w:themeShade="BF"/>
          <w:sz w:val="20"/>
          <w:szCs w:val="20"/>
        </w:rPr>
        <w:t>).</w:t>
      </w:r>
    </w:p>
    <w:p w:rsidR="00744A06" w:rsidRDefault="00072715" w:rsidP="00072715">
      <w:pPr>
        <w:widowControl w:val="0"/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072715">
        <w:rPr>
          <w:rFonts w:ascii="Arial" w:hAnsi="Arial" w:cs="Arial"/>
          <w:color w:val="17365D" w:themeColor="text2" w:themeShade="BF"/>
          <w:sz w:val="20"/>
          <w:szCs w:val="20"/>
        </w:rPr>
        <w:t xml:space="preserve">Najviše zaposlenih u ovoj djelatnosti bilo je također 2008. godine (7.664), dok je najmanji broj zaposlenih bio 2015. godine (5.254). U 2017. godini ostvareno je 3,2 milijarde kuna ukupnog prihoda, što je najveći ostvareni ukupan prihod u proteklih </w:t>
      </w:r>
      <w:r w:rsidR="00945ABD">
        <w:rPr>
          <w:rFonts w:ascii="Arial" w:hAnsi="Arial" w:cs="Arial"/>
          <w:color w:val="17365D" w:themeColor="text2" w:themeShade="BF"/>
          <w:sz w:val="20"/>
          <w:szCs w:val="20"/>
        </w:rPr>
        <w:t>deset</w:t>
      </w:r>
      <w:r w:rsidRPr="00072715">
        <w:rPr>
          <w:rFonts w:ascii="Arial" w:hAnsi="Arial" w:cs="Arial"/>
          <w:color w:val="17365D" w:themeColor="text2" w:themeShade="BF"/>
          <w:sz w:val="20"/>
          <w:szCs w:val="20"/>
        </w:rPr>
        <w:t xml:space="preserve"> godina (74,9 % više u odnosu na 2012., kada je ostvaren najmanji prihod).</w:t>
      </w:r>
    </w:p>
    <w:p w:rsidR="00072715" w:rsidRDefault="00072715" w:rsidP="00072715">
      <w:pPr>
        <w:widowControl w:val="0"/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4E2C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Najmanja prosječna mjesečna neto plaća obračunata je 20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08</w:t>
      </w:r>
      <w:r w:rsidRPr="004E2C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godine, kada je iznosila 3.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851</w:t>
      </w:r>
      <w:r w:rsidRPr="004E2C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</w:t>
      </w:r>
      <w:r w:rsidRPr="004E2C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Najviša prosječna mjesečna neto plaća zaposlenih kod poduzetnika čija je pretežita djelatnost kockanje i klađenje, obračunata je u 2017. godini i iznosila je 4.906 kuna, što </w:t>
      </w:r>
      <w:r w:rsidRPr="00945AB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je 2</w:t>
      </w:r>
      <w:r w:rsidR="00945ABD" w:rsidRPr="00945AB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7,4</w:t>
      </w:r>
      <w:r w:rsidRPr="00945AB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% više u </w:t>
      </w:r>
      <w:r w:rsidRPr="004E2C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odnosu na prosječnu mjesečnu neto plaću obračunatu u 200</w:t>
      </w:r>
      <w:r w:rsidR="00945AB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</w:t>
      </w:r>
      <w:r w:rsidRPr="004E2C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godini.</w:t>
      </w:r>
    </w:p>
    <w:p w:rsidR="00B76C15" w:rsidRDefault="00B76C15" w:rsidP="00B76C15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4E2C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razdoblju od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deset</w:t>
      </w:r>
      <w:r w:rsidRPr="004E2C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godina, neto dobit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je iskazana od 2011. do 2017. godine</w:t>
      </w:r>
      <w:r w:rsidRPr="004E2C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4E2C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neto gubitak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je </w:t>
      </w:r>
      <w:r w:rsidRPr="004E2C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iskazan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2009. i </w:t>
      </w:r>
      <w:r w:rsidRPr="004E2C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2010.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</w:t>
      </w:r>
      <w:r w:rsidRPr="004E2C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odine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 dok je u jeku gospodarske krize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2008.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odine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ostvarena dobit u iznosu od 147,7 milijuna kuna</w:t>
      </w:r>
      <w:r w:rsidRPr="004E2C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</w:p>
    <w:p w:rsidR="00B76C15" w:rsidRDefault="00B76C15" w:rsidP="00B76C15">
      <w:pPr>
        <w:widowControl w:val="0"/>
        <w:tabs>
          <w:tab w:val="left" w:pos="7513"/>
          <w:tab w:val="right" w:pos="9781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4E2C1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3</w:t>
      </w:r>
      <w:r w:rsidRPr="004E2C1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4E2C1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>Broj poduzetnika i zaposlenih, ukupan prihod, neto dobit/gubitak i prosječna mjesečna plaća u djelatnosti kockanja i klađenja, u razdoblju od 200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8</w:t>
      </w:r>
      <w:r w:rsidRPr="004E2C1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do 2017.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Pr="004E2C16">
        <w:rPr>
          <w:rFonts w:ascii="Arial" w:eastAsia="Times New Roman" w:hAnsi="Arial" w:cs="Arial"/>
          <w:color w:val="17365D" w:themeColor="text2" w:themeShade="BF"/>
          <w:sz w:val="16"/>
          <w:szCs w:val="18"/>
          <w:lang w:eastAsia="hr-HR"/>
        </w:rPr>
        <w:t>(iznosi u tisućama kuna, prosječne plaće u kn)</w:t>
      </w:r>
    </w:p>
    <w:p w:rsidR="00B76C15" w:rsidRDefault="00B76C15" w:rsidP="00B76C15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B76C15">
        <w:drawing>
          <wp:inline distT="0" distB="0" distL="0" distR="0" wp14:anchorId="76D446AA" wp14:editId="48A7D740">
            <wp:extent cx="6264000" cy="1332000"/>
            <wp:effectExtent l="0" t="0" r="3810" b="1905"/>
            <wp:docPr id="5" name="Slik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A6D" w:rsidRDefault="00ED4A6D" w:rsidP="00B76C15">
      <w:pPr>
        <w:widowControl w:val="0"/>
        <w:spacing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2D3059">
        <w:rPr>
          <w:rFonts w:ascii="Arial" w:hAnsi="Arial" w:cs="Arial"/>
          <w:i/>
          <w:color w:val="17365D" w:themeColor="text2" w:themeShade="BF"/>
          <w:sz w:val="16"/>
          <w:szCs w:val="16"/>
        </w:rPr>
        <w:t>Izvor: Fina - Registar godišnjih financijskih izvještaja</w:t>
      </w:r>
      <w:r w:rsidRPr="004E2C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</w:p>
    <w:p w:rsidR="00945ABD" w:rsidRDefault="00667413" w:rsidP="00667413">
      <w:pPr>
        <w:widowControl w:val="0"/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4E2C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Najveća neto dobit iskazana je u 2017. godini i iznosila je 460,0 milijuna kuna što je šest puta više u odnosu na najmanje ostvarenu neto dobit, 2011. godine (72,9 milijuna kuna)</w:t>
      </w:r>
    </w:p>
    <w:p w:rsidR="00B76C15" w:rsidRDefault="00B76C15" w:rsidP="00B76C15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5A55F2">
        <w:rPr>
          <w:rFonts w:ascii="Arial" w:hAnsi="Arial" w:cs="Arial"/>
          <w:color w:val="17365D" w:themeColor="text2" w:themeShade="BF"/>
          <w:sz w:val="20"/>
          <w:szCs w:val="20"/>
        </w:rPr>
        <w:t xml:space="preserve">Pozitivnom rezultatu u 2017. godini najviše je doprinio </w:t>
      </w:r>
      <w:hyperlink r:id="rId24" w:history="1">
        <w:r w:rsidRPr="00CB4719">
          <w:rPr>
            <w:rStyle w:val="Hiperveza"/>
            <w:rFonts w:ascii="Arial" w:hAnsi="Arial" w:cs="Arial"/>
            <w:sz w:val="20"/>
            <w:szCs w:val="20"/>
          </w:rPr>
          <w:t>SUPER SPORT d.o.o.</w:t>
        </w:r>
      </w:hyperlink>
      <w:r w:rsidRPr="005A55F2">
        <w:rPr>
          <w:rFonts w:ascii="Arial" w:hAnsi="Arial" w:cs="Arial"/>
          <w:color w:val="17365D" w:themeColor="text2" w:themeShade="BF"/>
          <w:sz w:val="20"/>
          <w:szCs w:val="20"/>
        </w:rPr>
        <w:t>, koji je ostvario dobit razdoblja u iznosu od 292,2 milijuna kuna. Negativan financijski rezultat iskazan je u 2010. godini kada je najveći gubitak ostvari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la </w:t>
      </w:r>
      <w:hyperlink r:id="rId25" w:history="1">
        <w:r w:rsidRPr="00CB4719">
          <w:rPr>
            <w:rStyle w:val="Hiperveza"/>
            <w:rFonts w:ascii="Arial" w:hAnsi="Arial" w:cs="Arial"/>
            <w:sz w:val="20"/>
            <w:szCs w:val="20"/>
          </w:rPr>
          <w:t>FAVORIT SPORTSKA KLADIONICA d.o.o.</w:t>
        </w:r>
      </w:hyperlink>
      <w:r w:rsidRPr="005A55F2">
        <w:rPr>
          <w:rStyle w:val="Referencafusnote"/>
          <w:rFonts w:ascii="Arial" w:hAnsi="Arial" w:cs="Arial"/>
          <w:color w:val="17365D" w:themeColor="text2" w:themeShade="BF"/>
          <w:sz w:val="20"/>
          <w:szCs w:val="20"/>
        </w:rPr>
        <w:footnoteReference w:id="1"/>
      </w:r>
      <w:r w:rsidRPr="005A55F2">
        <w:rPr>
          <w:rFonts w:ascii="Arial" w:hAnsi="Arial" w:cs="Arial"/>
          <w:color w:val="17365D" w:themeColor="text2" w:themeShade="BF"/>
          <w:sz w:val="20"/>
          <w:szCs w:val="20"/>
        </w:rPr>
        <w:t xml:space="preserve"> (34,0 milijuna kuna),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koja s gubitkom posluje zadnje </w:t>
      </w:r>
      <w:r w:rsidRPr="005A55F2">
        <w:rPr>
          <w:rFonts w:ascii="Arial" w:hAnsi="Arial" w:cs="Arial"/>
          <w:color w:val="17365D" w:themeColor="text2" w:themeShade="BF"/>
          <w:sz w:val="20"/>
          <w:szCs w:val="20"/>
        </w:rPr>
        <w:t>četiri godine, s tim da je u 2017. godini iznosio 15,6 milijuna kuna.</w:t>
      </w:r>
    </w:p>
    <w:p w:rsidR="00576B37" w:rsidRPr="00ED0312" w:rsidRDefault="000739F9" w:rsidP="00B76C15">
      <w:pPr>
        <w:pageBreakBefore/>
        <w:tabs>
          <w:tab w:val="left" w:pos="1134"/>
          <w:tab w:val="left" w:pos="12758"/>
        </w:tabs>
        <w:spacing w:before="120" w:after="60" w:line="240" w:lineRule="auto"/>
        <w:ind w:left="1134" w:hanging="1134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4E2C16">
        <w:rPr>
          <w:rFonts w:ascii="Arial" w:hAnsi="Arial" w:cs="Arial"/>
          <w:b/>
          <w:color w:val="17365D" w:themeColor="text2" w:themeShade="BF"/>
          <w:sz w:val="18"/>
          <w:szCs w:val="18"/>
        </w:rPr>
        <w:t>Grafikon 1</w:t>
      </w:r>
      <w:r w:rsidR="00576B37" w:rsidRPr="004E2C16">
        <w:rPr>
          <w:rFonts w:ascii="Arial" w:hAnsi="Arial" w:cs="Arial"/>
          <w:b/>
          <w:color w:val="17365D" w:themeColor="text2" w:themeShade="BF"/>
          <w:sz w:val="18"/>
          <w:szCs w:val="18"/>
        </w:rPr>
        <w:t>.</w:t>
      </w:r>
      <w:r w:rsidR="00576B37" w:rsidRPr="004E2C16">
        <w:rPr>
          <w:rFonts w:ascii="Arial" w:hAnsi="Arial" w:cs="Arial"/>
          <w:b/>
          <w:color w:val="17365D" w:themeColor="text2" w:themeShade="BF"/>
          <w:sz w:val="18"/>
          <w:szCs w:val="18"/>
        </w:rPr>
        <w:tab/>
      </w:r>
      <w:r w:rsidR="00A135B1" w:rsidRPr="004E2C16">
        <w:rPr>
          <w:rFonts w:ascii="Arial" w:hAnsi="Arial" w:cs="Arial"/>
          <w:b/>
          <w:color w:val="17365D" w:themeColor="text2" w:themeShade="BF"/>
          <w:sz w:val="18"/>
          <w:szCs w:val="18"/>
        </w:rPr>
        <w:t>Neto dobit/gubitak poduzetnika u djelatnosti kockanja i klađenja u razdoblju od 20</w:t>
      </w:r>
      <w:r w:rsidR="00072715">
        <w:rPr>
          <w:rFonts w:ascii="Arial" w:hAnsi="Arial" w:cs="Arial"/>
          <w:b/>
          <w:color w:val="17365D" w:themeColor="text2" w:themeShade="BF"/>
          <w:sz w:val="18"/>
          <w:szCs w:val="18"/>
        </w:rPr>
        <w:t>0</w:t>
      </w:r>
      <w:r w:rsidR="00CF1377">
        <w:rPr>
          <w:rFonts w:ascii="Arial" w:hAnsi="Arial" w:cs="Arial"/>
          <w:b/>
          <w:color w:val="17365D" w:themeColor="text2" w:themeShade="BF"/>
          <w:sz w:val="18"/>
          <w:szCs w:val="18"/>
        </w:rPr>
        <w:t>1</w:t>
      </w:r>
      <w:r w:rsidR="00A135B1" w:rsidRPr="004E2C16">
        <w:rPr>
          <w:rFonts w:ascii="Arial" w:hAnsi="Arial" w:cs="Arial"/>
          <w:b/>
          <w:color w:val="17365D" w:themeColor="text2" w:themeShade="BF"/>
          <w:sz w:val="18"/>
          <w:szCs w:val="18"/>
        </w:rPr>
        <w:t>.</w:t>
      </w:r>
      <w:r w:rsidR="00072715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do </w:t>
      </w:r>
      <w:r w:rsidR="00A135B1" w:rsidRPr="004E2C16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2017. </w:t>
      </w:r>
      <w:r w:rsidR="00072715">
        <w:rPr>
          <w:rFonts w:ascii="Arial" w:hAnsi="Arial" w:cs="Arial"/>
          <w:b/>
          <w:color w:val="17365D" w:themeColor="text2" w:themeShade="BF"/>
          <w:sz w:val="18"/>
          <w:szCs w:val="18"/>
        </w:rPr>
        <w:t>g</w:t>
      </w:r>
      <w:r w:rsidR="00A135B1" w:rsidRPr="004E2C16">
        <w:rPr>
          <w:rFonts w:ascii="Arial" w:hAnsi="Arial" w:cs="Arial"/>
          <w:b/>
          <w:color w:val="17365D" w:themeColor="text2" w:themeShade="BF"/>
          <w:sz w:val="18"/>
          <w:szCs w:val="18"/>
        </w:rPr>
        <w:t>odine</w:t>
      </w:r>
      <w:r w:rsidR="00CF1377">
        <w:rPr>
          <w:rFonts w:ascii="Arial" w:hAnsi="Arial" w:cs="Arial"/>
          <w:b/>
          <w:color w:val="17365D" w:themeColor="text2" w:themeShade="BF"/>
          <w:sz w:val="18"/>
          <w:szCs w:val="18"/>
        </w:rPr>
        <w:tab/>
        <w:t xml:space="preserve"> </w:t>
      </w:r>
      <w:r w:rsidR="0069673D" w:rsidRPr="004E2C16">
        <w:rPr>
          <w:rFonts w:ascii="Arial" w:hAnsi="Arial" w:cs="Arial"/>
          <w:i/>
          <w:color w:val="17365D" w:themeColor="text2" w:themeShade="BF"/>
          <w:sz w:val="16"/>
          <w:szCs w:val="16"/>
        </w:rPr>
        <w:t>(iznosi u tisućama kuna)</w:t>
      </w:r>
    </w:p>
    <w:p w:rsidR="0076621C" w:rsidRDefault="00B76C15" w:rsidP="00B76C15">
      <w:pPr>
        <w:widowControl w:val="0"/>
        <w:spacing w:after="0" w:line="240" w:lineRule="auto"/>
        <w:jc w:val="center"/>
        <w:rPr>
          <w:rFonts w:ascii="Arial" w:hAnsi="Arial" w:cs="Arial"/>
          <w:noProof/>
          <w:color w:val="1F497D" w:themeColor="text2"/>
          <w:sz w:val="19"/>
          <w:szCs w:val="19"/>
          <w:lang w:eastAsia="hr-HR"/>
        </w:rPr>
      </w:pPr>
      <w:r>
        <w:rPr>
          <w:rFonts w:ascii="Arial" w:hAnsi="Arial" w:cs="Arial"/>
          <w:noProof/>
          <w:color w:val="1F497D" w:themeColor="text2"/>
          <w:sz w:val="19"/>
          <w:szCs w:val="19"/>
          <w:lang w:eastAsia="hr-HR"/>
        </w:rPr>
        <w:drawing>
          <wp:inline distT="0" distB="0" distL="0" distR="0" wp14:anchorId="61A86557">
            <wp:extent cx="6264000" cy="2304000"/>
            <wp:effectExtent l="0" t="0" r="3810" b="1270"/>
            <wp:docPr id="6" name="Slika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0" cy="23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1C9D" w:rsidRPr="00ED0312" w:rsidRDefault="00D01C9D" w:rsidP="008460DB">
      <w:pPr>
        <w:spacing w:before="60" w:after="0" w:line="240" w:lineRule="auto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ED0312">
        <w:rPr>
          <w:rFonts w:ascii="Arial" w:hAnsi="Arial" w:cs="Arial"/>
          <w:i/>
          <w:color w:val="17365D" w:themeColor="text2" w:themeShade="BF"/>
          <w:sz w:val="16"/>
          <w:szCs w:val="16"/>
        </w:rPr>
        <w:t>Izvor: Fina - Registar godišnjih financijskih izvještaja</w:t>
      </w:r>
    </w:p>
    <w:p w:rsidR="006C118C" w:rsidRPr="00924C88" w:rsidRDefault="006C118C" w:rsidP="006C118C">
      <w:pPr>
        <w:pBdr>
          <w:top w:val="single" w:sz="12" w:space="1" w:color="auto"/>
        </w:pBdr>
        <w:spacing w:before="120" w:after="0" w:line="240" w:lineRule="auto"/>
        <w:jc w:val="both"/>
        <w:rPr>
          <w:rFonts w:ascii="Arial" w:hAnsi="Arial" w:cs="Arial"/>
          <w:i/>
          <w:color w:val="244061"/>
          <w:sz w:val="18"/>
          <w:szCs w:val="19"/>
          <w:lang w:eastAsia="hr-HR"/>
        </w:rPr>
      </w:pPr>
      <w:r w:rsidRPr="00924C88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Više o rezultatima poslovanja poduzetnika po područjima djelatnosti i po drugim kriterijima, prezentirano je u </w:t>
      </w:r>
      <w:hyperlink r:id="rId27" w:history="1">
        <w:r w:rsidRPr="00924C88">
          <w:rPr>
            <w:rFonts w:ascii="Arial" w:eastAsia="Times New Roman" w:hAnsi="Arial" w:cs="Arial"/>
            <w:i/>
            <w:color w:val="0000FF"/>
            <w:sz w:val="18"/>
            <w:szCs w:val="19"/>
            <w:u w:val="single"/>
            <w:lang w:eastAsia="hr-HR"/>
          </w:rPr>
          <w:t>standardnim analizama</w:t>
        </w:r>
      </w:hyperlink>
      <w:r w:rsidRPr="00924C88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 rezultata poslovanja poduzetnika RH, po županijama i po gradovima i općinama u 2017. godini.</w:t>
      </w:r>
    </w:p>
    <w:p w:rsidR="00CF1377" w:rsidRDefault="006C118C" w:rsidP="00CF1377">
      <w:pPr>
        <w:pBdr>
          <w:top w:val="single" w:sz="12" w:space="1" w:color="auto"/>
        </w:pBdr>
        <w:spacing w:before="120" w:after="0" w:line="240" w:lineRule="auto"/>
        <w:jc w:val="both"/>
        <w:rPr>
          <w:rFonts w:ascii="Arial" w:hAnsi="Arial" w:cs="Arial"/>
          <w:i/>
          <w:color w:val="0000FF"/>
          <w:sz w:val="18"/>
          <w:szCs w:val="19"/>
          <w:u w:val="single"/>
          <w:lang w:eastAsia="hr-HR"/>
        </w:rPr>
      </w:pPr>
      <w:r w:rsidRPr="00924C88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>Pojedinačni podaci o rezultatima poslovanja poduzetnika dostupni su besplatno na</w:t>
      </w:r>
      <w:r w:rsidRPr="00924C88">
        <w:rPr>
          <w:rFonts w:ascii="Arial" w:hAnsi="Arial" w:cs="Arial"/>
          <w:i/>
          <w:color w:val="17365D"/>
          <w:sz w:val="18"/>
          <w:szCs w:val="19"/>
          <w:lang w:eastAsia="hr-HR"/>
        </w:rPr>
        <w:t xml:space="preserve"> </w:t>
      </w:r>
      <w:hyperlink r:id="rId28" w:history="1">
        <w:r w:rsidRPr="00924C88">
          <w:rPr>
            <w:rFonts w:ascii="Arial" w:hAnsi="Arial" w:cs="Arial"/>
            <w:i/>
            <w:color w:val="0000FF"/>
            <w:sz w:val="18"/>
            <w:szCs w:val="19"/>
            <w:u w:val="single"/>
            <w:lang w:eastAsia="hr-HR"/>
          </w:rPr>
          <w:t>RGFI – javna objava</w:t>
        </w:r>
      </w:hyperlink>
      <w:r w:rsidRPr="00924C88">
        <w:rPr>
          <w:rFonts w:ascii="Arial" w:hAnsi="Arial" w:cs="Arial"/>
          <w:i/>
          <w:color w:val="0F243E"/>
          <w:sz w:val="18"/>
          <w:szCs w:val="19"/>
          <w:lang w:eastAsia="hr-HR"/>
        </w:rPr>
        <w:t xml:space="preserve"> </w:t>
      </w:r>
      <w:r w:rsidRPr="00924C88">
        <w:rPr>
          <w:rFonts w:ascii="Arial" w:eastAsia="Times New Roman" w:hAnsi="Arial" w:cs="Arial"/>
          <w:i/>
          <w:color w:val="17375E"/>
          <w:sz w:val="18"/>
          <w:szCs w:val="19"/>
          <w:lang w:eastAsia="hr-HR"/>
        </w:rPr>
        <w:t>i na</w:t>
      </w:r>
      <w:r w:rsidRPr="00924C88">
        <w:rPr>
          <w:rFonts w:ascii="Arial" w:hAnsi="Arial" w:cs="Arial"/>
          <w:i/>
          <w:color w:val="0F243E"/>
          <w:sz w:val="18"/>
          <w:szCs w:val="19"/>
          <w:lang w:eastAsia="hr-HR"/>
        </w:rPr>
        <w:t xml:space="preserve"> </w:t>
      </w:r>
      <w:hyperlink r:id="rId29" w:history="1">
        <w:r w:rsidRPr="00924C88">
          <w:rPr>
            <w:rFonts w:ascii="Arial" w:hAnsi="Arial" w:cs="Arial"/>
            <w:i/>
            <w:color w:val="0000FF"/>
            <w:sz w:val="18"/>
            <w:szCs w:val="19"/>
            <w:u w:val="single"/>
            <w:lang w:eastAsia="hr-HR"/>
          </w:rPr>
          <w:t>Transparentno.hr</w:t>
        </w:r>
      </w:hyperlink>
      <w:r w:rsidRPr="00924C88">
        <w:rPr>
          <w:rFonts w:ascii="Arial" w:hAnsi="Arial" w:cs="Arial"/>
          <w:i/>
          <w:color w:val="0000FF"/>
          <w:sz w:val="18"/>
          <w:szCs w:val="19"/>
          <w:u w:val="single"/>
          <w:lang w:eastAsia="hr-HR"/>
        </w:rPr>
        <w:t>,</w:t>
      </w:r>
      <w:r w:rsidRPr="00924C88">
        <w:rPr>
          <w:rFonts w:ascii="Arial" w:hAnsi="Arial" w:cs="Arial"/>
          <w:i/>
          <w:color w:val="0000FF"/>
          <w:sz w:val="18"/>
          <w:szCs w:val="19"/>
          <w:lang w:eastAsia="hr-HR"/>
        </w:rPr>
        <w:t xml:space="preserve"> </w:t>
      </w:r>
      <w:r w:rsidRPr="00924C88">
        <w:rPr>
          <w:rFonts w:ascii="Arial" w:hAnsi="Arial" w:cs="Arial"/>
          <w:i/>
          <w:color w:val="244061"/>
          <w:sz w:val="18"/>
          <w:szCs w:val="19"/>
          <w:lang w:eastAsia="hr-HR"/>
        </w:rPr>
        <w:t xml:space="preserve">a agregirani i pojedinačni podaci dostupni su uz naknadu na servisu </w:t>
      </w:r>
      <w:hyperlink r:id="rId30" w:history="1">
        <w:r w:rsidRPr="00924C88">
          <w:rPr>
            <w:rFonts w:ascii="Arial" w:hAnsi="Arial" w:cs="Arial"/>
            <w:i/>
            <w:color w:val="0000FF"/>
            <w:sz w:val="18"/>
            <w:szCs w:val="19"/>
            <w:u w:val="single"/>
            <w:lang w:eastAsia="hr-HR"/>
          </w:rPr>
          <w:t>info.BIZ</w:t>
        </w:r>
      </w:hyperlink>
    </w:p>
    <w:p w:rsidR="006C118C" w:rsidRPr="00300BED" w:rsidRDefault="006C118C" w:rsidP="00CF42E2">
      <w:pPr>
        <w:pBdr>
          <w:top w:val="single" w:sz="12" w:space="1" w:color="auto"/>
        </w:pBdr>
        <w:spacing w:before="120" w:after="120" w:line="240" w:lineRule="auto"/>
        <w:jc w:val="both"/>
        <w:rPr>
          <w:rFonts w:ascii="Arial" w:hAnsi="Arial" w:cs="Arial"/>
          <w:bCs/>
          <w:i/>
          <w:color w:val="17365D"/>
          <w:sz w:val="18"/>
          <w:szCs w:val="19"/>
        </w:rPr>
      </w:pPr>
      <w:r w:rsidRPr="00924C88">
        <w:rPr>
          <w:rFonts w:ascii="Arial" w:hAnsi="Arial" w:cs="Arial"/>
          <w:bCs/>
          <w:i/>
          <w:color w:val="17365D"/>
          <w:sz w:val="18"/>
          <w:szCs w:val="19"/>
        </w:rPr>
        <w:t xml:space="preserve">Informacija o tome je li poslovni subjekt u blokadi ili ne, dostupna je korištenjem usluge </w:t>
      </w:r>
      <w:hyperlink r:id="rId31" w:history="1">
        <w:r w:rsidRPr="00924C88">
          <w:rPr>
            <w:rStyle w:val="Hiperveza"/>
            <w:rFonts w:ascii="Arial" w:hAnsi="Arial" w:cs="Arial"/>
            <w:bCs/>
            <w:i/>
            <w:sz w:val="18"/>
            <w:szCs w:val="19"/>
          </w:rPr>
          <w:t>FINA InfoBlokade</w:t>
        </w:r>
      </w:hyperlink>
      <w:r w:rsidRPr="00924C88">
        <w:rPr>
          <w:rFonts w:ascii="Arial" w:hAnsi="Arial" w:cs="Arial"/>
          <w:bCs/>
          <w:i/>
          <w:color w:val="17365D"/>
          <w:sz w:val="18"/>
          <w:szCs w:val="19"/>
        </w:rPr>
        <w:t xml:space="preserve"> slanjem SMS poruke na broj 818058, te korištenjem </w:t>
      </w:r>
      <w:hyperlink r:id="rId32" w:history="1">
        <w:r w:rsidRPr="00924C88">
          <w:rPr>
            <w:rStyle w:val="Hiperveza"/>
            <w:rFonts w:ascii="Arial" w:hAnsi="Arial" w:cs="Arial"/>
            <w:bCs/>
            <w:i/>
            <w:sz w:val="18"/>
            <w:szCs w:val="19"/>
          </w:rPr>
          <w:t>WEB aplikacije JRR</w:t>
        </w:r>
      </w:hyperlink>
      <w:r w:rsidRPr="00924C88">
        <w:rPr>
          <w:rFonts w:ascii="Arial" w:hAnsi="Arial" w:cs="Arial"/>
          <w:bCs/>
          <w:i/>
          <w:color w:val="17365D"/>
          <w:sz w:val="18"/>
          <w:szCs w:val="19"/>
        </w:rPr>
        <w:t xml:space="preserve"> tj. uvidom u podatke o računima i statusu blokade poslovnih subjekata, koji se ažuriraju u </w:t>
      </w:r>
      <w:hyperlink r:id="rId33" w:history="1">
        <w:r w:rsidRPr="00924C88">
          <w:rPr>
            <w:rFonts w:ascii="Arial" w:hAnsi="Arial" w:cs="Arial"/>
            <w:bCs/>
            <w:i/>
            <w:color w:val="0000FF"/>
            <w:sz w:val="18"/>
            <w:szCs w:val="19"/>
            <w:u w:val="single"/>
          </w:rPr>
          <w:t>Jedinstvenom registru računa</w:t>
        </w:r>
      </w:hyperlink>
      <w:r w:rsidRPr="00924C88">
        <w:rPr>
          <w:rFonts w:ascii="Arial" w:hAnsi="Arial" w:cs="Arial"/>
          <w:bCs/>
          <w:i/>
          <w:color w:val="17365D"/>
          <w:sz w:val="18"/>
          <w:szCs w:val="19"/>
        </w:rPr>
        <w:t xml:space="preserve"> kojega u skladu sa zakonskim propisima, od 2002. godine, vodi Financijska agencija.</w:t>
      </w:r>
    </w:p>
    <w:tbl>
      <w:tblPr>
        <w:tblW w:w="9245" w:type="dxa"/>
        <w:jc w:val="center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ayout w:type="fixed"/>
        <w:tblLook w:val="00A0" w:firstRow="1" w:lastRow="0" w:firstColumn="1" w:lastColumn="0" w:noHBand="0" w:noVBand="0"/>
      </w:tblPr>
      <w:tblGrid>
        <w:gridCol w:w="3291"/>
        <w:gridCol w:w="2606"/>
        <w:gridCol w:w="3348"/>
      </w:tblGrid>
      <w:tr w:rsidR="006C118C" w:rsidRPr="00AD6358" w:rsidTr="00345816">
        <w:trPr>
          <w:trHeight w:val="1616"/>
          <w:jc w:val="center"/>
        </w:trPr>
        <w:tc>
          <w:tcPr>
            <w:tcW w:w="32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vAlign w:val="center"/>
            <w:hideMark/>
          </w:tcPr>
          <w:p w:rsidR="006C118C" w:rsidRPr="00AD6358" w:rsidRDefault="006C118C" w:rsidP="00345816">
            <w:pPr>
              <w:jc w:val="center"/>
              <w:rPr>
                <w:rFonts w:ascii="Arial" w:eastAsia="Times New Roman" w:hAnsi="Arial" w:cs="Arial"/>
                <w:bCs/>
                <w:i/>
                <w:color w:val="17365D"/>
                <w:szCs w:val="19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color w:val="808080"/>
                <w:szCs w:val="17"/>
                <w:lang w:eastAsia="hr-HR"/>
              </w:rPr>
              <w:drawing>
                <wp:inline distT="0" distB="0" distL="0" distR="0" wp14:anchorId="70FCA935" wp14:editId="27F44320">
                  <wp:extent cx="1781175" cy="1471295"/>
                  <wp:effectExtent l="0" t="0" r="9525" b="0"/>
                  <wp:docPr id="9" name="Slika 9" descr="Fina info šasija_210x270.jpg">
                    <a:hlinkClick xmlns:a="http://schemas.openxmlformats.org/drawingml/2006/main" r:id="rId34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8" descr="Fina info šasija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4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:rsidR="006C118C" w:rsidRPr="00AD6358" w:rsidRDefault="006C118C" w:rsidP="00345816">
            <w:pPr>
              <w:spacing w:after="0"/>
              <w:jc w:val="center"/>
              <w:rPr>
                <w:rFonts w:ascii="Arial" w:eastAsia="Times New Roman" w:hAnsi="Arial" w:cs="Arial"/>
                <w:bCs/>
                <w:i/>
                <w:color w:val="17365D"/>
                <w:szCs w:val="19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noProof/>
                <w:color w:val="17365D"/>
                <w:sz w:val="19"/>
                <w:szCs w:val="19"/>
                <w:lang w:eastAsia="hr-HR"/>
              </w:rPr>
              <w:drawing>
                <wp:inline distT="0" distB="0" distL="0" distR="0" wp14:anchorId="60BFF99D" wp14:editId="3FD7F7D1">
                  <wp:extent cx="1734820" cy="163830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820" cy="163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6C118C" w:rsidRPr="00AD6358" w:rsidRDefault="006C118C" w:rsidP="00345816">
            <w:pPr>
              <w:jc w:val="center"/>
              <w:rPr>
                <w:rFonts w:ascii="Arial" w:eastAsia="Times New Roman" w:hAnsi="Arial" w:cs="Arial"/>
                <w:bCs/>
                <w:i/>
                <w:color w:val="17365D"/>
                <w:szCs w:val="19"/>
                <w:lang w:eastAsia="hr-HR"/>
              </w:rPr>
            </w:pPr>
            <w:r>
              <w:rPr>
                <w:rFonts w:ascii="Arial" w:eastAsia="Times New Roman" w:hAnsi="Arial" w:cs="Arial"/>
                <w:b/>
                <w:noProof/>
                <w:color w:val="808080"/>
                <w:szCs w:val="17"/>
                <w:lang w:eastAsia="hr-HR"/>
              </w:rPr>
              <w:drawing>
                <wp:inline distT="0" distB="0" distL="0" distR="0" wp14:anchorId="5B4AE976" wp14:editId="63EB3A38">
                  <wp:extent cx="2051685" cy="1478915"/>
                  <wp:effectExtent l="0" t="0" r="5715" b="6985"/>
                  <wp:docPr id="8" name="Slika 8" descr="smsBlokade_210x270.jpg">
                    <a:hlinkClick xmlns:a="http://schemas.openxmlformats.org/drawingml/2006/main" r:id="rId37" tooltip="&quot;FINA InfoBlokade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msBlokade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147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118C" w:rsidRPr="00556C3B" w:rsidRDefault="006C118C" w:rsidP="00AC26DF">
      <w:pPr>
        <w:spacing w:before="60" w:after="0" w:line="240" w:lineRule="auto"/>
        <w:jc w:val="both"/>
        <w:rPr>
          <w:rFonts w:ascii="Arial" w:hAnsi="Arial" w:cs="Arial"/>
          <w:i/>
          <w:noProof/>
          <w:color w:val="17365D" w:themeColor="text2" w:themeShade="BF"/>
          <w:sz w:val="16"/>
          <w:szCs w:val="16"/>
          <w:lang w:eastAsia="hr-HR"/>
        </w:rPr>
      </w:pPr>
    </w:p>
    <w:sectPr w:rsidR="006C118C" w:rsidRPr="00556C3B" w:rsidSect="00CF1377">
      <w:headerReference w:type="default" r:id="rId39"/>
      <w:footerReference w:type="default" r:id="rId40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26D" w:rsidRDefault="009A126D" w:rsidP="007B2A8F">
      <w:pPr>
        <w:spacing w:after="0" w:line="240" w:lineRule="auto"/>
      </w:pPr>
      <w:r>
        <w:separator/>
      </w:r>
    </w:p>
  </w:endnote>
  <w:endnote w:type="continuationSeparator" w:id="0">
    <w:p w:rsidR="009A126D" w:rsidRDefault="009A126D" w:rsidP="007B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93" w:rsidRPr="009F49CF" w:rsidRDefault="00C81293" w:rsidP="009F49CF">
    <w:pPr>
      <w:pStyle w:val="Podnoje"/>
      <w:spacing w:after="0" w:line="240" w:lineRule="auto"/>
      <w:rPr>
        <w:rFonts w:ascii="Arial" w:eastAsia="BatangChe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26D" w:rsidRDefault="009A126D" w:rsidP="007B2A8F">
      <w:pPr>
        <w:spacing w:after="0" w:line="240" w:lineRule="auto"/>
      </w:pPr>
      <w:r>
        <w:separator/>
      </w:r>
    </w:p>
  </w:footnote>
  <w:footnote w:type="continuationSeparator" w:id="0">
    <w:p w:rsidR="009A126D" w:rsidRDefault="009A126D" w:rsidP="007B2A8F">
      <w:pPr>
        <w:spacing w:after="0" w:line="240" w:lineRule="auto"/>
      </w:pPr>
      <w:r>
        <w:continuationSeparator/>
      </w:r>
    </w:p>
  </w:footnote>
  <w:footnote w:id="1">
    <w:p w:rsidR="00B76C15" w:rsidRPr="00B941D5" w:rsidRDefault="00B76C15" w:rsidP="00B76C15">
      <w:pPr>
        <w:pStyle w:val="Tekstfusnote"/>
        <w:rPr>
          <w:rFonts w:ascii="Arial" w:hAnsi="Arial" w:cs="Arial"/>
          <w:color w:val="244061"/>
          <w:sz w:val="17"/>
          <w:szCs w:val="17"/>
        </w:rPr>
      </w:pPr>
      <w:r>
        <w:rPr>
          <w:rStyle w:val="Referencafusnote"/>
        </w:rPr>
        <w:footnoteRef/>
      </w:r>
      <w:r>
        <w:t xml:space="preserve"> </w:t>
      </w:r>
      <w:r w:rsidRPr="005A55F2">
        <w:rPr>
          <w:rFonts w:ascii="Arial" w:hAnsi="Arial" w:cs="Arial"/>
          <w:color w:val="244061"/>
          <w:sz w:val="17"/>
          <w:szCs w:val="17"/>
        </w:rPr>
        <w:t>Društvo je 3. ožujka 2011. promijenilo naziv iz FORTUNA SPORTSKA KLADIONICA d.o.o. u FAVORIT SPORTSKA KLADIONICA d.o.o. Izvor: Sudski registar, www.sudreg.pravosudje.hr, preuzeto 22. ožujka 2019. godine.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93" w:rsidRPr="007B2A8F" w:rsidRDefault="008460DB" w:rsidP="005C1A65">
    <w:pPr>
      <w:pStyle w:val="Zaglavlje"/>
      <w:spacing w:after="0" w:line="240" w:lineRule="auto"/>
      <w:rPr>
        <w:sz w:val="4"/>
        <w:szCs w:val="4"/>
      </w:rPr>
    </w:pPr>
    <w:r>
      <w:rPr>
        <w:noProof/>
        <w:lang w:eastAsia="hr-HR"/>
      </w:rPr>
      <w:drawing>
        <wp:inline distT="0" distB="0" distL="0" distR="0" wp14:anchorId="51DDD5A0" wp14:editId="46593258">
          <wp:extent cx="1009650" cy="2286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81293" w:rsidRPr="00667413" w:rsidRDefault="00C81293" w:rsidP="009F49CF">
    <w:pPr>
      <w:pStyle w:val="Zaglavlje"/>
      <w:spacing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3CF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F6"/>
    <w:rsid w:val="00001500"/>
    <w:rsid w:val="0000212B"/>
    <w:rsid w:val="0000236F"/>
    <w:rsid w:val="00011F81"/>
    <w:rsid w:val="00013BB5"/>
    <w:rsid w:val="00017B61"/>
    <w:rsid w:val="000240C0"/>
    <w:rsid w:val="00034238"/>
    <w:rsid w:val="00034B9B"/>
    <w:rsid w:val="0006358C"/>
    <w:rsid w:val="00063EA3"/>
    <w:rsid w:val="00064844"/>
    <w:rsid w:val="000648CD"/>
    <w:rsid w:val="00065681"/>
    <w:rsid w:val="00072715"/>
    <w:rsid w:val="000739F9"/>
    <w:rsid w:val="00076447"/>
    <w:rsid w:val="00085065"/>
    <w:rsid w:val="00090A6E"/>
    <w:rsid w:val="000B0B82"/>
    <w:rsid w:val="000B60F4"/>
    <w:rsid w:val="000C1F17"/>
    <w:rsid w:val="000C2DF4"/>
    <w:rsid w:val="000C3C47"/>
    <w:rsid w:val="000C79BE"/>
    <w:rsid w:val="000D080F"/>
    <w:rsid w:val="000D0839"/>
    <w:rsid w:val="000E6B95"/>
    <w:rsid w:val="000F2FAE"/>
    <w:rsid w:val="000F38A7"/>
    <w:rsid w:val="000F4C41"/>
    <w:rsid w:val="001007B4"/>
    <w:rsid w:val="0010755E"/>
    <w:rsid w:val="00111137"/>
    <w:rsid w:val="00122EDA"/>
    <w:rsid w:val="00135A7C"/>
    <w:rsid w:val="0015427A"/>
    <w:rsid w:val="001546C1"/>
    <w:rsid w:val="00160A5F"/>
    <w:rsid w:val="00180F7D"/>
    <w:rsid w:val="00183320"/>
    <w:rsid w:val="001922C3"/>
    <w:rsid w:val="0019506D"/>
    <w:rsid w:val="001A5AAD"/>
    <w:rsid w:val="001A789B"/>
    <w:rsid w:val="001B0720"/>
    <w:rsid w:val="001B0B1F"/>
    <w:rsid w:val="001C1CFE"/>
    <w:rsid w:val="001C2559"/>
    <w:rsid w:val="001C7206"/>
    <w:rsid w:val="001C75B5"/>
    <w:rsid w:val="001D06D1"/>
    <w:rsid w:val="001D1411"/>
    <w:rsid w:val="001D280B"/>
    <w:rsid w:val="001D2968"/>
    <w:rsid w:val="001D7D3D"/>
    <w:rsid w:val="001E4F8E"/>
    <w:rsid w:val="001E7BA4"/>
    <w:rsid w:val="001F6DDA"/>
    <w:rsid w:val="001F77FC"/>
    <w:rsid w:val="0020281F"/>
    <w:rsid w:val="00203D87"/>
    <w:rsid w:val="00204B53"/>
    <w:rsid w:val="002166AA"/>
    <w:rsid w:val="00232CF7"/>
    <w:rsid w:val="00233236"/>
    <w:rsid w:val="002418FA"/>
    <w:rsid w:val="00244DD0"/>
    <w:rsid w:val="00247467"/>
    <w:rsid w:val="002545AE"/>
    <w:rsid w:val="00272844"/>
    <w:rsid w:val="00275DFF"/>
    <w:rsid w:val="00281CF2"/>
    <w:rsid w:val="002836B5"/>
    <w:rsid w:val="002929B2"/>
    <w:rsid w:val="00294302"/>
    <w:rsid w:val="002A03D0"/>
    <w:rsid w:val="002A3FB1"/>
    <w:rsid w:val="002C06CC"/>
    <w:rsid w:val="002C5919"/>
    <w:rsid w:val="002C7623"/>
    <w:rsid w:val="002D3059"/>
    <w:rsid w:val="002E1D32"/>
    <w:rsid w:val="002F350C"/>
    <w:rsid w:val="0031062C"/>
    <w:rsid w:val="00314165"/>
    <w:rsid w:val="00321A4C"/>
    <w:rsid w:val="00323DF6"/>
    <w:rsid w:val="00330A51"/>
    <w:rsid w:val="003445A6"/>
    <w:rsid w:val="00347AB3"/>
    <w:rsid w:val="00355FA9"/>
    <w:rsid w:val="00367A3F"/>
    <w:rsid w:val="00370D2D"/>
    <w:rsid w:val="00372222"/>
    <w:rsid w:val="003926C6"/>
    <w:rsid w:val="00394702"/>
    <w:rsid w:val="00394F26"/>
    <w:rsid w:val="003A6042"/>
    <w:rsid w:val="003B3B70"/>
    <w:rsid w:val="003B4B86"/>
    <w:rsid w:val="003B6B3B"/>
    <w:rsid w:val="003B7CDB"/>
    <w:rsid w:val="003B7FDE"/>
    <w:rsid w:val="003E2FFF"/>
    <w:rsid w:val="003F4092"/>
    <w:rsid w:val="0040392F"/>
    <w:rsid w:val="004041E5"/>
    <w:rsid w:val="00405E61"/>
    <w:rsid w:val="00413019"/>
    <w:rsid w:val="004143C5"/>
    <w:rsid w:val="004222F2"/>
    <w:rsid w:val="00423049"/>
    <w:rsid w:val="004357DA"/>
    <w:rsid w:val="0044344C"/>
    <w:rsid w:val="00444DDD"/>
    <w:rsid w:val="004516AB"/>
    <w:rsid w:val="00454561"/>
    <w:rsid w:val="0046080A"/>
    <w:rsid w:val="00463564"/>
    <w:rsid w:val="00477A89"/>
    <w:rsid w:val="00481684"/>
    <w:rsid w:val="004A2DF7"/>
    <w:rsid w:val="004A57ED"/>
    <w:rsid w:val="004B3C40"/>
    <w:rsid w:val="004C184C"/>
    <w:rsid w:val="004E2C16"/>
    <w:rsid w:val="004E781A"/>
    <w:rsid w:val="004F47D0"/>
    <w:rsid w:val="004F7556"/>
    <w:rsid w:val="00501AA4"/>
    <w:rsid w:val="005254B0"/>
    <w:rsid w:val="00544C59"/>
    <w:rsid w:val="00556C3B"/>
    <w:rsid w:val="00562F16"/>
    <w:rsid w:val="00576B37"/>
    <w:rsid w:val="0059353B"/>
    <w:rsid w:val="005A3554"/>
    <w:rsid w:val="005A3BA3"/>
    <w:rsid w:val="005A55F2"/>
    <w:rsid w:val="005A7266"/>
    <w:rsid w:val="005B320E"/>
    <w:rsid w:val="005B474F"/>
    <w:rsid w:val="005B71D4"/>
    <w:rsid w:val="005C1A65"/>
    <w:rsid w:val="005E352F"/>
    <w:rsid w:val="005F4B64"/>
    <w:rsid w:val="006040F0"/>
    <w:rsid w:val="00610E3B"/>
    <w:rsid w:val="006144A9"/>
    <w:rsid w:val="0061499D"/>
    <w:rsid w:val="006155E6"/>
    <w:rsid w:val="006170B2"/>
    <w:rsid w:val="006215DB"/>
    <w:rsid w:val="00623241"/>
    <w:rsid w:val="006332AC"/>
    <w:rsid w:val="00645BE9"/>
    <w:rsid w:val="00654A99"/>
    <w:rsid w:val="00663BC2"/>
    <w:rsid w:val="00667413"/>
    <w:rsid w:val="0067226A"/>
    <w:rsid w:val="0069673D"/>
    <w:rsid w:val="006A01B7"/>
    <w:rsid w:val="006A44D2"/>
    <w:rsid w:val="006A57F1"/>
    <w:rsid w:val="006A711E"/>
    <w:rsid w:val="006B3D4C"/>
    <w:rsid w:val="006C118C"/>
    <w:rsid w:val="006C4DFA"/>
    <w:rsid w:val="006C5936"/>
    <w:rsid w:val="006C5A01"/>
    <w:rsid w:val="006D0A19"/>
    <w:rsid w:val="006E322B"/>
    <w:rsid w:val="006E52F6"/>
    <w:rsid w:val="006F3355"/>
    <w:rsid w:val="006F6B0B"/>
    <w:rsid w:val="00703C14"/>
    <w:rsid w:val="007062FC"/>
    <w:rsid w:val="00720E23"/>
    <w:rsid w:val="0073037A"/>
    <w:rsid w:val="00732E81"/>
    <w:rsid w:val="00733E46"/>
    <w:rsid w:val="007342E3"/>
    <w:rsid w:val="00740F8C"/>
    <w:rsid w:val="00743C01"/>
    <w:rsid w:val="00744A06"/>
    <w:rsid w:val="007522B4"/>
    <w:rsid w:val="007570F2"/>
    <w:rsid w:val="0076344D"/>
    <w:rsid w:val="0076621C"/>
    <w:rsid w:val="00772242"/>
    <w:rsid w:val="00773395"/>
    <w:rsid w:val="00782654"/>
    <w:rsid w:val="00792FCF"/>
    <w:rsid w:val="007A5D70"/>
    <w:rsid w:val="007B2A8F"/>
    <w:rsid w:val="007B4D07"/>
    <w:rsid w:val="007B6411"/>
    <w:rsid w:val="007B67C6"/>
    <w:rsid w:val="007C49CE"/>
    <w:rsid w:val="007D2CBB"/>
    <w:rsid w:val="007D3402"/>
    <w:rsid w:val="007D5569"/>
    <w:rsid w:val="007E0B92"/>
    <w:rsid w:val="007E1F51"/>
    <w:rsid w:val="007E3D1A"/>
    <w:rsid w:val="007E77E8"/>
    <w:rsid w:val="007F2B70"/>
    <w:rsid w:val="008031AA"/>
    <w:rsid w:val="00821945"/>
    <w:rsid w:val="00830F75"/>
    <w:rsid w:val="00833BC6"/>
    <w:rsid w:val="00835D8C"/>
    <w:rsid w:val="00843F11"/>
    <w:rsid w:val="0084593A"/>
    <w:rsid w:val="008460DB"/>
    <w:rsid w:val="0085519D"/>
    <w:rsid w:val="008635F5"/>
    <w:rsid w:val="00865E7B"/>
    <w:rsid w:val="00881574"/>
    <w:rsid w:val="0088550D"/>
    <w:rsid w:val="0088622B"/>
    <w:rsid w:val="00887F22"/>
    <w:rsid w:val="0089657E"/>
    <w:rsid w:val="008B5D33"/>
    <w:rsid w:val="008C3B0C"/>
    <w:rsid w:val="008D288E"/>
    <w:rsid w:val="008D6E46"/>
    <w:rsid w:val="008D7E10"/>
    <w:rsid w:val="008E2A94"/>
    <w:rsid w:val="008E4EF5"/>
    <w:rsid w:val="008E545C"/>
    <w:rsid w:val="008E6FFE"/>
    <w:rsid w:val="00905FA9"/>
    <w:rsid w:val="00906688"/>
    <w:rsid w:val="00913A67"/>
    <w:rsid w:val="00916385"/>
    <w:rsid w:val="00922123"/>
    <w:rsid w:val="00924C88"/>
    <w:rsid w:val="0093110C"/>
    <w:rsid w:val="00934D4D"/>
    <w:rsid w:val="009353E0"/>
    <w:rsid w:val="00940325"/>
    <w:rsid w:val="00945ABD"/>
    <w:rsid w:val="00947AF0"/>
    <w:rsid w:val="00951FCE"/>
    <w:rsid w:val="009568D1"/>
    <w:rsid w:val="00962227"/>
    <w:rsid w:val="00967157"/>
    <w:rsid w:val="00971ACB"/>
    <w:rsid w:val="00974186"/>
    <w:rsid w:val="00976A8A"/>
    <w:rsid w:val="0098063C"/>
    <w:rsid w:val="00996089"/>
    <w:rsid w:val="009A0A59"/>
    <w:rsid w:val="009A126D"/>
    <w:rsid w:val="009B35C6"/>
    <w:rsid w:val="009D139C"/>
    <w:rsid w:val="009D2693"/>
    <w:rsid w:val="009D321A"/>
    <w:rsid w:val="009D7C3E"/>
    <w:rsid w:val="009F3895"/>
    <w:rsid w:val="009F49CF"/>
    <w:rsid w:val="009F4E4F"/>
    <w:rsid w:val="009F71BE"/>
    <w:rsid w:val="00A048EB"/>
    <w:rsid w:val="00A075C3"/>
    <w:rsid w:val="00A11600"/>
    <w:rsid w:val="00A135B1"/>
    <w:rsid w:val="00A14692"/>
    <w:rsid w:val="00A1471E"/>
    <w:rsid w:val="00A22188"/>
    <w:rsid w:val="00A226B0"/>
    <w:rsid w:val="00A2284E"/>
    <w:rsid w:val="00A246B1"/>
    <w:rsid w:val="00A30FA3"/>
    <w:rsid w:val="00A318E0"/>
    <w:rsid w:val="00A4542C"/>
    <w:rsid w:val="00A52076"/>
    <w:rsid w:val="00A543C5"/>
    <w:rsid w:val="00A6727D"/>
    <w:rsid w:val="00A70780"/>
    <w:rsid w:val="00A84EA1"/>
    <w:rsid w:val="00A87C05"/>
    <w:rsid w:val="00AB29A2"/>
    <w:rsid w:val="00AB4FC1"/>
    <w:rsid w:val="00AB6470"/>
    <w:rsid w:val="00AC049D"/>
    <w:rsid w:val="00AC1F2F"/>
    <w:rsid w:val="00AC26DF"/>
    <w:rsid w:val="00AC53DA"/>
    <w:rsid w:val="00AC5AAB"/>
    <w:rsid w:val="00AE0CB3"/>
    <w:rsid w:val="00AE7AD3"/>
    <w:rsid w:val="00B0024E"/>
    <w:rsid w:val="00B018B8"/>
    <w:rsid w:val="00B03524"/>
    <w:rsid w:val="00B06E6C"/>
    <w:rsid w:val="00B134BD"/>
    <w:rsid w:val="00B2244F"/>
    <w:rsid w:val="00B24A79"/>
    <w:rsid w:val="00B317A2"/>
    <w:rsid w:val="00B426AF"/>
    <w:rsid w:val="00B55360"/>
    <w:rsid w:val="00B60881"/>
    <w:rsid w:val="00B72741"/>
    <w:rsid w:val="00B74475"/>
    <w:rsid w:val="00B76C15"/>
    <w:rsid w:val="00B76FE6"/>
    <w:rsid w:val="00B80899"/>
    <w:rsid w:val="00B830D2"/>
    <w:rsid w:val="00B830FF"/>
    <w:rsid w:val="00B861B9"/>
    <w:rsid w:val="00B90138"/>
    <w:rsid w:val="00B941D5"/>
    <w:rsid w:val="00BA1CD9"/>
    <w:rsid w:val="00BA202B"/>
    <w:rsid w:val="00BA3B09"/>
    <w:rsid w:val="00BB0137"/>
    <w:rsid w:val="00BB13FF"/>
    <w:rsid w:val="00BB5DA4"/>
    <w:rsid w:val="00BB67B0"/>
    <w:rsid w:val="00BB7425"/>
    <w:rsid w:val="00BC46A5"/>
    <w:rsid w:val="00BD2C5B"/>
    <w:rsid w:val="00BD4029"/>
    <w:rsid w:val="00BE1B67"/>
    <w:rsid w:val="00BE38A6"/>
    <w:rsid w:val="00BE5A27"/>
    <w:rsid w:val="00BE5E8E"/>
    <w:rsid w:val="00BF3EDF"/>
    <w:rsid w:val="00BF4098"/>
    <w:rsid w:val="00BF75B7"/>
    <w:rsid w:val="00C01045"/>
    <w:rsid w:val="00C0278C"/>
    <w:rsid w:val="00C07914"/>
    <w:rsid w:val="00C1307E"/>
    <w:rsid w:val="00C22A45"/>
    <w:rsid w:val="00C36C29"/>
    <w:rsid w:val="00C556E7"/>
    <w:rsid w:val="00C55A94"/>
    <w:rsid w:val="00C60F43"/>
    <w:rsid w:val="00C61B24"/>
    <w:rsid w:val="00C653AC"/>
    <w:rsid w:val="00C76540"/>
    <w:rsid w:val="00C81293"/>
    <w:rsid w:val="00C82919"/>
    <w:rsid w:val="00C85395"/>
    <w:rsid w:val="00C90461"/>
    <w:rsid w:val="00CA7926"/>
    <w:rsid w:val="00CB4719"/>
    <w:rsid w:val="00CC3B18"/>
    <w:rsid w:val="00CC75B1"/>
    <w:rsid w:val="00CD4A00"/>
    <w:rsid w:val="00CE2AA6"/>
    <w:rsid w:val="00CE740F"/>
    <w:rsid w:val="00CF106D"/>
    <w:rsid w:val="00CF1377"/>
    <w:rsid w:val="00CF42E2"/>
    <w:rsid w:val="00D01C9D"/>
    <w:rsid w:val="00D040BF"/>
    <w:rsid w:val="00D075AC"/>
    <w:rsid w:val="00D120D9"/>
    <w:rsid w:val="00D168D8"/>
    <w:rsid w:val="00D17A4F"/>
    <w:rsid w:val="00D25B0D"/>
    <w:rsid w:val="00D272A9"/>
    <w:rsid w:val="00D300B6"/>
    <w:rsid w:val="00D34974"/>
    <w:rsid w:val="00D45A79"/>
    <w:rsid w:val="00D47DD8"/>
    <w:rsid w:val="00D57841"/>
    <w:rsid w:val="00D64B46"/>
    <w:rsid w:val="00D77488"/>
    <w:rsid w:val="00D80DDA"/>
    <w:rsid w:val="00D839D3"/>
    <w:rsid w:val="00D93A1A"/>
    <w:rsid w:val="00D94721"/>
    <w:rsid w:val="00DA3E57"/>
    <w:rsid w:val="00DB0C47"/>
    <w:rsid w:val="00DB370D"/>
    <w:rsid w:val="00DB5D36"/>
    <w:rsid w:val="00DB690B"/>
    <w:rsid w:val="00DC1AD4"/>
    <w:rsid w:val="00DF149A"/>
    <w:rsid w:val="00DF2B42"/>
    <w:rsid w:val="00DF476F"/>
    <w:rsid w:val="00E024AE"/>
    <w:rsid w:val="00E11594"/>
    <w:rsid w:val="00E12716"/>
    <w:rsid w:val="00E14884"/>
    <w:rsid w:val="00E15648"/>
    <w:rsid w:val="00E25A7D"/>
    <w:rsid w:val="00E328B3"/>
    <w:rsid w:val="00E347B0"/>
    <w:rsid w:val="00E4438D"/>
    <w:rsid w:val="00E51614"/>
    <w:rsid w:val="00E60490"/>
    <w:rsid w:val="00E71BBF"/>
    <w:rsid w:val="00E8292F"/>
    <w:rsid w:val="00E83CFB"/>
    <w:rsid w:val="00E847F3"/>
    <w:rsid w:val="00E906D5"/>
    <w:rsid w:val="00E96412"/>
    <w:rsid w:val="00EB1A06"/>
    <w:rsid w:val="00EB712C"/>
    <w:rsid w:val="00EC4929"/>
    <w:rsid w:val="00ED0312"/>
    <w:rsid w:val="00ED056C"/>
    <w:rsid w:val="00ED4A6D"/>
    <w:rsid w:val="00EE08FD"/>
    <w:rsid w:val="00EE2312"/>
    <w:rsid w:val="00EF2BC9"/>
    <w:rsid w:val="00F034B2"/>
    <w:rsid w:val="00F052E0"/>
    <w:rsid w:val="00F05BC8"/>
    <w:rsid w:val="00F062AF"/>
    <w:rsid w:val="00F171EE"/>
    <w:rsid w:val="00F21CC8"/>
    <w:rsid w:val="00F31C95"/>
    <w:rsid w:val="00F32CEA"/>
    <w:rsid w:val="00F338B3"/>
    <w:rsid w:val="00F51CF9"/>
    <w:rsid w:val="00F53EE3"/>
    <w:rsid w:val="00F60A90"/>
    <w:rsid w:val="00F638E9"/>
    <w:rsid w:val="00F65049"/>
    <w:rsid w:val="00F74671"/>
    <w:rsid w:val="00F94DD1"/>
    <w:rsid w:val="00FA120F"/>
    <w:rsid w:val="00FA2A1D"/>
    <w:rsid w:val="00FB0AC3"/>
    <w:rsid w:val="00FB4E8E"/>
    <w:rsid w:val="00FD2F28"/>
    <w:rsid w:val="00FE1CB5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6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A246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46B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246B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46B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246B1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246B1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C8539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B2A8F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B2A8F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6222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62227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962227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B72741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654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mt-zeropad8">
    <w:name w:val="fmt-zeropad8"/>
    <w:basedOn w:val="Zadanifontodlomka"/>
    <w:rsid w:val="00ED0312"/>
  </w:style>
  <w:style w:type="character" w:customStyle="1" w:styleId="fmt-integer">
    <w:name w:val="fmt-integer"/>
    <w:basedOn w:val="Zadanifontodlomka"/>
    <w:rsid w:val="00ED0312"/>
  </w:style>
  <w:style w:type="paragraph" w:styleId="Odlomakpopisa">
    <w:name w:val="List Paragraph"/>
    <w:basedOn w:val="Normal"/>
    <w:uiPriority w:val="34"/>
    <w:qFormat/>
    <w:rsid w:val="00443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6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A246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46B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246B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46B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246B1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246B1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C8539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B2A8F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B2A8F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6222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62227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962227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B72741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654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mt-zeropad8">
    <w:name w:val="fmt-zeropad8"/>
    <w:basedOn w:val="Zadanifontodlomka"/>
    <w:rsid w:val="00ED0312"/>
  </w:style>
  <w:style w:type="character" w:customStyle="1" w:styleId="fmt-integer">
    <w:name w:val="fmt-integer"/>
    <w:basedOn w:val="Zadanifontodlomka"/>
    <w:rsid w:val="00ED0312"/>
  </w:style>
  <w:style w:type="paragraph" w:styleId="Odlomakpopisa">
    <w:name w:val="List Paragraph"/>
    <w:basedOn w:val="Normal"/>
    <w:uiPriority w:val="34"/>
    <w:qFormat/>
    <w:rsid w:val="00443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03700154699/99e14e3257559c8ba18e642bcff2080d34e4b825dd2c37099389e4c031e82650d7e47c783b061569a420c3a0a4664b2a458875925d3a623647b993300efeebd1" TargetMode="External"/><Relationship Id="rId18" Type="http://schemas.openxmlformats.org/officeDocument/2006/relationships/hyperlink" Target="https://www.transparentno.hr/pregled/48471634697/f02787ab44c8c8837c4c937f4002fa98213eb0977ead1f45e78f6a1dc0a7eb5d879bc0b6005c40ef669f5a2ad2eb6927bf7e7eb9362bab6934ed2a254a08788f" TargetMode="External"/><Relationship Id="rId26" Type="http://schemas.openxmlformats.org/officeDocument/2006/relationships/image" Target="media/image2.png"/><Relationship Id="rId39" Type="http://schemas.openxmlformats.org/officeDocument/2006/relationships/header" Target="header1.xml"/><Relationship Id="rId21" Type="http://schemas.openxmlformats.org/officeDocument/2006/relationships/hyperlink" Target="https://www.transparentno.hr/pregled/57930981912/9524cea1000a47d46de829f0defcc4e0918f54fa81b054cf6831e3a085b5eb062aa0a2ab704180e90c00b262ba0e276d086a78204a9e40386ed885568b069d8f" TargetMode="External"/><Relationship Id="rId34" Type="http://schemas.openxmlformats.org/officeDocument/2006/relationships/hyperlink" Target="http://www.fina.hr/Default.aspx?sec=17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pregled/62196058485/052f514000c3982f41bbc2b17cce51b3c1c05f395538174a1ea59cdc1b5ebcb85fa6be7e32b69a4d70be6e0716a4aec1d3410c811b7cca6122d427d1b6be1a40" TargetMode="External"/><Relationship Id="rId20" Type="http://schemas.openxmlformats.org/officeDocument/2006/relationships/hyperlink" Target="https://www.transparentno.hr/pregled/92265244213/2f9212921ae92cc60d5afed78debe5c22f5b47b09bc6fa1c50098b89dd14422dc017ea7338d867b5d0214193977b6b8c2bc5dc87a75f7c4664000d15ef5aced1" TargetMode="External"/><Relationship Id="rId29" Type="http://schemas.openxmlformats.org/officeDocument/2006/relationships/hyperlink" Target="https://www.transparentno.hr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29735620766/7db02d78cc3aaf5546bc45d8b8ebe03dc37719cf1405065a813387477e53a5446be693c8a49145e51a6ba3818928f90eecf29920c84ab27469156401285737b7" TargetMode="External"/><Relationship Id="rId24" Type="http://schemas.openxmlformats.org/officeDocument/2006/relationships/hyperlink" Target="https://www.transparentno.hr/pregled/48471634697/f02787ab44c8c8837c4c937f4002fa98213eb0977ead1f45e78f6a1dc0a7eb5d879bc0b6005c40ef669f5a2ad2eb6927bf7e7eb9362bab6934ed2a254a08788f" TargetMode="External"/><Relationship Id="rId32" Type="http://schemas.openxmlformats.org/officeDocument/2006/relationships/hyperlink" Target="https://jrr.fina.hr/jrir/" TargetMode="External"/><Relationship Id="rId37" Type="http://schemas.openxmlformats.org/officeDocument/2006/relationships/hyperlink" Target="http://www.fina.hr/lgs.axd?t=24&amp;id=15" TargetMode="External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transparentno.hr/pregled/26436765110/b50d5aad114c133ba42093df27c95ec3bd995621f9ce5d3f9dd9cea4a2ce3cbae085b3c90c73a1df028aa7251ede1ae032fc309acaa9edf2513b7121679f8770" TargetMode="External"/><Relationship Id="rId23" Type="http://schemas.openxmlformats.org/officeDocument/2006/relationships/image" Target="media/image1.emf"/><Relationship Id="rId28" Type="http://schemas.openxmlformats.org/officeDocument/2006/relationships/hyperlink" Target="http://rgfi.fina.hr/JavnaObjava-web/jsp/prijavaKorisnika.jsp" TargetMode="External"/><Relationship Id="rId36" Type="http://schemas.openxmlformats.org/officeDocument/2006/relationships/image" Target="media/image4.png"/><Relationship Id="rId10" Type="http://schemas.openxmlformats.org/officeDocument/2006/relationships/hyperlink" Target="https://www.transparentno.hr/pregled/27905228158/055a71e4582461cfbd5189d3551161fadc14ea5f7d709cbf1f5d39bf3f005be9427231f893bac44ca6cf6249e4ae3260bed8881c495e216f4e0d446d842e3aaa" TargetMode="External"/><Relationship Id="rId19" Type="http://schemas.openxmlformats.org/officeDocument/2006/relationships/hyperlink" Target="https://www.transparentno.hr/pregled/27905228158/055a71e4582461cfbd5189d3551161fadc14ea5f7d709cbf1f5d39bf3f005be9427231f893bac44ca6cf6249e4ae3260bed8881c495e216f4e0d446d842e3aaa" TargetMode="External"/><Relationship Id="rId31" Type="http://schemas.openxmlformats.org/officeDocument/2006/relationships/hyperlink" Target="http://www.fina.hr/Default.aspx?sec=153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ransparentno.hr/pregled/48471634697/f02787ab44c8c8837c4c937f4002fa98213eb0977ead1f45e78f6a1dc0a7eb5d879bc0b6005c40ef669f5a2ad2eb6927bf7e7eb9362bab6934ed2a254a08788f" TargetMode="External"/><Relationship Id="rId14" Type="http://schemas.openxmlformats.org/officeDocument/2006/relationships/hyperlink" Target="https://www.transparentno.hr/pregled/88004354928/669c368e52ed4fe522e61d3abb3e88db62bbfd16238b2fa9675ddb1ea1b2ea15a70ab5fa841fb3af544bed7ffb297d9dbffbc7c583aa6fda9713359907a3cc5a" TargetMode="External"/><Relationship Id="rId22" Type="http://schemas.openxmlformats.org/officeDocument/2006/relationships/hyperlink" Target="https://www.transparentno.hr/pregled/76118645526/7997ab41c510fab2a95ebae34c989c8cf3f32dbe152735f54883937292d6f516d9eb8da5432531824623536c885668a929bcd64d86e23d7530795275073ef97c" TargetMode="External"/><Relationship Id="rId27" Type="http://schemas.openxmlformats.org/officeDocument/2006/relationships/hyperlink" Target="http://www.fina.hr/Default.aspx?sec=1279" TargetMode="External"/><Relationship Id="rId30" Type="http://schemas.openxmlformats.org/officeDocument/2006/relationships/hyperlink" Target="http://www.fina.hr/Default.aspx?art=8958&amp;sec=1275" TargetMode="External"/><Relationship Id="rId35" Type="http://schemas.openxmlformats.org/officeDocument/2006/relationships/image" Target="media/image3.jpeg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www.transparentno.hr/pregled/37869102333/28eba6afcf19affccce7eb2913ae3541f589ba2a7645f0043cec746534ddbddc20083a8bb9f6ad0dfe118e9ab30b7f9ccac5e51bf6cf4be86dfb921718d25def" TargetMode="External"/><Relationship Id="rId17" Type="http://schemas.openxmlformats.org/officeDocument/2006/relationships/hyperlink" Target="https://www.transparentno.hr/pregled/75327916219/9c0dc6241103bd5f664903735be311ca84bbc1a6d41a3821f2b4daae35f57df4410acc650aad73e9d1250d3fc0ae96d03e4148f16c90003a8dfe10bc362991e1" TargetMode="External"/><Relationship Id="rId25" Type="http://schemas.openxmlformats.org/officeDocument/2006/relationships/hyperlink" Target="https://www.transparentno.hr/pregled/78977247105/c880265c5d4f28e9d83bfafb564f97ef4fe6b237a8c60a1504b0d7e44b5dd47c2e5fbc9ba45d33ecf47b58a4745f15eecc4f530ace5e71164c0836afcffd1879" TargetMode="External"/><Relationship Id="rId33" Type="http://schemas.openxmlformats.org/officeDocument/2006/relationships/hyperlink" Target="http://www.fina.hr/Default.aspx?sec=972" TargetMode="External"/><Relationship Id="rId38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C0885-6F19-4BF5-A628-FC8FB1C1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1715</Words>
  <Characters>9777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ENERGETSKI SEKTOR U 2013</vt:lpstr>
      <vt:lpstr>ENERGETSKI SEKTOR U 2013</vt:lpstr>
    </vt:vector>
  </TitlesOfParts>
  <Company>FINA</Company>
  <LinksUpToDate>false</LinksUpToDate>
  <CharactersWithSpaces>11470</CharactersWithSpaces>
  <SharedDoc>false</SharedDoc>
  <HLinks>
    <vt:vector size="30" baseType="variant">
      <vt:variant>
        <vt:i4>5636194</vt:i4>
      </vt:variant>
      <vt:variant>
        <vt:i4>12</vt:i4>
      </vt:variant>
      <vt:variant>
        <vt:i4>0</vt:i4>
      </vt:variant>
      <vt:variant>
        <vt:i4>5</vt:i4>
      </vt:variant>
      <vt:variant>
        <vt:lpwstr>mailto:rgfi@fina.hr</vt:lpwstr>
      </vt:variant>
      <vt:variant>
        <vt:lpwstr/>
      </vt:variant>
      <vt:variant>
        <vt:i4>1376272</vt:i4>
      </vt:variant>
      <vt:variant>
        <vt:i4>9</vt:i4>
      </vt:variant>
      <vt:variant>
        <vt:i4>0</vt:i4>
      </vt:variant>
      <vt:variant>
        <vt:i4>5</vt:i4>
      </vt:variant>
      <vt:variant>
        <vt:lpwstr>http://rgfi.fina.hr/IzvjestajiRGFI.web/main/home.jsp</vt:lpwstr>
      </vt:variant>
      <vt:variant>
        <vt:lpwstr/>
      </vt:variant>
      <vt:variant>
        <vt:i4>1245201</vt:i4>
      </vt:variant>
      <vt:variant>
        <vt:i4>6</vt:i4>
      </vt:variant>
      <vt:variant>
        <vt:i4>0</vt:i4>
      </vt:variant>
      <vt:variant>
        <vt:i4>5</vt:i4>
      </vt:variant>
      <vt:variant>
        <vt:lpwstr>https://servisi.fina.hr/IPaket-login.web/pSubjektTrazi.do</vt:lpwstr>
      </vt:variant>
      <vt:variant>
        <vt:lpwstr/>
      </vt:variant>
      <vt:variant>
        <vt:i4>655441</vt:i4>
      </vt:variant>
      <vt:variant>
        <vt:i4>3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ENERGETSKI SEKTOR U 2013</dc:title>
  <dc:creator>Vesna Kavur</dc:creator>
  <cp:lastModifiedBy>admin</cp:lastModifiedBy>
  <cp:revision>2</cp:revision>
  <cp:lastPrinted>2014-09-19T12:18:00Z</cp:lastPrinted>
  <dcterms:created xsi:type="dcterms:W3CDTF">2019-03-28T11:19:00Z</dcterms:created>
  <dcterms:modified xsi:type="dcterms:W3CDTF">2019-03-28T11:19:00Z</dcterms:modified>
</cp:coreProperties>
</file>