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3B" w:rsidRPr="009C35F6" w:rsidRDefault="00FF003B" w:rsidP="009C35F6">
      <w:pPr>
        <w:spacing w:before="60" w:after="0"/>
        <w:jc w:val="both"/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</w:pPr>
      <w:r w:rsidRPr="009C35F6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Zagreb, </w:t>
      </w:r>
      <w:r w:rsidR="00C85D44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1</w:t>
      </w:r>
      <w:r w:rsidR="008F30F7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1</w:t>
      </w:r>
      <w:bookmarkStart w:id="0" w:name="_GoBack"/>
      <w:bookmarkEnd w:id="0"/>
      <w:r w:rsidR="00C85D44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. travnja</w:t>
      </w:r>
      <w:r w:rsidR="00865D4A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 2019</w:t>
      </w:r>
      <w:r w:rsidR="0023676B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.</w:t>
      </w:r>
    </w:p>
    <w:p w:rsidR="00FF003B" w:rsidRPr="009C35F6" w:rsidRDefault="00FF003B" w:rsidP="00FF003B">
      <w:pPr>
        <w:spacing w:before="120" w:after="0" w:line="288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Uvod</w:t>
      </w:r>
    </w:p>
    <w:p w:rsidR="00FF003B" w:rsidRPr="009C35F6" w:rsidRDefault="00FF003B" w:rsidP="00B567C8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sudskih i javnobilježničkih osiguranja tražbina vjerovnika (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skraćeno: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založnih prava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, dalje u tekstu: Upisnik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) jedinstvena je baza podataka o upisanim opterećenjima, pravima ili zabranama na pokretninama, dionicama, udjelima i poslovnim udjelima.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Upisnik je ustrojen 2006. godine na temelju Zakona o upisniku sudskih i javnobilježničkih osiguranja tražbina vjerovnika na pokretnim stvarima i pravima (NN 121/05) i vodi ga Financijska agencija.</w:t>
      </w:r>
    </w:p>
    <w:p w:rsidR="008F1FC3" w:rsidRPr="009C35F6" w:rsidRDefault="008F1FC3" w:rsidP="00F45C24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Sudska i javnobilježnička založna prava na temelju sporazuma stranaka i prijenosi prava vlasništva i drugih prava, dionica, udjela i poslovnih udjela obavljeni radi osiguranja, stječu se odnosno prenose upisom u Upisnik. Predmeti i prava na kojima se stječe neko pravo osiguranjem ili ovrhom, a koja se upisuju u Upisnik su sljedeća: pokretne stvari i prava, dionice, udjeli i poslovni udjeli u trgovačkom društvu koji se ne upisuju u drugu javnu knjigu, vozila u javnoj evidenciji Ministarstva unutarnjih poslova, patenti, upisani u Registar za patente Državnog zavoda za intelektualno vlasništvo. To su najčešće automobili, strojevi, računala, umjetnička djela, namještaj, poljoprivredni strojevi, poljoprivredno stado, poljoprivredni urod, ukupnost stvari (npr. roba u skladištu), patenti, dionice koje nisu upisane na računima u </w:t>
      </w:r>
      <w:r w:rsidR="00A760A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Središnjem klirinško depozitarnom društvu d.d.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i poslovni udjeli u trgovačkim društvima.</w:t>
      </w:r>
    </w:p>
    <w:p w:rsidR="008F1FC3" w:rsidRPr="009C35F6" w:rsidRDefault="002E7775" w:rsidP="00F45C24">
      <w:pPr>
        <w:spacing w:before="120" w:after="0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Informacija o broju upisanih pokretnina i prava u Upisniku</w:t>
      </w:r>
    </w:p>
    <w:p w:rsidR="00E14164" w:rsidRPr="00E14164" w:rsidRDefault="00E14164" w:rsidP="00F45C24">
      <w:pPr>
        <w:tabs>
          <w:tab w:val="left" w:pos="1701"/>
          <w:tab w:val="left" w:pos="1985"/>
        </w:tabs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U Upisnik sudskih i javnobilježničkih osiguranja</w:t>
      </w:r>
      <w:r w:rsidR="00DA56D8">
        <w:rPr>
          <w:rFonts w:ascii="Arial" w:hAnsi="Arial" w:cs="Arial"/>
          <w:color w:val="244061" w:themeColor="accent1" w:themeShade="80"/>
          <w:sz w:val="20"/>
          <w:szCs w:val="20"/>
        </w:rPr>
        <w:t xml:space="preserve"> tražbina vjerovnika (skraćeno: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Upisnik), upisan je veliki broj prava i mjera na pokretnim stvarima i pravima. Od početka rada Upisnika 2006. godine do </w:t>
      </w:r>
      <w:r w:rsidR="006B4A71">
        <w:rPr>
          <w:rFonts w:ascii="Arial" w:hAnsi="Arial" w:cs="Arial"/>
          <w:color w:val="244061" w:themeColor="accent1" w:themeShade="80"/>
          <w:sz w:val="20"/>
          <w:szCs w:val="20"/>
        </w:rPr>
        <w:t xml:space="preserve">31. 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ožujka 2019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 godine, broj provedenih upisa koje je provela Fina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ncijska agencija dosegnuo je 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793.571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upisanih pokretnina i prava. Najveći broj odnosi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374.133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a iza toga prema broju upisa slijede vozila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184.658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računala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98.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444</w:t>
      </w:r>
      <w:r w:rsidR="00EA70A7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strojevi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63.387</w:t>
      </w:r>
      <w:r w:rsidR="005D6C3A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stado/stoka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53.242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4164" w:rsidRPr="00E14164" w:rsidRDefault="00E14164" w:rsidP="00F45C24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Drugu skupinu od sveukupno </w:t>
      </w:r>
      <w:r w:rsidR="009267A0">
        <w:rPr>
          <w:rFonts w:ascii="Arial" w:hAnsi="Arial" w:cs="Arial"/>
          <w:color w:val="244061" w:themeColor="accent1" w:themeShade="80"/>
          <w:sz w:val="20"/>
          <w:szCs w:val="20"/>
        </w:rPr>
        <w:t>19.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707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upisanih predmeta osigur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anja čine: poljoprivredni urod 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7.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6B4A71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, udjeli i poslovni udjele (</w:t>
      </w:r>
      <w:r w:rsidR="006B4A71">
        <w:rPr>
          <w:rFonts w:ascii="Arial" w:hAnsi="Arial" w:cs="Arial"/>
          <w:color w:val="244061" w:themeColor="accent1" w:themeShade="80"/>
          <w:sz w:val="20"/>
          <w:szCs w:val="20"/>
        </w:rPr>
        <w:t>8.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180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ukupnost stvari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3.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624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dionice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B4A71">
        <w:rPr>
          <w:rFonts w:ascii="Arial" w:hAnsi="Arial" w:cs="Arial"/>
          <w:color w:val="244061" w:themeColor="accent1" w:themeShade="80"/>
          <w:sz w:val="20"/>
          <w:szCs w:val="20"/>
        </w:rPr>
        <w:t>21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patent</w:t>
      </w:r>
      <w:r w:rsidR="005611FE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upisa.</w:t>
      </w:r>
    </w:p>
    <w:p w:rsidR="00E14164" w:rsidRDefault="00E14164" w:rsidP="00F45C24">
      <w:pPr>
        <w:tabs>
          <w:tab w:val="left" w:pos="1701"/>
          <w:tab w:val="left" w:pos="1985"/>
        </w:tabs>
        <w:autoSpaceDE w:val="0"/>
        <w:autoSpaceDN w:val="0"/>
        <w:adjustRightInd w:val="0"/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 međuvremenu, od prethodno objavljene informacije za razdoblje zaključno s 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31. prosincem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upisano je novih 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7.810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pokretnin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i prava</w:t>
      </w:r>
      <w:r w:rsidR="00EA4C7E">
        <w:rPr>
          <w:rFonts w:ascii="Arial" w:hAnsi="Arial" w:cs="Arial"/>
          <w:color w:val="244061" w:themeColor="accent1" w:themeShade="80"/>
          <w:sz w:val="20"/>
          <w:szCs w:val="20"/>
        </w:rPr>
        <w:t>. N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ajveći broj u </w:t>
      </w:r>
      <w:r w:rsidR="00B34924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razdoblju 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siječanj-ožujak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odnosio se na ostale pokretnine i prava </w:t>
      </w:r>
      <w:r w:rsidR="009267A0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5.045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strojeve(1.417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 xml:space="preserve"> i na 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vozila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>666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 xml:space="preserve">broj dionica (21) i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patenata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ostao </w:t>
      </w:r>
      <w:r w:rsidR="0040254A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nepromijenjen.</w:t>
      </w:r>
    </w:p>
    <w:p w:rsidR="00D3194F" w:rsidRPr="009C35F6" w:rsidRDefault="00FF003B" w:rsidP="00F45C24">
      <w:pPr>
        <w:tabs>
          <w:tab w:val="left" w:pos="1701"/>
          <w:tab w:val="left" w:pos="1985"/>
        </w:tabs>
        <w:spacing w:before="120" w:after="120" w:line="288" w:lineRule="auto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Tablica i grafikon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1.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Upisane pokretnine i prava u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Upisniku u razdoblju od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2006. do </w:t>
      </w:r>
      <w:r w:rsidR="006B4A71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31. </w:t>
      </w:r>
      <w:r w:rsidR="0040254A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ožujka 2019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 g</w:t>
      </w:r>
      <w:r w:rsid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odine</w:t>
      </w:r>
    </w:p>
    <w:tbl>
      <w:tblPr>
        <w:tblpPr w:leftFromText="180" w:rightFromText="180" w:vertAnchor="text" w:tblpY="1"/>
        <w:tblOverlap w:val="never"/>
        <w:tblW w:w="3081" w:type="dxa"/>
        <w:tblInd w:w="93" w:type="dxa"/>
        <w:tblLook w:val="04A0" w:firstRow="1" w:lastRow="0" w:firstColumn="1" w:lastColumn="0" w:noHBand="0" w:noVBand="1"/>
      </w:tblPr>
      <w:tblGrid>
        <w:gridCol w:w="2142"/>
        <w:gridCol w:w="939"/>
      </w:tblGrid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</w:t>
            </w:r>
            <w:r w:rsidR="00D3194F"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stale pokretnine i prava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23676B" w:rsidRPr="009C35F6" w:rsidRDefault="0040254A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374.133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FF003B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Vozila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0254A" w:rsidP="006B4A71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184.658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Računala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40254A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98.</w:t>
            </w:r>
            <w:r w:rsidR="0040254A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444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Strojevi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0254A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63.387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Stado/stoka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0254A" w:rsidP="006B4A71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53.242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Poljoprivredni urod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0254A" w:rsidP="006B4A71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7.878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Udjeli i poslovni udjeli 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0254A" w:rsidP="0040254A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8.180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Ukupnost stvari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8E1773" w:rsidP="0040254A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3.</w:t>
            </w:r>
            <w:r w:rsidR="0040254A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624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Dionice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6B4A71" w:rsidP="00BB685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21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Patenti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FF003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C77D8" w:rsidRPr="009C35F6" w:rsidRDefault="0040254A" w:rsidP="007B68E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793.571</w:t>
            </w:r>
          </w:p>
        </w:tc>
      </w:tr>
    </w:tbl>
    <w:p w:rsidR="00AC3D8E" w:rsidRDefault="00C85D44" w:rsidP="00FF003B">
      <w:pPr>
        <w:spacing w:before="60" w:after="0" w:line="288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77152426" wp14:editId="2ED887D2">
            <wp:extent cx="4324350" cy="2466975"/>
            <wp:effectExtent l="0" t="0" r="1905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A24" w:rsidRDefault="005F3A24" w:rsidP="005F3A24">
      <w:pPr>
        <w:spacing w:before="60" w:after="0" w:line="288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Izvor: Financijska agencija, </w:t>
      </w:r>
      <w:r>
        <w:rPr>
          <w:rFonts w:ascii="Arial" w:eastAsia="Times New Roman" w:hAnsi="Arial" w:cs="Arial"/>
          <w:i/>
          <w:color w:val="244061" w:themeColor="accent1" w:themeShade="80"/>
          <w:sz w:val="19"/>
          <w:szCs w:val="19"/>
          <w:lang w:eastAsia="hr-HR"/>
        </w:rPr>
        <w:t xml:space="preserve">Upisnik </w:t>
      </w:r>
      <w:r w:rsidR="00865D4A">
        <w:rPr>
          <w:rFonts w:ascii="Arial" w:eastAsia="Times New Roman" w:hAnsi="Arial" w:cs="Arial"/>
          <w:i/>
          <w:color w:val="244061" w:themeColor="accent1" w:themeShade="80"/>
          <w:sz w:val="19"/>
          <w:szCs w:val="19"/>
          <w:lang w:eastAsia="hr-HR"/>
        </w:rPr>
        <w:t>sudskih i javnobilježničkih osiguranja</w:t>
      </w:r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Jednostavnom pretragom na on-</w:t>
      </w:r>
      <w:proofErr w:type="spellStart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line</w:t>
      </w:r>
      <w:proofErr w:type="spellEnd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tražilici moguće je pretra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žiti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e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pod određenim kriterijima. Također je na 22 upisnička mjesta moguće obaviti i besplatan uvid te zatražiti izvadak ili prijepis iz zbirke isprava. </w:t>
      </w:r>
      <w:hyperlink r:id="rId9" w:history="1"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Više o tome na 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WEB </w:t>
        </w:r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stranici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 Fine .</w:t>
        </w:r>
      </w:hyperlink>
    </w:p>
    <w:p w:rsidR="006D168A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 2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2014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Financijska agencija uvela je novu uslugu „FINA Info šasija“ koja se odnosi na informaciju o statusu upisa tereta na vozilima u Upisniku. 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Slanjem SMS poruke na broj 818058 s brojem šasije automobila, korisnik će dobiti informaciju postoji li terećenje u Upisniku za navedeni automobil.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 razdoblju od 2</w:t>
      </w:r>
      <w:r w:rsidR="007735CA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2014.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do </w:t>
      </w:r>
      <w:r w:rsidR="006B4A71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31. </w:t>
      </w:r>
      <w:r w:rsidR="00C85D4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ožujka 2019</w:t>
      </w:r>
      <w:r w:rsidR="00CD7170" w:rsidRPr="00CD7170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poslano je </w:t>
      </w:r>
      <w:r w:rsidR="008F30F7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53.835</w:t>
      </w:r>
      <w:r w:rsidR="00B349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poruka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hyperlink r:id="rId10" w:history="1"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Više na WEB stranici Fine .</w:t>
        </w:r>
      </w:hyperlink>
    </w:p>
    <w:sectPr w:rsidR="006D168A" w:rsidRPr="009C35F6" w:rsidSect="00F35753">
      <w:headerReference w:type="default" r:id="rId11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94" w:rsidRDefault="00047494" w:rsidP="00FF003B">
      <w:pPr>
        <w:spacing w:after="0" w:line="240" w:lineRule="auto"/>
      </w:pPr>
      <w:r>
        <w:separator/>
      </w:r>
    </w:p>
  </w:endnote>
  <w:endnote w:type="continuationSeparator" w:id="0">
    <w:p w:rsidR="00047494" w:rsidRDefault="00047494" w:rsidP="00FF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94" w:rsidRDefault="00047494" w:rsidP="00FF003B">
      <w:pPr>
        <w:spacing w:after="0" w:line="240" w:lineRule="auto"/>
      </w:pPr>
      <w:r>
        <w:separator/>
      </w:r>
    </w:p>
  </w:footnote>
  <w:footnote w:type="continuationSeparator" w:id="0">
    <w:p w:rsidR="00047494" w:rsidRDefault="00047494" w:rsidP="00FF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3B" w:rsidRDefault="00FF003B">
    <w:pPr>
      <w:pStyle w:val="Zaglavlje"/>
    </w:pPr>
    <w:r>
      <w:rPr>
        <w:noProof/>
        <w:lang w:eastAsia="hr-HR"/>
      </w:rPr>
      <w:drawing>
        <wp:inline distT="0" distB="0" distL="0" distR="0" wp14:anchorId="30E8E3F7" wp14:editId="717E4641">
          <wp:extent cx="1485265" cy="358140"/>
          <wp:effectExtent l="0" t="0" r="635" b="3810"/>
          <wp:docPr id="2" name="Picture 2" descr="fi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B2"/>
    <w:rsid w:val="000018DC"/>
    <w:rsid w:val="000375CE"/>
    <w:rsid w:val="00047494"/>
    <w:rsid w:val="00063EA7"/>
    <w:rsid w:val="00077AEE"/>
    <w:rsid w:val="000B0BB3"/>
    <w:rsid w:val="000B409A"/>
    <w:rsid w:val="000D0CC2"/>
    <w:rsid w:val="00132E0C"/>
    <w:rsid w:val="00140512"/>
    <w:rsid w:val="0017568F"/>
    <w:rsid w:val="00183D5A"/>
    <w:rsid w:val="001A25DB"/>
    <w:rsid w:val="001C0824"/>
    <w:rsid w:val="001D53FE"/>
    <w:rsid w:val="001E0AF7"/>
    <w:rsid w:val="00204D4C"/>
    <w:rsid w:val="002225FC"/>
    <w:rsid w:val="002345FB"/>
    <w:rsid w:val="0023676B"/>
    <w:rsid w:val="0024337E"/>
    <w:rsid w:val="00254E17"/>
    <w:rsid w:val="00296067"/>
    <w:rsid w:val="002B3830"/>
    <w:rsid w:val="002E2B9D"/>
    <w:rsid w:val="002E7775"/>
    <w:rsid w:val="00303B45"/>
    <w:rsid w:val="00313855"/>
    <w:rsid w:val="00314C15"/>
    <w:rsid w:val="00320535"/>
    <w:rsid w:val="00346FE2"/>
    <w:rsid w:val="00375918"/>
    <w:rsid w:val="003B3B83"/>
    <w:rsid w:val="003C6343"/>
    <w:rsid w:val="003E45BD"/>
    <w:rsid w:val="003E4FD9"/>
    <w:rsid w:val="003F51C9"/>
    <w:rsid w:val="00401E35"/>
    <w:rsid w:val="0040254A"/>
    <w:rsid w:val="00453B09"/>
    <w:rsid w:val="00461F6D"/>
    <w:rsid w:val="004620F0"/>
    <w:rsid w:val="00480C73"/>
    <w:rsid w:val="004906DB"/>
    <w:rsid w:val="00496276"/>
    <w:rsid w:val="004D0C29"/>
    <w:rsid w:val="004D2F1D"/>
    <w:rsid w:val="00505962"/>
    <w:rsid w:val="005255EA"/>
    <w:rsid w:val="00531127"/>
    <w:rsid w:val="005341FB"/>
    <w:rsid w:val="005566CC"/>
    <w:rsid w:val="005611FE"/>
    <w:rsid w:val="005737D2"/>
    <w:rsid w:val="005937B1"/>
    <w:rsid w:val="005C0F0D"/>
    <w:rsid w:val="005C7B29"/>
    <w:rsid w:val="005D6C3A"/>
    <w:rsid w:val="005E15DA"/>
    <w:rsid w:val="005F01A8"/>
    <w:rsid w:val="005F34E2"/>
    <w:rsid w:val="005F3A24"/>
    <w:rsid w:val="005F4CDC"/>
    <w:rsid w:val="005F6FA2"/>
    <w:rsid w:val="0060334F"/>
    <w:rsid w:val="0061160A"/>
    <w:rsid w:val="00623B7F"/>
    <w:rsid w:val="00627404"/>
    <w:rsid w:val="006365DC"/>
    <w:rsid w:val="00641446"/>
    <w:rsid w:val="0064451E"/>
    <w:rsid w:val="006B4A71"/>
    <w:rsid w:val="006B5AD2"/>
    <w:rsid w:val="006C5A1A"/>
    <w:rsid w:val="006D168A"/>
    <w:rsid w:val="00722638"/>
    <w:rsid w:val="007379A3"/>
    <w:rsid w:val="007563A4"/>
    <w:rsid w:val="00770B59"/>
    <w:rsid w:val="007735CA"/>
    <w:rsid w:val="007B68E6"/>
    <w:rsid w:val="007C1E0D"/>
    <w:rsid w:val="00802779"/>
    <w:rsid w:val="00837856"/>
    <w:rsid w:val="008629D7"/>
    <w:rsid w:val="00865D4A"/>
    <w:rsid w:val="00875CD6"/>
    <w:rsid w:val="008A3E7C"/>
    <w:rsid w:val="008D0EDE"/>
    <w:rsid w:val="008D3FB2"/>
    <w:rsid w:val="008E1773"/>
    <w:rsid w:val="008F1FC3"/>
    <w:rsid w:val="008F30F7"/>
    <w:rsid w:val="00903589"/>
    <w:rsid w:val="00907021"/>
    <w:rsid w:val="009267A0"/>
    <w:rsid w:val="00936E6A"/>
    <w:rsid w:val="00953D34"/>
    <w:rsid w:val="00955015"/>
    <w:rsid w:val="00960033"/>
    <w:rsid w:val="0099475C"/>
    <w:rsid w:val="009C35F6"/>
    <w:rsid w:val="009E45DC"/>
    <w:rsid w:val="009F0525"/>
    <w:rsid w:val="00A264F2"/>
    <w:rsid w:val="00A6697E"/>
    <w:rsid w:val="00A760A6"/>
    <w:rsid w:val="00AC3D8E"/>
    <w:rsid w:val="00AC77D8"/>
    <w:rsid w:val="00B17A51"/>
    <w:rsid w:val="00B34924"/>
    <w:rsid w:val="00B567C8"/>
    <w:rsid w:val="00BB6854"/>
    <w:rsid w:val="00BC6AF7"/>
    <w:rsid w:val="00BD02F4"/>
    <w:rsid w:val="00BD2767"/>
    <w:rsid w:val="00BF1108"/>
    <w:rsid w:val="00BF2C59"/>
    <w:rsid w:val="00C57943"/>
    <w:rsid w:val="00C85D44"/>
    <w:rsid w:val="00C9024E"/>
    <w:rsid w:val="00CA1EE0"/>
    <w:rsid w:val="00CB08E1"/>
    <w:rsid w:val="00CC0D2D"/>
    <w:rsid w:val="00CC590B"/>
    <w:rsid w:val="00CD7170"/>
    <w:rsid w:val="00CE411F"/>
    <w:rsid w:val="00CF4D96"/>
    <w:rsid w:val="00D15092"/>
    <w:rsid w:val="00D3194F"/>
    <w:rsid w:val="00D37BBE"/>
    <w:rsid w:val="00D65C2C"/>
    <w:rsid w:val="00D80D66"/>
    <w:rsid w:val="00D82B62"/>
    <w:rsid w:val="00DA31C8"/>
    <w:rsid w:val="00DA56D8"/>
    <w:rsid w:val="00DC1C69"/>
    <w:rsid w:val="00DE601F"/>
    <w:rsid w:val="00E01148"/>
    <w:rsid w:val="00E14164"/>
    <w:rsid w:val="00E1590F"/>
    <w:rsid w:val="00E1749D"/>
    <w:rsid w:val="00E24BC7"/>
    <w:rsid w:val="00E3076B"/>
    <w:rsid w:val="00E36D0C"/>
    <w:rsid w:val="00E532F2"/>
    <w:rsid w:val="00E66560"/>
    <w:rsid w:val="00E944D9"/>
    <w:rsid w:val="00EA4C7E"/>
    <w:rsid w:val="00EA70A7"/>
    <w:rsid w:val="00ED6FC1"/>
    <w:rsid w:val="00ED7E39"/>
    <w:rsid w:val="00EE1265"/>
    <w:rsid w:val="00F12547"/>
    <w:rsid w:val="00F14C2B"/>
    <w:rsid w:val="00F156B9"/>
    <w:rsid w:val="00F3064D"/>
    <w:rsid w:val="00F35753"/>
    <w:rsid w:val="00F45C24"/>
    <w:rsid w:val="00F80571"/>
    <w:rsid w:val="00F863CC"/>
    <w:rsid w:val="00F9593B"/>
    <w:rsid w:val="00FC6BD5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.hr/Default.aspx?sec=1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loznaprava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348004860914584"/>
          <c:y val="7.2775767893878129E-2"/>
          <c:w val="0.63077664851364945"/>
          <c:h val="0.8241969820425951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cat>
            <c:strRef>
              <c:f>List3!$A$4:$A$13</c:f>
              <c:strCache>
                <c:ptCount val="10"/>
                <c:pt idx="0">
                  <c:v>ostale pokretnine i prava</c:v>
                </c:pt>
                <c:pt idx="1">
                  <c:v>vozila</c:v>
                </c:pt>
                <c:pt idx="2">
                  <c:v>računala</c:v>
                </c:pt>
                <c:pt idx="3">
                  <c:v>strojevi</c:v>
                </c:pt>
                <c:pt idx="4">
                  <c:v>stado/stoka</c:v>
                </c:pt>
                <c:pt idx="5">
                  <c:v>poljoprivredni urod</c:v>
                </c:pt>
                <c:pt idx="6">
                  <c:v>udjeli i poslovni udjeli </c:v>
                </c:pt>
                <c:pt idx="7">
                  <c:v>ukupnost stvari</c:v>
                </c:pt>
                <c:pt idx="8">
                  <c:v>dionice</c:v>
                </c:pt>
                <c:pt idx="9">
                  <c:v>patenti</c:v>
                </c:pt>
              </c:strCache>
            </c:strRef>
          </c:cat>
          <c:val>
            <c:numRef>
              <c:f>List3!$D$4:$D$13</c:f>
              <c:numCache>
                <c:formatCode>#,##0</c:formatCode>
                <c:ptCount val="10"/>
                <c:pt idx="0">
                  <c:v>374133</c:v>
                </c:pt>
                <c:pt idx="1">
                  <c:v>184658</c:v>
                </c:pt>
                <c:pt idx="2">
                  <c:v>98444</c:v>
                </c:pt>
                <c:pt idx="3">
                  <c:v>63387</c:v>
                </c:pt>
                <c:pt idx="4">
                  <c:v>53242</c:v>
                </c:pt>
                <c:pt idx="5">
                  <c:v>7878</c:v>
                </c:pt>
                <c:pt idx="6">
                  <c:v>8180</c:v>
                </c:pt>
                <c:pt idx="7">
                  <c:v>3624</c:v>
                </c:pt>
                <c:pt idx="8">
                  <c:v>21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465152"/>
        <c:axId val="72196864"/>
      </c:barChart>
      <c:catAx>
        <c:axId val="150465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72196864"/>
        <c:crosses val="autoZero"/>
        <c:auto val="1"/>
        <c:lblAlgn val="ctr"/>
        <c:lblOffset val="100"/>
        <c:noMultiLvlLbl val="0"/>
      </c:catAx>
      <c:valAx>
        <c:axId val="72196864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700" baseline="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150465152"/>
        <c:crosses val="autoZero"/>
        <c:crossBetween val="between"/>
        <c:majorUnit val="50000"/>
      </c:valAx>
      <c:spPr>
        <a:gradFill flip="none" rotWithShape="1">
          <a:gsLst>
            <a:gs pos="0">
              <a:srgbClr val="8488C4">
                <a:lumMod val="57000"/>
                <a:lumOff val="43000"/>
              </a:srgbClr>
            </a:gs>
            <a:gs pos="53000">
              <a:srgbClr val="D4DEFF">
                <a:lumMod val="29000"/>
                <a:lumOff val="71000"/>
              </a:srgbClr>
            </a:gs>
            <a:gs pos="83000">
              <a:srgbClr val="D4DEFF">
                <a:lumMod val="16000"/>
                <a:lumOff val="84000"/>
              </a:srgbClr>
            </a:gs>
            <a:gs pos="100000">
              <a:srgbClr val="96AB94">
                <a:lumMod val="32000"/>
                <a:lumOff val="68000"/>
              </a:srgbClr>
            </a:gs>
          </a:gsLst>
          <a:lin ang="16200000" scaled="1"/>
          <a:tileRect/>
        </a:gradFill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gradFill>
      <a:gsLst>
        <a:gs pos="0">
          <a:srgbClr val="8488C4">
            <a:lumMod val="57000"/>
            <a:lumOff val="43000"/>
          </a:srgbClr>
        </a:gs>
        <a:gs pos="53000">
          <a:srgbClr val="D4DEFF">
            <a:lumMod val="29000"/>
            <a:lumOff val="71000"/>
          </a:srgbClr>
        </a:gs>
        <a:gs pos="83000">
          <a:srgbClr val="D4DEFF">
            <a:lumMod val="16000"/>
            <a:lumOff val="84000"/>
          </a:srgbClr>
        </a:gs>
        <a:gs pos="100000">
          <a:srgbClr val="96AB94">
            <a:lumMod val="32000"/>
            <a:lumOff val="68000"/>
          </a:srgbClr>
        </a:gs>
      </a:gsLst>
      <a:lin ang="5400000" scaled="0"/>
    </a:gradFill>
    <a:ln w="3175">
      <a:solidFill>
        <a:schemeClr val="tx2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0558-1FFE-4E8C-A6E6-011C2C7B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Bižić</dc:creator>
  <cp:lastModifiedBy>Vesna Koščak</cp:lastModifiedBy>
  <cp:revision>11</cp:revision>
  <cp:lastPrinted>2015-06-09T05:57:00Z</cp:lastPrinted>
  <dcterms:created xsi:type="dcterms:W3CDTF">2018-01-10T07:21:00Z</dcterms:created>
  <dcterms:modified xsi:type="dcterms:W3CDTF">2019-04-11T06:24:00Z</dcterms:modified>
</cp:coreProperties>
</file>