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84" w:rsidRPr="006D3908" w:rsidRDefault="00FF2183" w:rsidP="00964A0D">
      <w:pPr>
        <w:keepNext/>
        <w:tabs>
          <w:tab w:val="left" w:pos="0"/>
        </w:tabs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</w:pPr>
      <w:bookmarkStart w:id="0" w:name="_Toc436912535"/>
      <w:bookmarkStart w:id="1" w:name="_Toc452702033"/>
      <w:bookmarkStart w:id="2" w:name="_Toc15462552"/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USPOREDBA REZULTATA POSLOVANJA PODUZETNIKA </w:t>
      </w:r>
      <w:r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U </w:t>
      </w:r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10 NAJVEĆIH GRADOVA PREMA KRITERIJU NETO DOBITI </w:t>
      </w:r>
      <w:r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PODUZETNIKA</w:t>
      </w:r>
      <w:r w:rsidR="00967F46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 </w:t>
      </w:r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U 2018.</w:t>
      </w:r>
      <w:bookmarkEnd w:id="0"/>
      <w:bookmarkEnd w:id="1"/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 GODINI</w:t>
      </w:r>
      <w:bookmarkEnd w:id="2"/>
    </w:p>
    <w:p w:rsidR="007B5184" w:rsidRDefault="007B5184" w:rsidP="00964A0D">
      <w:pPr>
        <w:tabs>
          <w:tab w:val="left" w:pos="567"/>
        </w:tabs>
        <w:spacing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FC60A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Među 10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gradova prema kriteriju konsolidirane (neto</w:t>
      </w:r>
      <w:r w:rsidRPr="00967F4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) </w:t>
      </w:r>
      <w:r w:rsidR="00F46CD2" w:rsidRPr="00F46CD2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dobiti </w:t>
      </w:r>
      <w:r w:rsidRPr="00967F4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poduzetnika u 2018. godini su sljedeći gradovi: Zagreb, Split, Rijeka, Poreč, Karlovac, Velika Gorica, Dubro</w:t>
      </w:r>
      <w:r w:rsidR="00335025" w:rsidRPr="00967F4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vnik, Našice, Rovinj i Vukovar.</w:t>
      </w:r>
      <w:r w:rsidR="00EB1E85" w:rsidRPr="00967F46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usporedbi s rang listom u 2017. godini, s popisa su ispali Zadar i Čakovec, </w:t>
      </w:r>
      <w:r w:rsidR="00F46CD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koji su uz Osijek, Varaždin i Svetu Nedelju na rang listi 10 gradova po ostvarenom ukupnom prihodu poduzetnika u 2018. godini. U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mjesto </w:t>
      </w:r>
      <w:r w:rsidR="00F46CD2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Zadra i Čakovca novi na rang listi po neto dobiti poduzetnika u 2018. godini su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Našice i Rovinj.</w:t>
      </w:r>
    </w:p>
    <w:p w:rsidR="007B5184" w:rsidRPr="006D3908" w:rsidRDefault="007B5184" w:rsidP="00964A0D">
      <w:pPr>
        <w:widowControl w:val="0"/>
        <w:tabs>
          <w:tab w:val="left" w:pos="1134"/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Tablica 1.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>Rezultati poduzetnika u 10 gradova prema najvećoj neto dobiti - usporedba s rezultatima svih poduzetnika RH u 2018. godini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Pr="006D3908">
        <w:rPr>
          <w:rFonts w:ascii="Arial" w:eastAsia="Times New Roman" w:hAnsi="Arial" w:cs="Arial"/>
          <w:bCs/>
          <w:color w:val="17365D"/>
          <w:sz w:val="16"/>
          <w:szCs w:val="16"/>
          <w:lang w:eastAsia="hr-HR"/>
        </w:rPr>
        <w:t>(iznosi: u tisućama kuna)</w:t>
      </w:r>
    </w:p>
    <w:tbl>
      <w:tblPr>
        <w:tblW w:w="10206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03"/>
        <w:gridCol w:w="810"/>
        <w:gridCol w:w="520"/>
        <w:gridCol w:w="1162"/>
        <w:gridCol w:w="523"/>
        <w:gridCol w:w="1104"/>
        <w:gridCol w:w="520"/>
        <w:gridCol w:w="1039"/>
        <w:gridCol w:w="523"/>
        <w:gridCol w:w="1104"/>
        <w:gridCol w:w="523"/>
        <w:gridCol w:w="755"/>
        <w:gridCol w:w="520"/>
      </w:tblGrid>
      <w:tr w:rsidR="00516CF5" w:rsidRPr="00967F46" w:rsidTr="005D2388">
        <w:trPr>
          <w:trHeight w:val="340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6D3908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D390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poduz.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FF2183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Rang</w:t>
            </w:r>
          </w:p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 RH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Ukupan </w:t>
            </w:r>
          </w:p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prihod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FF2183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Rang </w:t>
            </w:r>
          </w:p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 RH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FF2183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Rang </w:t>
            </w:r>
          </w:p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 RH</w:t>
            </w:r>
          </w:p>
        </w:tc>
        <w:tc>
          <w:tcPr>
            <w:tcW w:w="10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FF2183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Rang </w:t>
            </w:r>
          </w:p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 RH</w:t>
            </w:r>
          </w:p>
        </w:tc>
        <w:tc>
          <w:tcPr>
            <w:tcW w:w="1077" w:type="dxa"/>
            <w:tcBorders>
              <w:top w:val="single" w:sz="2" w:space="0" w:color="BFBFBF" w:themeColor="background1" w:themeShade="BF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Konsolid. finan. rez.</w:t>
            </w:r>
          </w:p>
        </w:tc>
        <w:tc>
          <w:tcPr>
            <w:tcW w:w="510" w:type="dxa"/>
            <w:tcBorders>
              <w:top w:val="single" w:sz="2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FF2183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Rang </w:t>
            </w:r>
          </w:p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 RH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zaposl.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FF2183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Rang </w:t>
            </w:r>
          </w:p>
          <w:p w:rsidR="00516CF5" w:rsidRPr="00FF2183" w:rsidRDefault="00516CF5" w:rsidP="00FF21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FF218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 RH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43.927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374.961.708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24.492.572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8.565.783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15.926.789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363.093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Split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7.506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24.621.741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1.526.467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615.852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910.615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38.884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Rijeka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4.961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19.596.823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1.133.074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401.597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731.476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29.525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Poreč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1.383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6.819.323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760.170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122.339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637.831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10.787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12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Karlovac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1.201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6.878.376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579.578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59.492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520.086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10.757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13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V. Gorica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1.683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12.443.472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632.637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115.751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516.886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11.639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Dubrovnik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2.275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7.634.537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753.689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239.320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514.369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12.383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Našice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255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2.200.536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535.901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26.872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57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509.029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1.930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62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Rovinj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910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4.338.116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507.000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38.292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468.708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5.315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23</w:t>
            </w:r>
          </w:p>
        </w:tc>
      </w:tr>
      <w:tr w:rsidR="00255BDC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335025" w:rsidRDefault="00516CF5" w:rsidP="00516CF5">
            <w:pPr>
              <w:spacing w:after="0" w:line="240" w:lineRule="auto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335025">
              <w:rPr>
                <w:rFonts w:ascii="Arial" w:hAnsi="Arial" w:cs="Arial"/>
                <w:color w:val="16365C"/>
                <w:sz w:val="18"/>
                <w:szCs w:val="18"/>
              </w:rPr>
              <w:t>Vukovar</w:t>
            </w:r>
          </w:p>
        </w:tc>
        <w:tc>
          <w:tcPr>
            <w:tcW w:w="7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538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11.067.325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445.763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01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103.680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342.084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9276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516CF5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EB1E85">
              <w:rPr>
                <w:rFonts w:ascii="Arial" w:hAnsi="Arial" w:cs="Arial"/>
                <w:color w:val="16365C"/>
                <w:sz w:val="18"/>
                <w:szCs w:val="18"/>
              </w:rPr>
              <w:t>5.142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927634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</w:pPr>
            <w:r w:rsidRPr="00EB1E85">
              <w:rPr>
                <w:rFonts w:ascii="Arial" w:eastAsia="Times New Roman" w:hAnsi="Arial" w:cs="Arial"/>
                <w:color w:val="244061"/>
                <w:sz w:val="16"/>
                <w:szCs w:val="16"/>
                <w:lang w:eastAsia="hr-HR"/>
              </w:rPr>
              <w:t>24</w:t>
            </w:r>
          </w:p>
        </w:tc>
      </w:tr>
      <w:tr w:rsidR="00516CF5" w:rsidRPr="00967F46" w:rsidTr="00255BDC">
        <w:trPr>
          <w:trHeight w:val="227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516CF5" w:rsidRDefault="00516CF5" w:rsidP="00967F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10 gradova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64.639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470.561.957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31.366.851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0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10.288.978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21.077.873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489.455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</w:p>
        </w:tc>
      </w:tr>
      <w:tr w:rsidR="00516CF5" w:rsidRPr="00967F46" w:rsidTr="005D2388">
        <w:trPr>
          <w:trHeight w:val="227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967F4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131.117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751.159.626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46.905.431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0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18.655.232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28.250.199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  <w:t>939.954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/>
                <w:sz w:val="18"/>
                <w:szCs w:val="18"/>
                <w:lang w:eastAsia="hr-HR"/>
              </w:rPr>
            </w:pPr>
          </w:p>
        </w:tc>
      </w:tr>
      <w:tr w:rsidR="00255BDC" w:rsidRPr="00967F46" w:rsidTr="005D2388">
        <w:trPr>
          <w:trHeight w:val="227"/>
          <w:jc w:val="center"/>
        </w:trPr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967F46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Udjeli</w:t>
            </w:r>
          </w:p>
        </w:tc>
        <w:tc>
          <w:tcPr>
            <w:tcW w:w="7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49,3%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62,6%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66,9%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</w:p>
        </w:tc>
        <w:tc>
          <w:tcPr>
            <w:tcW w:w="10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55,2%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74,6%</w:t>
            </w:r>
          </w:p>
        </w:tc>
        <w:tc>
          <w:tcPr>
            <w:tcW w:w="51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548DD4" w:themeColor="text2" w:themeTint="99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12" w:space="0" w:color="548DD4" w:themeColor="text2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EB1E85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52,1%</w:t>
            </w:r>
          </w:p>
        </w:tc>
        <w:tc>
          <w:tcPr>
            <w:tcW w:w="5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C4E8"/>
            <w:noWrap/>
            <w:tcMar>
              <w:left w:w="28" w:type="dxa"/>
              <w:right w:w="28" w:type="dxa"/>
            </w:tcMar>
            <w:vAlign w:val="center"/>
          </w:tcPr>
          <w:p w:rsidR="00516CF5" w:rsidRPr="00EB1E85" w:rsidRDefault="00516CF5" w:rsidP="00967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</w:p>
        </w:tc>
      </w:tr>
    </w:tbl>
    <w:p w:rsidR="007B5184" w:rsidRPr="006D3908" w:rsidRDefault="007B5184" w:rsidP="007B5184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7B5184" w:rsidRPr="006D3908" w:rsidRDefault="007B5184" w:rsidP="00964A0D">
      <w:pPr>
        <w:widowControl w:val="0"/>
        <w:tabs>
          <w:tab w:val="left" w:pos="0"/>
        </w:tabs>
        <w:spacing w:before="18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261800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Analiza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FF2183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rezultata poduzetnika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potvrđuje velik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i udio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poduzetnika</w:t>
      </w:r>
      <w:r w:rsidR="00FF2183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10 gradova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s rang liste po kriteriju ostvarene neto dobiti koji je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2018. godini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broj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poduzetnika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B1E85" w:rsidRP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49,3%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,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broj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zaposlenih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B1E85" w:rsidRP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52,1%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ukupni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prihod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ima </w:t>
      </w:r>
      <w:r w:rsidR="00EB1E85" w:rsidRP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62,6%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dobiti razdoblja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B1E85" w:rsidRP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66,9%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gubitk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razdoblja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B1E85" w:rsidRP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55,2% 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i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neto dobiti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EB1E85" w:rsidRP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74,6%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  <w:r w:rsidR="00EB1E85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Pr="00261800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Tome</w:t>
      </w:r>
      <w:r w:rsidRPr="006D390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je tako prvenstveno zbog udjela poduzetnika sa sjedištem u Zagrebu, koji su, očekivan</w:t>
      </w:r>
      <w:r w:rsidR="00E35AFE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o, ostvarili najveću neto dobit</w:t>
      </w:r>
      <w:r w:rsidRPr="006D390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 iznosu od </w:t>
      </w:r>
      <w:r w:rsidR="00261800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15,9</w:t>
      </w:r>
      <w:r w:rsidRPr="006D3908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milijardi kuna </w:t>
      </w:r>
      <w:r w:rsidRPr="00261800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(udio od </w:t>
      </w:r>
      <w:r w:rsidR="00EB1E8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56,4</w:t>
      </w:r>
      <w:r w:rsidRPr="00261800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% u neto dobiti poduzetnika</w:t>
      </w:r>
      <w:r w:rsidR="00EB1E8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RH</w:t>
      </w:r>
      <w:r w:rsidRPr="00261800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). Iza Zagreba, po brojnosti poduzetnika, zaposlenih, ukupnom prihodu, dobiti razdoblja i konsolidiranom financijskom rezultatu (neto dobiti), su Split i Rijeka.</w:t>
      </w:r>
      <w:r w:rsidR="00EB1E85" w:rsidRPr="00EB1E85">
        <w:t xml:space="preserve"> </w:t>
      </w:r>
    </w:p>
    <w:p w:rsidR="00967F46" w:rsidRPr="00C329F5" w:rsidRDefault="007B5184" w:rsidP="00255BDC">
      <w:pPr>
        <w:widowControl w:val="0"/>
        <w:tabs>
          <w:tab w:val="left" w:pos="0"/>
        </w:tabs>
        <w:spacing w:before="120" w:after="0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u w:val="single"/>
          <w:lang w:eastAsia="hr-HR"/>
        </w:rPr>
      </w:pP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Dobrim rezultatima 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poduzetnika sa sjedištem u Zagrebu </w:t>
      </w:r>
      <w:r w:rsidR="00B15A72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najviše je doprinijela </w:t>
      </w:r>
      <w:hyperlink r:id="rId8" w:history="1">
        <w:r w:rsidR="00F46CD2" w:rsidRPr="008538B6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INA d.d.</w:t>
        </w:r>
      </w:hyperlink>
      <w:r w:rsidR="00F46CD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 Splitu </w:t>
      </w:r>
      <w:hyperlink r:id="rId9" w:history="1">
        <w:r w:rsidR="00F46CD2" w:rsidRPr="008538B6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TOMMY</w:t>
        </w:r>
        <w:r w:rsidR="00C329F5" w:rsidRPr="008538B6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 xml:space="preserve"> d.o.o.</w:t>
        </w:r>
      </w:hyperlink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u Rijeci </w:t>
      </w:r>
      <w:hyperlink r:id="rId10" w:history="1">
        <w:r w:rsidR="00C329F5" w:rsidRPr="008538B6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PLODINE d.d.</w:t>
        </w:r>
      </w:hyperlink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u </w:t>
      </w:r>
      <w:r w:rsidR="00967F46" w:rsidRP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Poreču </w:t>
      </w:r>
      <w:hyperlink r:id="rId11" w:history="1">
        <w:r w:rsidR="00B15A72" w:rsidRPr="00B15A72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PLAVA LAGUNA d.d</w:t>
        </w:r>
      </w:hyperlink>
      <w:r w:rsidR="00B15A72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.,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u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Karlovc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hyperlink r:id="rId12" w:history="1">
        <w:r w:rsidRPr="00B15A72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HS PRODUKT</w:t>
        </w:r>
      </w:hyperlink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d.o.o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</w:t>
      </w:r>
      <w:r w:rsidR="00967F46">
        <w:rPr>
          <w:rStyle w:val="Referencafusnote"/>
          <w:rFonts w:ascii="Arial" w:eastAsia="Times New Roman" w:hAnsi="Arial" w:cs="Times New Roman"/>
          <w:color w:val="17365D"/>
          <w:sz w:val="20"/>
          <w:szCs w:val="20"/>
          <w:lang w:eastAsia="hr-HR"/>
        </w:rPr>
        <w:footnoteReference w:id="1"/>
      </w:r>
      <w:bookmarkStart w:id="3" w:name="_GoBack"/>
      <w:bookmarkEnd w:id="3"/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="00C329F5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="00261800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Velik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oj</w:t>
      </w:r>
      <w:r w:rsidR="00261800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Goric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i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hyperlink r:id="rId13" w:history="1">
        <w:r w:rsidR="00B15A72" w:rsidRPr="00B15A72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 xml:space="preserve">LIDL HRVATSKA </w:t>
        </w:r>
        <w:r w:rsidR="00472594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 xml:space="preserve">d.o.o. </w:t>
        </w:r>
        <w:r w:rsidR="00B15A72" w:rsidRPr="00B15A72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k.d</w:t>
        </w:r>
      </w:hyperlink>
      <w:r w:rsidR="00B15A72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., 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="00261800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Dubrovnik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u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hyperlink r:id="rId14" w:history="1">
        <w:r w:rsidR="00B15A72" w:rsidRPr="00B15A72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JADRANSKI LUKSUZNI HOTELI d.o.o.</w:t>
        </w:r>
      </w:hyperlink>
      <w:r w:rsidR="003A34AD">
        <w:rPr>
          <w:rStyle w:val="Hiperveza"/>
          <w:rFonts w:ascii="Arial" w:eastAsia="Times New Roman" w:hAnsi="Arial" w:cs="Times New Roman"/>
          <w:sz w:val="20"/>
          <w:szCs w:val="20"/>
          <w:lang w:eastAsia="hr-HR"/>
        </w:rPr>
        <w:t>,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="00261800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Našica</w:t>
      </w:r>
      <w:r w:rsid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ma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hyperlink r:id="rId15" w:history="1">
        <w:r w:rsidR="00B15A72" w:rsidRPr="00472594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NEXE GRUPA d.d.</w:t>
        </w:r>
      </w:hyperlink>
      <w:r w:rsidR="00967F46">
        <w:rPr>
          <w:rStyle w:val="Hiperveza"/>
          <w:rFonts w:ascii="Arial" w:eastAsia="Times New Roman" w:hAnsi="Arial" w:cs="Times New Roman"/>
          <w:sz w:val="20"/>
          <w:szCs w:val="20"/>
          <w:lang w:eastAsia="hr-HR"/>
        </w:rPr>
        <w:t>,</w:t>
      </w:r>
      <w:r w:rsidR="00967F46">
        <w:rPr>
          <w:rFonts w:ascii="Arial" w:eastAsia="Times New Roman" w:hAnsi="Arial" w:cs="Times New Roman"/>
          <w:color w:val="0000FF" w:themeColor="hyperlink"/>
          <w:sz w:val="20"/>
          <w:szCs w:val="20"/>
          <w:u w:val="single"/>
          <w:lang w:eastAsia="hr-HR"/>
        </w:rPr>
        <w:t xml:space="preserve"> </w:t>
      </w:r>
      <w:r w:rsidR="00967F46" w:rsidRPr="00967F46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u </w:t>
      </w:r>
      <w:r w:rsidR="00967F46" w:rsidRPr="00ED3A10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Rovinju</w:t>
      </w:r>
      <w:r w:rsidR="00C329F5" w:rsidRPr="00ED3A1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16" w:history="1">
        <w:r w:rsidR="00ED3A10" w:rsidRPr="008538B6">
          <w:rPr>
            <w:rStyle w:val="Hiperveza"/>
            <w:rFonts w:ascii="Arial" w:hAnsi="Arial" w:cs="Arial"/>
            <w:sz w:val="20"/>
            <w:szCs w:val="20"/>
          </w:rPr>
          <w:t xml:space="preserve">MAISTRA </w:t>
        </w:r>
        <w:r w:rsidR="00C329F5" w:rsidRPr="008538B6">
          <w:rPr>
            <w:rStyle w:val="Hiperveza"/>
            <w:rFonts w:ascii="Arial" w:hAnsi="Arial" w:cs="Arial"/>
            <w:sz w:val="20"/>
            <w:szCs w:val="20"/>
          </w:rPr>
          <w:t>d.</w:t>
        </w:r>
        <w:r w:rsidR="00ED3A10" w:rsidRPr="008538B6">
          <w:rPr>
            <w:rStyle w:val="Hiperveza"/>
            <w:rFonts w:ascii="Arial" w:hAnsi="Arial" w:cs="Arial"/>
            <w:sz w:val="20"/>
            <w:szCs w:val="20"/>
          </w:rPr>
          <w:t>d.</w:t>
        </w:r>
      </w:hyperlink>
      <w:r w:rsidR="00ED3A10" w:rsidRPr="00ED3A10">
        <w:t xml:space="preserve"> </w:t>
      </w:r>
      <w:r w:rsidR="00ED3A10">
        <w:rPr>
          <w:color w:val="244061" w:themeColor="accent1" w:themeShade="80"/>
          <w:sz w:val="20"/>
          <w:szCs w:val="20"/>
        </w:rPr>
        <w:t xml:space="preserve">i </w:t>
      </w:r>
      <w:r w:rsidR="00967F46" w:rsidRPr="00C329F5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u Vukovaru</w:t>
      </w:r>
      <w:r w:rsidR="00ED3A10" w:rsidRPr="00ED3A10">
        <w:t xml:space="preserve"> </w:t>
      </w:r>
      <w:hyperlink r:id="rId17" w:history="1">
        <w:r w:rsidR="00ED3A10" w:rsidRPr="008538B6">
          <w:rPr>
            <w:rStyle w:val="Hiperveza"/>
            <w:rFonts w:ascii="Arial" w:eastAsia="Times New Roman" w:hAnsi="Arial" w:cs="Times New Roman"/>
            <w:sz w:val="20"/>
            <w:szCs w:val="20"/>
            <w:lang w:eastAsia="hr-HR"/>
          </w:rPr>
          <w:t>ENERGIA NATURALIS d.o.o.</w:t>
        </w:r>
      </w:hyperlink>
    </w:p>
    <w:p w:rsidR="007B5184" w:rsidRPr="006D3908" w:rsidRDefault="007B5184" w:rsidP="00964A0D">
      <w:pPr>
        <w:widowControl w:val="0"/>
        <w:tabs>
          <w:tab w:val="left" w:pos="993"/>
        </w:tabs>
        <w:spacing w:before="180" w:after="40" w:line="240" w:lineRule="auto"/>
        <w:ind w:left="1134" w:hanging="1134"/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</w:pPr>
      <w:r w:rsidRPr="003F58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Grafikon </w:t>
      </w:r>
      <w:r w:rsidR="00555C3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</w:t>
      </w:r>
      <w:r w:rsidRPr="003F58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ab/>
        <w:t>Udio poduzetnika u TOP 10 gradova po</w:t>
      </w:r>
      <w:r w:rsidR="00F46CD2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 neto dobiti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 poduzetnika </w:t>
      </w:r>
      <w:r w:rsidR="00F46CD2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u rezultatima poduzetnika u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 RH u 2018. g</w:t>
      </w:r>
      <w:r w:rsidR="00F46CD2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.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 </w:t>
      </w:r>
    </w:p>
    <w:p w:rsidR="007B5184" w:rsidRPr="006D3908" w:rsidRDefault="00555C3B" w:rsidP="00967F46">
      <w:pPr>
        <w:widowControl w:val="0"/>
        <w:tabs>
          <w:tab w:val="left" w:pos="1134"/>
        </w:tabs>
        <w:spacing w:after="0" w:line="240" w:lineRule="auto"/>
        <w:ind w:left="1134" w:hanging="1134"/>
        <w:jc w:val="center"/>
        <w:rPr>
          <w:rFonts w:ascii="Arial" w:eastAsia="Times New Roman" w:hAnsi="Arial" w:cs="Times New Roman"/>
          <w:color w:val="003366"/>
          <w:sz w:val="18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0D78F613" wp14:editId="7484E222">
            <wp:extent cx="6273579" cy="2218414"/>
            <wp:effectExtent l="0" t="19050" r="13335" b="1079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04F20" w:rsidRPr="007B5184" w:rsidRDefault="007B5184" w:rsidP="00C329F5">
      <w:pPr>
        <w:spacing w:before="40" w:after="0"/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  <w:t>Izvor: Fina, Registar godišnjih financijskih izvještaja</w:t>
      </w:r>
    </w:p>
    <w:sectPr w:rsidR="00D04F20" w:rsidRPr="007B5184" w:rsidSect="00964A0D">
      <w:headerReference w:type="default" r:id="rId19"/>
      <w:pgSz w:w="11906" w:h="16838"/>
      <w:pgMar w:top="1021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71" w:rsidRDefault="00DA5371" w:rsidP="007B5184">
      <w:pPr>
        <w:spacing w:after="0" w:line="240" w:lineRule="auto"/>
      </w:pPr>
      <w:r>
        <w:separator/>
      </w:r>
    </w:p>
  </w:endnote>
  <w:endnote w:type="continuationSeparator" w:id="0">
    <w:p w:rsidR="00DA5371" w:rsidRDefault="00DA5371" w:rsidP="007B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71" w:rsidRDefault="00DA5371" w:rsidP="007B5184">
      <w:pPr>
        <w:spacing w:after="0" w:line="240" w:lineRule="auto"/>
      </w:pPr>
      <w:r>
        <w:separator/>
      </w:r>
    </w:p>
  </w:footnote>
  <w:footnote w:type="continuationSeparator" w:id="0">
    <w:p w:rsidR="00DA5371" w:rsidRDefault="00DA5371" w:rsidP="007B5184">
      <w:pPr>
        <w:spacing w:after="0" w:line="240" w:lineRule="auto"/>
      </w:pPr>
      <w:r>
        <w:continuationSeparator/>
      </w:r>
    </w:p>
  </w:footnote>
  <w:footnote w:id="1">
    <w:p w:rsidR="00967F46" w:rsidRPr="00967F46" w:rsidRDefault="00967F46">
      <w:pPr>
        <w:pStyle w:val="Tekstfusnote"/>
        <w:rPr>
          <w:rFonts w:ascii="Arial" w:hAnsi="Arial" w:cs="Arial"/>
          <w:i/>
          <w:color w:val="244061" w:themeColor="accent1" w:themeShade="80"/>
          <w:sz w:val="17"/>
          <w:szCs w:val="17"/>
        </w:rPr>
      </w:pPr>
      <w:r w:rsidRPr="00967F46">
        <w:rPr>
          <w:rStyle w:val="Referencafusnote"/>
          <w:rFonts w:ascii="Arial" w:hAnsi="Arial" w:cs="Arial"/>
          <w:i/>
          <w:color w:val="244061" w:themeColor="accent1" w:themeShade="80"/>
          <w:sz w:val="17"/>
          <w:szCs w:val="17"/>
        </w:rPr>
        <w:footnoteRef/>
      </w:r>
      <w:r w:rsidRPr="00967F46">
        <w:rPr>
          <w:rFonts w:ascii="Arial" w:hAnsi="Arial" w:cs="Arial"/>
          <w:i/>
          <w:color w:val="244061" w:themeColor="accent1" w:themeShade="80"/>
          <w:sz w:val="17"/>
          <w:szCs w:val="17"/>
        </w:rPr>
        <w:t xml:space="preserve"> Dobitnik nagrade Zlatna bilanca za 2015., 2017. i 2018 godinu, na razini prerađivačke industrije i sveukupni pobjednik.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184" w:rsidRDefault="007B5184">
    <w:pPr>
      <w:pStyle w:val="Zaglavlje"/>
    </w:pPr>
    <w:r w:rsidRPr="007B5184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1CBBA606" wp14:editId="65DD0613">
          <wp:simplePos x="0" y="0"/>
          <wp:positionH relativeFrom="column">
            <wp:posOffset>41827</wp:posOffset>
          </wp:positionH>
          <wp:positionV relativeFrom="paragraph">
            <wp:posOffset>-69794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84"/>
    <w:rsid w:val="001A0B8F"/>
    <w:rsid w:val="0025451C"/>
    <w:rsid w:val="00255BDC"/>
    <w:rsid w:val="00261800"/>
    <w:rsid w:val="002D472A"/>
    <w:rsid w:val="00335025"/>
    <w:rsid w:val="003734D1"/>
    <w:rsid w:val="003A34AD"/>
    <w:rsid w:val="003F5855"/>
    <w:rsid w:val="004021C7"/>
    <w:rsid w:val="00472594"/>
    <w:rsid w:val="004B7E4B"/>
    <w:rsid w:val="00516CF5"/>
    <w:rsid w:val="005214FB"/>
    <w:rsid w:val="00555C3B"/>
    <w:rsid w:val="005652FA"/>
    <w:rsid w:val="00593A40"/>
    <w:rsid w:val="005D2388"/>
    <w:rsid w:val="005E5737"/>
    <w:rsid w:val="00662060"/>
    <w:rsid w:val="006707ED"/>
    <w:rsid w:val="006B3C62"/>
    <w:rsid w:val="007B5184"/>
    <w:rsid w:val="008538B6"/>
    <w:rsid w:val="008A4FEC"/>
    <w:rsid w:val="00905843"/>
    <w:rsid w:val="00927634"/>
    <w:rsid w:val="00964A0D"/>
    <w:rsid w:val="00967F46"/>
    <w:rsid w:val="009855A6"/>
    <w:rsid w:val="009A1DAD"/>
    <w:rsid w:val="009C6DC0"/>
    <w:rsid w:val="00A3152B"/>
    <w:rsid w:val="00AD33CD"/>
    <w:rsid w:val="00B14672"/>
    <w:rsid w:val="00B15A72"/>
    <w:rsid w:val="00BC0C94"/>
    <w:rsid w:val="00C329F5"/>
    <w:rsid w:val="00D04F20"/>
    <w:rsid w:val="00D349D6"/>
    <w:rsid w:val="00DA5371"/>
    <w:rsid w:val="00DE2299"/>
    <w:rsid w:val="00E35AFE"/>
    <w:rsid w:val="00E74F0C"/>
    <w:rsid w:val="00EB1E85"/>
    <w:rsid w:val="00ED3A10"/>
    <w:rsid w:val="00F46CD2"/>
    <w:rsid w:val="00FC60A9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1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18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5184"/>
  </w:style>
  <w:style w:type="paragraph" w:styleId="Podnoje">
    <w:name w:val="footer"/>
    <w:basedOn w:val="Normal"/>
    <w:link w:val="Podno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184"/>
  </w:style>
  <w:style w:type="character" w:styleId="Hiperveza">
    <w:name w:val="Hyperlink"/>
    <w:basedOn w:val="Zadanifontodlomka"/>
    <w:uiPriority w:val="99"/>
    <w:unhideWhenUsed/>
    <w:rsid w:val="00B15A7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1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18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5184"/>
  </w:style>
  <w:style w:type="paragraph" w:styleId="Podnoje">
    <w:name w:val="footer"/>
    <w:basedOn w:val="Normal"/>
    <w:link w:val="Podno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184"/>
  </w:style>
  <w:style w:type="character" w:styleId="Hiperveza">
    <w:name w:val="Hyperlink"/>
    <w:basedOn w:val="Zadanifontodlomka"/>
    <w:uiPriority w:val="99"/>
    <w:unhideWhenUsed/>
    <w:rsid w:val="00B15A7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27759560625/69fb3fbe04b43506741706ca50fa66ded8d7217ac24167c7630a8375e9bd84fb71ed529892e92b86727dd54542730bf9e3d632c72f50f8a590e79f2f2422b06a" TargetMode="External"/><Relationship Id="rId13" Type="http://schemas.openxmlformats.org/officeDocument/2006/relationships/hyperlink" Target="https://www.transparentno.hr/pregled/66089976432/c9def4bd2f09ab2e5ba25e2347c1d5899b17eb868653af2cd225a1dbb16f41596eab3cf3acc72d47c37c34cb329d8c7f4897e858be79d15d2faec8ce1f90b561" TargetMode="External"/><Relationship Id="rId18" Type="http://schemas.openxmlformats.org/officeDocument/2006/relationships/chart" Target="charts/chart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99175363728/8354c0dd68303303240f3fe3e7976c32fb031c7a1c511e0cab66cac156e14e11ed8e66abc259ee66e18157a4e73f9022cb69454428077f34b14c9318f687be89" TargetMode="External"/><Relationship Id="rId17" Type="http://schemas.openxmlformats.org/officeDocument/2006/relationships/hyperlink" Target="https://www.transparentno.hr/pregled/65900776536/5f9fcee422d90a17efbf53491f6b0b8038c0caa0b5ce5b264340d0f49fde7096b8dba6fe327fe6022733315e33c0e3f156667805b579a6796802bcd90b89b0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5190869349/2e0b28682e69fb99dacfbd96cbb52411fa4722aef8edc12d9c0812342f6e03b8e3dc5e8e461a52d72e184a4c8935e0f7e391caf548b2f8649f792f24395b165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57444289760/d445a0e435f3d89a6a70c295e213c043d9b5e267420b4d57e36747cf91b0a4985c75d24fd715d92b7248250bd85e3e154fa98fc9d20c6951161aa01396c18b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46078374806/bbed6c49888f6f450fb7186dbd2eb947c89c9c1cc1bfc8304ad73960c65de15910fb1d76c5d9998ee1b6436ee5c795b93083e5fb44d0327de43e46398489c74d" TargetMode="External"/><Relationship Id="rId10" Type="http://schemas.openxmlformats.org/officeDocument/2006/relationships/hyperlink" Target="https://www.transparentno.hr/pregled/92510683607/e62b5d0f2a4f09e1f785ad929b18e83d06a3af046b3d7d597d7b30938a3d569dea7324df64cfa86b238c1744c25db0536f3367974be589824469535f0106cf6d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00278260010/531176d63ecc8c34ab3dca0155ff8c88f2d4ff8a42bf79f896d15d0f79d248d0100cfe0c7ecea372758634e309bebc292140ae47db3a502afaff7ef044b90291" TargetMode="External"/><Relationship Id="rId14" Type="http://schemas.openxmlformats.org/officeDocument/2006/relationships/hyperlink" Target="https://www.transparentno.hr/pregled/22797775374/d19b26d11ef0483f558c5c70154295caef7719ccf5b2184ed0bd982977342b204a60013d4932527c9ffef5cee24964fe43060c891017c8a30140e53bf88809f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40"/>
      <c:rAngAx val="1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  <c:spPr>
        <a:solidFill>
          <a:schemeClr val="tx2">
            <a:lumMod val="20000"/>
            <a:lumOff val="80000"/>
          </a:schemeClr>
        </a:solidFill>
        <a:ln>
          <a:noFill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>
          <a:noFill/>
        </a:ln>
      </c:spPr>
    </c:backWall>
    <c:plotArea>
      <c:layout>
        <c:manualLayout>
          <c:layoutTarget val="inner"/>
          <c:xMode val="edge"/>
          <c:yMode val="edge"/>
          <c:x val="0.19924839743589742"/>
          <c:y val="2.5793650793650793E-3"/>
          <c:w val="0.76103026170964627"/>
          <c:h val="0.82219189342403631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Grafikon!$A$12</c:f>
              <c:strCache>
                <c:ptCount val="1"/>
                <c:pt idx="0">
                  <c:v>10 naj gradova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3084585577791996E-17"/>
                  <c:y val="-5.52901579600635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9932389961043948E-3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1.1058031592012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chemeClr val="bg1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Grafikon!$B$11:$F$11</c:f>
              <c:strCache>
                <c:ptCount val="5"/>
                <c:pt idx="0">
                  <c:v>Gubitak razdoblja</c:v>
                </c:pt>
                <c:pt idx="1">
                  <c:v>Dobit razdoblja</c:v>
                </c:pt>
                <c:pt idx="2">
                  <c:v>Ukupan prihod</c:v>
                </c:pt>
                <c:pt idx="3">
                  <c:v>Broj zaposlenih</c:v>
                </c:pt>
                <c:pt idx="4">
                  <c:v>Broj poduzetnika</c:v>
                </c:pt>
              </c:strCache>
            </c:strRef>
          </c:cat>
          <c:val>
            <c:numRef>
              <c:f>Grafikon!$B$12:$F$12</c:f>
              <c:numCache>
                <c:formatCode>0.0%</c:formatCode>
                <c:ptCount val="5"/>
                <c:pt idx="0">
                  <c:v>0.55200000000000005</c:v>
                </c:pt>
                <c:pt idx="1">
                  <c:v>0.66900000000000004</c:v>
                </c:pt>
                <c:pt idx="2">
                  <c:v>0.626</c:v>
                </c:pt>
                <c:pt idx="3">
                  <c:v>0.52100000000000002</c:v>
                </c:pt>
                <c:pt idx="4">
                  <c:v>0.49299999999999999</c:v>
                </c:pt>
              </c:numCache>
            </c:numRef>
          </c:val>
        </c:ser>
        <c:ser>
          <c:idx val="1"/>
          <c:order val="1"/>
          <c:tx>
            <c:strRef>
              <c:f>Grafikon!$A$13</c:f>
              <c:strCache>
                <c:ptCount val="1"/>
                <c:pt idx="0">
                  <c:v>Ostali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4616917115558399E-16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4616917115558399E-16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1058031592012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1.1058031592012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932389961043948E-3"/>
                  <c:y val="-1.1058031592012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chemeClr val="tx2">
                        <a:lumMod val="75000"/>
                      </a:schemeClr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Grafikon!$B$11:$F$11</c:f>
              <c:strCache>
                <c:ptCount val="5"/>
                <c:pt idx="0">
                  <c:v>Gubitak razdoblja</c:v>
                </c:pt>
                <c:pt idx="1">
                  <c:v>Dobit razdoblja</c:v>
                </c:pt>
                <c:pt idx="2">
                  <c:v>Ukupan prihod</c:v>
                </c:pt>
                <c:pt idx="3">
                  <c:v>Broj zaposlenih</c:v>
                </c:pt>
                <c:pt idx="4">
                  <c:v>Broj poduzetnika</c:v>
                </c:pt>
              </c:strCache>
            </c:strRef>
          </c:cat>
          <c:val>
            <c:numRef>
              <c:f>Grafikon!$B$13:$F$13</c:f>
              <c:numCache>
                <c:formatCode>0.0%</c:formatCode>
                <c:ptCount val="5"/>
                <c:pt idx="0">
                  <c:v>0.44800000000000001</c:v>
                </c:pt>
                <c:pt idx="1">
                  <c:v>0.33100000000000002</c:v>
                </c:pt>
                <c:pt idx="2">
                  <c:v>0.374</c:v>
                </c:pt>
                <c:pt idx="3">
                  <c:v>0.47899999999999998</c:v>
                </c:pt>
                <c:pt idx="4">
                  <c:v>0.50700000000000001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4787072"/>
        <c:axId val="51164224"/>
        <c:axId val="0"/>
      </c:bar3DChart>
      <c:catAx>
        <c:axId val="547870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chemeClr val="tx2">
                    <a:lumMod val="7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51164224"/>
        <c:crosses val="autoZero"/>
        <c:auto val="1"/>
        <c:lblAlgn val="ctr"/>
        <c:lblOffset val="100"/>
        <c:noMultiLvlLbl val="0"/>
      </c:catAx>
      <c:valAx>
        <c:axId val="5116422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chemeClr val="tx2">
                    <a:lumMod val="7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54787072"/>
        <c:crosses val="autoZero"/>
        <c:crossBetween val="between"/>
        <c:majorUnit val="0.2"/>
        <c:minorUnit val="0.2"/>
      </c:valAx>
    </c:plotArea>
    <c:legend>
      <c:legendPos val="r"/>
      <c:layout>
        <c:manualLayout>
          <c:xMode val="edge"/>
          <c:yMode val="edge"/>
          <c:x val="0.12135306516227068"/>
          <c:y val="0.91437872597221426"/>
          <c:w val="0.81008266156883191"/>
          <c:h val="5.8748883187995371E-2"/>
        </c:manualLayout>
      </c:layout>
      <c:overlay val="0"/>
      <c:txPr>
        <a:bodyPr/>
        <a:lstStyle/>
        <a:p>
          <a:pPr>
            <a:defRPr sz="1000" b="0">
              <a:solidFill>
                <a:schemeClr val="tx2">
                  <a:lumMod val="7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tx2">
        <a:lumMod val="20000"/>
        <a:lumOff val="80000"/>
      </a:schemeClr>
    </a:solidFill>
    <a:ln>
      <a:solidFill>
        <a:schemeClr val="bg1">
          <a:lumMod val="6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03E0-F299-431A-B187-BC53043A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Vesna Kavur</cp:lastModifiedBy>
  <cp:revision>2</cp:revision>
  <dcterms:created xsi:type="dcterms:W3CDTF">2019-09-17T10:31:00Z</dcterms:created>
  <dcterms:modified xsi:type="dcterms:W3CDTF">2019-09-17T10:31:00Z</dcterms:modified>
</cp:coreProperties>
</file>