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7" w:rsidRDefault="00AC3545" w:rsidP="004036B2">
      <w:pPr>
        <w:spacing w:before="60"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8316EB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REZULTATI POSLOVANJA PODUZETNIKA 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U </w:t>
      </w:r>
      <w:r w:rsidRPr="008316EB">
        <w:rPr>
          <w:rFonts w:ascii="Arial" w:hAnsi="Arial" w:cs="Arial"/>
          <w:b/>
          <w:color w:val="17365D" w:themeColor="text2" w:themeShade="BF"/>
          <w:sz w:val="20"/>
          <w:szCs w:val="20"/>
        </w:rPr>
        <w:t>ZAŠTITNI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</w:t>
      </w:r>
      <w:r w:rsidRPr="008316EB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I ISTRAŽNI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</w:t>
      </w:r>
      <w:r w:rsidRPr="008316EB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DJELATNOSTI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MA</w:t>
      </w:r>
      <w:bookmarkStart w:id="0" w:name="_GoBack"/>
      <w:bookmarkEnd w:id="0"/>
    </w:p>
    <w:p w:rsidR="0044344C" w:rsidRDefault="0044344C" w:rsidP="00CF1377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001500" w:rsidRPr="00FE0655">
        <w:rPr>
          <w:rFonts w:ascii="Arial" w:hAnsi="Arial" w:cs="Arial"/>
          <w:color w:val="17365D" w:themeColor="text2" w:themeShade="BF"/>
          <w:sz w:val="20"/>
          <w:szCs w:val="20"/>
        </w:rPr>
        <w:t>odjeljku</w:t>
      </w:r>
      <w:r w:rsidR="00887F22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80 – Zaštitne i istražne djelatnosti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poslovalo je 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174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12.031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u odnosu na prethodnu godinu 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smanjenje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broja zaposlenih za </w:t>
      </w:r>
      <w:r w:rsidR="0032451E" w:rsidRPr="00FE0655">
        <w:rPr>
          <w:rFonts w:ascii="Arial" w:hAnsi="Arial" w:cs="Arial"/>
          <w:color w:val="17365D" w:themeColor="text2" w:themeShade="BF"/>
          <w:sz w:val="20"/>
          <w:szCs w:val="20"/>
        </w:rPr>
        <w:t>9,5</w:t>
      </w:r>
      <w:r w:rsidR="00873DE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>%. Navedena skupina poduzetnika u promatranom je razdoblju ostva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rila ukupne prihode u iznosu od gotovo 1,5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87F22" w:rsidRPr="00FE0655">
        <w:rPr>
          <w:rFonts w:ascii="Arial" w:hAnsi="Arial" w:cs="Arial"/>
          <w:color w:val="17365D" w:themeColor="text2" w:themeShade="BF"/>
          <w:sz w:val="20"/>
          <w:szCs w:val="20"/>
        </w:rPr>
        <w:t>milijard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kuna te ukupne rashode od 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1,5</w:t>
      </w:r>
      <w:r w:rsidR="00887F22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D45A79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dobit razdoblja od 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106,2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134,6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A14692" w:rsidRPr="00FE0655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kuna gubitka razdoblja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>, što je rezultiralo ostvareno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m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neto 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gubitku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od </w:t>
      </w:r>
      <w:r w:rsidR="0099531F" w:rsidRPr="00FE0655">
        <w:rPr>
          <w:rFonts w:ascii="Arial" w:hAnsi="Arial" w:cs="Arial"/>
          <w:color w:val="17365D" w:themeColor="text2" w:themeShade="BF"/>
          <w:sz w:val="20"/>
          <w:szCs w:val="20"/>
        </w:rPr>
        <w:t>28,4</w:t>
      </w:r>
      <w:r w:rsidR="00C01045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</w:t>
      </w:r>
      <w:r w:rsidR="00E25A7D" w:rsidRPr="00FE065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25A7D" w:rsidRPr="009562D0">
        <w:rPr>
          <w:rFonts w:ascii="Arial" w:hAnsi="Arial" w:cs="Arial"/>
          <w:color w:val="17365D" w:themeColor="text2" w:themeShade="BF"/>
          <w:sz w:val="20"/>
          <w:szCs w:val="20"/>
        </w:rPr>
        <w:t>kuna</w:t>
      </w:r>
      <w:r w:rsidR="00C01045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>U odnosu na 201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. godinu, ukupni prihodi povećani su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za 12,2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%, ukupni rashodi</w:t>
      </w:r>
      <w:r w:rsidR="00C01045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za 20,3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%, dobit razdoblja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za 26,6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%,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dok je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gubitak razdoblja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devet puta </w:t>
      </w:r>
      <w:r w:rsidR="009562D0" w:rsidRPr="009562D0">
        <w:rPr>
          <w:rFonts w:ascii="Arial" w:hAnsi="Arial" w:cs="Arial"/>
          <w:color w:val="17365D" w:themeColor="text2" w:themeShade="BF"/>
          <w:sz w:val="20"/>
          <w:szCs w:val="20"/>
        </w:rPr>
        <w:t>veći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u odnosu na prethodnu godinu kada je iznosio 14,9 milijuna kuna.</w:t>
      </w:r>
      <w:r w:rsidR="00C01045"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Od ukupnog broja poduzetnika u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zaštitnim i istražnim djelatnostima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, s dobitkom je poslovalo njih </w:t>
      </w:r>
      <w:r w:rsidR="0099531F" w:rsidRPr="009562D0">
        <w:rPr>
          <w:rFonts w:ascii="Arial" w:hAnsi="Arial" w:cs="Arial"/>
          <w:color w:val="17365D" w:themeColor="text2" w:themeShade="BF"/>
          <w:sz w:val="20"/>
          <w:szCs w:val="20"/>
        </w:rPr>
        <w:t>75,3</w:t>
      </w:r>
      <w:r w:rsidRPr="009562D0">
        <w:rPr>
          <w:rFonts w:ascii="Arial" w:hAnsi="Arial" w:cs="Arial"/>
          <w:color w:val="17365D" w:themeColor="text2" w:themeShade="BF"/>
          <w:sz w:val="20"/>
          <w:szCs w:val="20"/>
        </w:rPr>
        <w:t xml:space="preserve"> %.</w:t>
      </w:r>
    </w:p>
    <w:p w:rsidR="00873DE3" w:rsidRDefault="004036B2" w:rsidP="005C1A65">
      <w:pPr>
        <w:widowControl w:val="0"/>
        <w:tabs>
          <w:tab w:val="left" w:pos="7513"/>
          <w:tab w:val="right" w:pos="9781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6C58B4" w:rsidRPr="00A93F52">
        <w:rPr>
          <w:rFonts w:ascii="Arial" w:hAnsi="Arial" w:cs="Arial"/>
          <w:color w:val="17365D" w:themeColor="text2" w:themeShade="BF"/>
          <w:sz w:val="20"/>
          <w:szCs w:val="20"/>
        </w:rPr>
        <w:t xml:space="preserve">rosječna mjesečna neto plaća iznosila je 3.958 kuna i bila je za 23,5 % veća u odnosu na </w:t>
      </w:r>
      <w:r w:rsidR="00873DE3">
        <w:rPr>
          <w:rFonts w:ascii="Arial" w:hAnsi="Arial" w:cs="Arial"/>
          <w:color w:val="17365D" w:themeColor="text2" w:themeShade="BF"/>
          <w:sz w:val="20"/>
          <w:szCs w:val="20"/>
        </w:rPr>
        <w:t>2017.</w:t>
      </w:r>
      <w:r w:rsidR="006C58B4" w:rsidRPr="00A93F52">
        <w:rPr>
          <w:rFonts w:ascii="Arial" w:hAnsi="Arial" w:cs="Arial"/>
          <w:color w:val="17365D" w:themeColor="text2" w:themeShade="BF"/>
          <w:sz w:val="20"/>
          <w:szCs w:val="20"/>
        </w:rPr>
        <w:t xml:space="preserve"> godinu te </w:t>
      </w:r>
      <w:proofErr w:type="spellStart"/>
      <w:r w:rsidR="006C58B4" w:rsidRPr="00A93F52">
        <w:rPr>
          <w:rFonts w:ascii="Arial" w:hAnsi="Arial" w:cs="Arial"/>
          <w:color w:val="17365D" w:themeColor="text2" w:themeShade="BF"/>
          <w:sz w:val="20"/>
          <w:szCs w:val="20"/>
        </w:rPr>
        <w:t>29</w:t>
      </w:r>
      <w:proofErr w:type="spellEnd"/>
      <w:r w:rsidR="006C58B4" w:rsidRPr="00A93F52">
        <w:rPr>
          <w:rFonts w:ascii="Arial" w:hAnsi="Arial" w:cs="Arial"/>
          <w:color w:val="17365D" w:themeColor="text2" w:themeShade="BF"/>
          <w:sz w:val="20"/>
          <w:szCs w:val="20"/>
        </w:rPr>
        <w:t xml:space="preserve">,1 % manja od prosječne mjesečne neto plaće zaposlenih kod poduzetnika na razini RH (5.584 kune). </w:t>
      </w:r>
    </w:p>
    <w:p w:rsidR="006C58B4" w:rsidRPr="0044344C" w:rsidRDefault="006C58B4" w:rsidP="005C1A65">
      <w:pPr>
        <w:widowControl w:val="0"/>
        <w:tabs>
          <w:tab w:val="left" w:pos="7513"/>
          <w:tab w:val="right" w:pos="9781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A93F52">
        <w:rPr>
          <w:rFonts w:ascii="Arial" w:hAnsi="Arial" w:cs="Arial"/>
          <w:color w:val="17365D" w:themeColor="text2" w:themeShade="BF"/>
          <w:sz w:val="20"/>
          <w:szCs w:val="20"/>
        </w:rPr>
        <w:t>Bruto investicije samo u novu dugotrajnu imovinu u 2018. godini iznosile su 21,0 milijun kuna, dok su u 2017. godini iste iznosile 11,5 milijuna kuna.</w:t>
      </w:r>
    </w:p>
    <w:p w:rsidR="007D2CBB" w:rsidRDefault="007D2CBB" w:rsidP="00873DE3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31157A"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Osnovni financijski rezultati poslovanja poduzetnika u odjeljku djelatnosti 80 – Zaštitne i istražne djelatnosti u 2018. godini</w:t>
      </w:r>
      <w:r w:rsidR="004E781A"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</w:t>
      </w:r>
      <w:r w:rsidR="006170B2"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                 </w:t>
      </w:r>
      <w:r w:rsidR="0031157A" w:rsidRPr="008316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</w:t>
      </w:r>
      <w:r w:rsidR="004E781A" w:rsidRPr="008316EB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4E781A" w:rsidRPr="008316EB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9742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1049"/>
        <w:gridCol w:w="964"/>
        <w:gridCol w:w="916"/>
        <w:gridCol w:w="916"/>
        <w:gridCol w:w="1182"/>
        <w:gridCol w:w="1030"/>
      </w:tblGrid>
      <w:tr w:rsidR="00873DE3" w:rsidRPr="008A0BC6" w:rsidTr="00451E63">
        <w:trPr>
          <w:trHeight w:val="397"/>
          <w:jc w:val="center"/>
        </w:trPr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Djelatnost</w:t>
            </w:r>
          </w:p>
        </w:tc>
        <w:tc>
          <w:tcPr>
            <w:tcW w:w="10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zaposlenih</w:t>
            </w:r>
          </w:p>
        </w:tc>
        <w:tc>
          <w:tcPr>
            <w:tcW w:w="9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73DE3" w:rsidP="00873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Ukupni p</w:t>
            </w:r>
            <w:r w:rsidR="008A0BC6"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rihodi</w:t>
            </w:r>
          </w:p>
        </w:tc>
        <w:tc>
          <w:tcPr>
            <w:tcW w:w="9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73DE3" w:rsidP="00873D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Ukupni r</w:t>
            </w:r>
            <w:r w:rsidR="008A0BC6"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ashodi</w:t>
            </w:r>
          </w:p>
        </w:tc>
        <w:tc>
          <w:tcPr>
            <w:tcW w:w="11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Konsolidirani </w:t>
            </w:r>
            <w:proofErr w:type="spellStart"/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finan</w:t>
            </w:r>
            <w:proofErr w:type="spellEnd"/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 rezultat</w:t>
            </w:r>
          </w:p>
        </w:tc>
        <w:tc>
          <w:tcPr>
            <w:tcW w:w="10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Pros. mjes. neto plaća</w:t>
            </w:r>
          </w:p>
        </w:tc>
      </w:tr>
      <w:tr w:rsidR="00873DE3" w:rsidRPr="008A0BC6" w:rsidTr="00873DE3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80.1 Djelatnosti privatne zaštite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11.891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1.429.477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1.444.199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-37.552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3.946</w:t>
            </w:r>
          </w:p>
        </w:tc>
      </w:tr>
      <w:tr w:rsidR="00873DE3" w:rsidRPr="008A0BC6" w:rsidTr="00873DE3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8A0BC6" w:rsidRPr="008A0BC6" w:rsidRDefault="008A0BC6" w:rsidP="00873DE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 xml:space="preserve">80.2 </w:t>
            </w:r>
            <w:proofErr w:type="spellStart"/>
            <w:r w:rsidRPr="008A0BC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Usl</w:t>
            </w:r>
            <w:proofErr w:type="spellEnd"/>
            <w:r w:rsidR="00873DE3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.</w:t>
            </w:r>
            <w:r w:rsidRPr="008A0BC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 xml:space="preserve"> zaštite uz pomoć sigurnosnih sustava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64.091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51.955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10.050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5.083</w:t>
            </w:r>
          </w:p>
        </w:tc>
      </w:tr>
      <w:tr w:rsidR="00873DE3" w:rsidRPr="008A0BC6" w:rsidTr="00873DE3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80.3 Istražne djelatnosti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5.039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-884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4.427</w:t>
            </w:r>
          </w:p>
        </w:tc>
      </w:tr>
      <w:tr w:rsidR="00873DE3" w:rsidRPr="008A0BC6" w:rsidTr="00873DE3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80 Zaštitne i istražne djelatnosti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12.031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1.497.814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1.501.193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-28.387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8A0BC6" w:rsidRPr="008A0BC6" w:rsidRDefault="008A0BC6" w:rsidP="008A0B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A0BC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3.958</w:t>
            </w:r>
          </w:p>
        </w:tc>
      </w:tr>
    </w:tbl>
    <w:p w:rsidR="00DA3E57" w:rsidRPr="002D3059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32451E" w:rsidRPr="0032451E" w:rsidRDefault="0032451E" w:rsidP="00873DE3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Usporedba rezultata poduzetnika u tri skupine djelatnosti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(tablica 1.)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pokazala je da su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na ukupne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financijsk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 rezultate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poduzetnika u zaštitnim i istražnim djelatnostima 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najviše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utjecali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poduzetnici u djelatnosti privatne zaštite (80.1), koji su ostvarili neto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gubitak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37,5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kuna, zapošljavali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98,8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radnika, ostvarili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95,4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ukupnih prihoda te </w:t>
      </w:r>
      <w:r w:rsidR="00FD699E"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96,2</w:t>
      </w:r>
      <w:r w:rsidRPr="00227214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ukupnih rashoda svih poduzetnika u zaštitnim i istražnim djelatnostima (NKD 80).</w:t>
      </w:r>
      <w:r w:rsidRPr="0032451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Najveću dobit razdoblja u ovoj skupini djelatnosti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a ujedno i na razini odjeljka djelatnosti, </w:t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ostvarilo je društvo </w:t>
      </w:r>
      <w:hyperlink r:id="rId9" w:history="1">
        <w:r w:rsidRPr="009C6F72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SOKOL d.o.o.</w:t>
        </w:r>
      </w:hyperlink>
      <w:r w:rsidR="000421DB" w:rsidRPr="00063A2D">
        <w:rPr>
          <w:rStyle w:val="Referencafusnot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1"/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 u iznosu od 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27,7</w:t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milijuna kuna, što je 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29,0</w:t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dobiti razdoblja svih 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136</w:t>
      </w:r>
      <w:r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poduzetnika skupine. </w:t>
      </w:r>
      <w:r w:rsidR="00980439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Na ostvaren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negativan rezultat poslovanja skupine </w:t>
      </w:r>
      <w:r w:rsidR="00980439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NKD 80.1</w:t>
      </w:r>
      <w:r w:rsidR="00980439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2018. godini</w:t>
      </w:r>
      <w:r w:rsidR="00FD699E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 pa tako i na ukupan rezultat poslovanja poduzetnika u zaštitnim i istražnim djelatnostima</w:t>
      </w:r>
      <w:r w:rsidR="00980439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uvelike je utjecalo društvo </w:t>
      </w:r>
      <w:hyperlink r:id="rId10" w:history="1">
        <w:r w:rsidR="00980439" w:rsidRPr="009C6F72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SOKOL MARIĆ d.o.o.</w:t>
        </w:r>
      </w:hyperlink>
      <w:r w:rsidR="00980439" w:rsidRPr="00063A2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koje je iskazalo neto gubitak u iznosu od 102,2 milijuna kuna, u odnosu na prethodnu godinu kada su iskazali neto dobit od 15,8 milijuna kuna. Društvo je u 2018. godini smanjilo broj zaposlenih za značajnih 84,7 % u odnosu na prethodnu poslovnu godinu.</w:t>
      </w:r>
    </w:p>
    <w:p w:rsidR="0032451E" w:rsidRDefault="0032451E" w:rsidP="00451E63">
      <w:pPr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Poduzetnici u djelatnosti usluga zaštite uz p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omoć sigurnosnih sustava (80.2)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pov</w:t>
      </w:r>
      <w:r w:rsidR="00E865C7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ećali su broj zaposlenih za 5,1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ukupne prihode za 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5,4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%, ukupne rashode za 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1,7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%, dobit razdoblja za 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22,0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%, smanjili gubitak razdoblja za 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93,4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te ostvarili neto dobit u iznosu od </w:t>
      </w:r>
      <w:r w:rsidR="00C4131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10,0 milijuna kuna. 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To je ujedno i skupina djelatnosti s najvećom obračunatom prosječnom mjesečnom neto plaćom u iznosu od </w:t>
      </w:r>
      <w:r w:rsidR="00685750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5.083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685750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koja je </w:t>
      </w:r>
      <w:r w:rsidR="00685750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28,4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% veća od prosječne mjesečne neto plaće zaposlenih kod poduzetnika u zaštitnim i istražnim djelatnostima (odjeljak djelatnosti 80), koja iznosi </w:t>
      </w:r>
      <w:r w:rsidR="00685750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3.958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685750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 Najveću dobit ove skupine djelatnosti ostvarilo je društvo </w:t>
      </w:r>
      <w:hyperlink r:id="rId11" w:history="1">
        <w:r w:rsidRPr="009C6F72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LEADTECH d.o.o.</w:t>
        </w:r>
      </w:hyperlink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Zagreba, u iznosu od </w:t>
      </w:r>
      <w:r w:rsidR="0029359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3,9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29359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 kuna, sa sedam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zaposlenih i </w:t>
      </w:r>
      <w:r w:rsidR="00293593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17,5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milijuna kuna prihoda.</w:t>
      </w:r>
    </w:p>
    <w:p w:rsidR="006C58B4" w:rsidRDefault="006C58B4" w:rsidP="00451E63">
      <w:pPr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skupini djelatnosti 80.3 – Istražne djelatnosti, poslovalo je 13 poduzetnika koji su u 2018. godini ostvarili neto gubitak u iznosu od 884 tisuće kuna. </w:t>
      </w:r>
      <w:hyperlink r:id="rId12" w:history="1">
        <w:r w:rsidRPr="00B31335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LOMIS, obrt za usluge i posredovanje, vl. S</w:t>
        </w:r>
        <w:r w:rsidR="00873DE3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.</w:t>
        </w:r>
        <w:r w:rsidRPr="00B31335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 xml:space="preserve"> Franjo</w:t>
        </w:r>
      </w:hyperlink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4861E2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Samobora ostvari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 je najveću dobit razdoblja u promatranoj skupini djelatnosti, 262 tisuće kuna te ukupne prihode u iznosu od </w:t>
      </w:r>
      <w:r w:rsidR="004861E2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793</w:t>
      </w:r>
      <w:r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tisuć</w:t>
      </w:r>
      <w:r w:rsidR="004861E2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e kuna. Na negativan rezultat poslovanja najviše je utjecalo društvo </w:t>
      </w:r>
      <w:hyperlink r:id="rId13" w:history="1">
        <w:r w:rsidR="004861E2" w:rsidRPr="00B31335">
          <w:rPr>
            <w:rStyle w:val="Hiperveza"/>
            <w:rFonts w:ascii="Arial" w:eastAsia="Times New Roman" w:hAnsi="Arial"/>
            <w:sz w:val="20"/>
            <w:szCs w:val="20"/>
            <w:lang w:eastAsia="hr-HR"/>
          </w:rPr>
          <w:t>A DEO SALUS d.o.o.</w:t>
        </w:r>
      </w:hyperlink>
      <w:r w:rsidR="004861E2" w:rsidRPr="00DE163E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Osijeka ostvarivši neto gubitak u iznosu od 1,0 milijun kuna.</w:t>
      </w:r>
    </w:p>
    <w:p w:rsidR="00873DE3" w:rsidRPr="00DC25C1" w:rsidRDefault="00873DE3" w:rsidP="00873DE3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Najveći ukupan prihod ostvario je srednje veliki poduzetnik </w:t>
      </w:r>
      <w:hyperlink r:id="rId14" w:history="1">
        <w:r w:rsidRPr="009C6F72">
          <w:rPr>
            <w:rStyle w:val="Hiperveza"/>
            <w:rFonts w:ascii="Arial" w:hAnsi="Arial" w:cs="Arial"/>
            <w:sz w:val="20"/>
            <w:szCs w:val="20"/>
          </w:rPr>
          <w:t>SECURITAS HRVATSKA d.o.o.</w:t>
        </w:r>
      </w:hyperlink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 u iznosu od </w:t>
      </w:r>
      <w:proofErr w:type="spellStart"/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>273</w:t>
      </w:r>
      <w:proofErr w:type="spellEnd"/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,9 milijuna kuna, 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što je udio od 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18,3 % 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>ukupn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451E63" w:rsidRPr="00451E63">
        <w:rPr>
          <w:rFonts w:ascii="Arial" w:hAnsi="Arial" w:cs="Arial"/>
          <w:color w:val="17365D" w:themeColor="text2" w:themeShade="BF"/>
          <w:sz w:val="20"/>
          <w:szCs w:val="20"/>
        </w:rPr>
        <w:t>zašt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>itnim i istražnim djelatnostima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. Društvo je 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s 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>2.361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zaposlenim </w:t>
      </w:r>
      <w:r w:rsidR="00451E63" w:rsidRPr="00451E63">
        <w:rPr>
          <w:rFonts w:ascii="Arial" w:hAnsi="Arial" w:cs="Arial"/>
          <w:color w:val="17365D" w:themeColor="text2" w:themeShade="BF"/>
          <w:sz w:val="20"/>
          <w:szCs w:val="20"/>
        </w:rPr>
        <w:t>prvo na rang listi po broju zaposlenih u zaštitnim i istražnim djelatnostima u 2018. godini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 xml:space="preserve">, dok je njihova 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>prosječna mjesečna neto plaća u iznos</w:t>
      </w:r>
      <w:r w:rsidR="00451E63">
        <w:rPr>
          <w:rFonts w:ascii="Arial" w:hAnsi="Arial" w:cs="Arial"/>
          <w:color w:val="17365D" w:themeColor="text2" w:themeShade="BF"/>
          <w:sz w:val="20"/>
          <w:szCs w:val="20"/>
        </w:rPr>
        <w:t>ila</w:t>
      </w:r>
      <w:r w:rsidRPr="00DE163E">
        <w:rPr>
          <w:rFonts w:ascii="Arial" w:hAnsi="Arial" w:cs="Arial"/>
          <w:color w:val="17365D" w:themeColor="text2" w:themeShade="BF"/>
          <w:sz w:val="20"/>
          <w:szCs w:val="20"/>
        </w:rPr>
        <w:t xml:space="preserve"> 3.861 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>kunu.</w:t>
      </w:r>
    </w:p>
    <w:p w:rsidR="00B76C15" w:rsidRDefault="00B76C15" w:rsidP="004036B2">
      <w:pPr>
        <w:pageBreakBefore/>
        <w:widowControl w:val="0"/>
        <w:tabs>
          <w:tab w:val="left" w:pos="567"/>
          <w:tab w:val="left" w:pos="1134"/>
          <w:tab w:val="left" w:pos="8080"/>
        </w:tabs>
        <w:spacing w:before="6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Tablica 2.</w:t>
      </w:r>
      <w:r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A57450"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Top 10 poduzetnika u odjeljku djelatnosti 80 – Zaštitne i istražne djelatnosti, rangirani prema ukupnom prihodu u 2018. godini</w:t>
      </w:r>
      <w:r w:rsidRPr="009F5F5D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  <w:t>(</w:t>
      </w:r>
      <w:r w:rsidRPr="009F5F5D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kuna)</w:t>
      </w:r>
    </w:p>
    <w:tbl>
      <w:tblPr>
        <w:tblW w:w="973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850"/>
        <w:gridCol w:w="960"/>
        <w:gridCol w:w="956"/>
        <w:gridCol w:w="956"/>
        <w:gridCol w:w="1134"/>
      </w:tblGrid>
      <w:tr w:rsidR="000F71D0" w:rsidRPr="00A57450" w:rsidTr="000F71D0">
        <w:trPr>
          <w:trHeight w:val="425"/>
          <w:tblHeader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F71D0" w:rsidRPr="00A57450" w:rsidRDefault="000F71D0" w:rsidP="00451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43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</w:tcPr>
          <w:p w:rsidR="000F71D0" w:rsidRPr="00A57450" w:rsidRDefault="000F71D0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0F71D0" w:rsidRPr="00A57450" w:rsidRDefault="000F71D0" w:rsidP="000F71D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Pros. mjes. neto plaća</w:t>
            </w:r>
          </w:p>
        </w:tc>
        <w:tc>
          <w:tcPr>
            <w:tcW w:w="95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451DE0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5" w:history="1">
              <w:r w:rsidR="008B43A8" w:rsidRPr="009C6F7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SECURITAS HRVATSKA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2.361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3.861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273.911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10.451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451DE0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6" w:history="1">
              <w:r w:rsidR="008B43A8" w:rsidRPr="009C6F7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SOKOL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2.074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3.174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207.618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27.707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451DE0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7" w:history="1">
              <w:r w:rsidR="008B43A8" w:rsidRPr="009C6F7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KLEMM SIGURNOST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1.002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3.433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126.018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23.579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451DE0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8" w:history="1">
              <w:r w:rsidR="008B43A8" w:rsidRPr="009C6F7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BILIĆ-ERIĆ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Sesvete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795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4.532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112.327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8.300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451DE0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9" w:history="1">
              <w:r w:rsidR="008B43A8" w:rsidRPr="009C6F72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AKD-ZAŠTITA d.o.o.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841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3.824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1.719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8B43A8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SOKOL MARIĆ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10.642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95.303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-102.243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8B43A8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MEDITERAN SECURITY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4.982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46.934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846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8B43A8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SIGURNOST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3.192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31.861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855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8B43A8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NOKY SECURITY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3.649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26.938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266</w:t>
            </w:r>
          </w:p>
        </w:tc>
      </w:tr>
      <w:tr w:rsidR="008B43A8" w:rsidRPr="00A57450" w:rsidTr="008B43A8">
        <w:trPr>
          <w:trHeight w:hRule="exact"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</w:tcPr>
          <w:p w:rsidR="008B43A8" w:rsidRPr="00A57450" w:rsidRDefault="008B43A8" w:rsidP="00A57450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SALON BANKARSKE OPREME - OZIMEC d.o.o.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</w:tcPr>
          <w:p w:rsidR="008B43A8" w:rsidRPr="008B43A8" w:rsidRDefault="008B43A8" w:rsidP="008B43A8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8B43A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7.296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B43A8" w:rsidRPr="00A57450" w:rsidRDefault="008B43A8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734</w:t>
            </w:r>
          </w:p>
        </w:tc>
      </w:tr>
      <w:tr w:rsidR="000F71D0" w:rsidRPr="00A57450" w:rsidTr="00763493">
        <w:trPr>
          <w:trHeight w:hRule="exact" w:val="278"/>
          <w:jc w:val="center"/>
        </w:trPr>
        <w:tc>
          <w:tcPr>
            <w:tcW w:w="57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top 10 po ukupnom prihodu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8.639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</w:tcPr>
          <w:p w:rsidR="000F71D0" w:rsidRPr="00A57450" w:rsidRDefault="008B7EFA" w:rsidP="008B7E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4.031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1.050.025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-27.787</w:t>
            </w:r>
          </w:p>
        </w:tc>
      </w:tr>
      <w:tr w:rsidR="000F71D0" w:rsidRPr="00A57450" w:rsidTr="00763493">
        <w:trPr>
          <w:trHeight w:hRule="exact" w:val="278"/>
          <w:jc w:val="center"/>
        </w:trPr>
        <w:tc>
          <w:tcPr>
            <w:tcW w:w="57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svi poduzetnici u odjeljku djelatnosti N80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BFBFBF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12.031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FBFBF"/>
            <w:vAlign w:val="center"/>
          </w:tcPr>
          <w:p w:rsidR="000F71D0" w:rsidRPr="00A57450" w:rsidRDefault="008B7EFA" w:rsidP="000F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8B7EF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3.958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1.497.814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-28.387</w:t>
            </w:r>
          </w:p>
        </w:tc>
      </w:tr>
      <w:tr w:rsidR="000F71D0" w:rsidRPr="00A57450" w:rsidTr="00763493">
        <w:trPr>
          <w:trHeight w:hRule="exact" w:val="278"/>
          <w:jc w:val="center"/>
        </w:trPr>
        <w:tc>
          <w:tcPr>
            <w:tcW w:w="57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F71D0" w:rsidRPr="00A57450" w:rsidRDefault="000F71D0" w:rsidP="000F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top 10 poduzetnika po ukupnom prihodu u odjeljku djel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.</w:t>
            </w: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N80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 w:themeColor="background1"/>
            </w:tcBorders>
            <w:shd w:val="clear" w:color="000000" w:fill="A6A6A6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71,8%</w:t>
            </w:r>
          </w:p>
        </w:tc>
        <w:tc>
          <w:tcPr>
            <w:tcW w:w="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A6A6A6"/>
            <w:vAlign w:val="center"/>
          </w:tcPr>
          <w:p w:rsidR="000F71D0" w:rsidRPr="00A57450" w:rsidRDefault="008B7EFA" w:rsidP="000F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101,8%</w:t>
            </w:r>
          </w:p>
        </w:tc>
        <w:tc>
          <w:tcPr>
            <w:tcW w:w="956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F71D0" w:rsidRPr="00A57450" w:rsidRDefault="000F71D0" w:rsidP="00A574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A57450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97,9%</w:t>
            </w:r>
          </w:p>
        </w:tc>
      </w:tr>
    </w:tbl>
    <w:p w:rsidR="00B76C15" w:rsidRPr="00DE163E" w:rsidRDefault="00B76C15" w:rsidP="00B76C15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 - </w:t>
      </w:r>
      <w:r w:rsidRPr="00DE163E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9B337D" w:rsidRDefault="009B337D" w:rsidP="00873DE3">
      <w:pPr>
        <w:widowControl w:val="0"/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Podaci o financijskim rezultatima top 10 poduzetnika u odjeljku 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>zaštitnih i istražnih djela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>tnosti potvrđuju veliku koncentraciju re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>zultata na mali broj poduzetnika. P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rvih 10 poduzetnika ostvarilo </w:t>
      </w:r>
      <w:r w:rsidR="002C1C11" w:rsidRPr="00DC25C1">
        <w:rPr>
          <w:rFonts w:ascii="Arial" w:hAnsi="Arial" w:cs="Arial"/>
          <w:color w:val="17365D" w:themeColor="text2" w:themeShade="BF"/>
          <w:sz w:val="20"/>
          <w:szCs w:val="20"/>
        </w:rPr>
        <w:t>1,0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 kuna ukupnih prihoda (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 xml:space="preserve">udio od </w:t>
      </w:r>
      <w:r w:rsidR="002C1C11" w:rsidRPr="00DC25C1">
        <w:rPr>
          <w:rFonts w:ascii="Arial" w:hAnsi="Arial" w:cs="Arial"/>
          <w:color w:val="17365D" w:themeColor="text2" w:themeShade="BF"/>
          <w:sz w:val="20"/>
          <w:szCs w:val="20"/>
        </w:rPr>
        <w:t>70,1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%), 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 xml:space="preserve">imali su </w:t>
      </w:r>
      <w:r w:rsidR="002C1C11" w:rsidRPr="00DC25C1">
        <w:rPr>
          <w:rFonts w:ascii="Arial" w:hAnsi="Arial" w:cs="Arial"/>
          <w:color w:val="17365D" w:themeColor="text2" w:themeShade="BF"/>
          <w:sz w:val="20"/>
          <w:szCs w:val="20"/>
        </w:rPr>
        <w:t>71,8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% od ukupnog broja zaposlenih te 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 xml:space="preserve">udio od </w:t>
      </w:r>
      <w:r w:rsidR="002A5720" w:rsidRPr="00DC25C1">
        <w:rPr>
          <w:rFonts w:ascii="Arial" w:hAnsi="Arial" w:cs="Arial"/>
          <w:color w:val="17365D" w:themeColor="text2" w:themeShade="BF"/>
          <w:sz w:val="20"/>
          <w:szCs w:val="20"/>
        </w:rPr>
        <w:t>70,1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% 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>dobiti razdoblja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u z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>aštitn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i istražn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</w:t>
      </w:r>
      <w:r w:rsidR="004036B2">
        <w:rPr>
          <w:rFonts w:ascii="Arial" w:hAnsi="Arial" w:cs="Arial"/>
          <w:color w:val="17365D" w:themeColor="text2" w:themeShade="BF"/>
          <w:sz w:val="20"/>
          <w:szCs w:val="20"/>
        </w:rPr>
        <w:t>ma</w:t>
      </w:r>
      <w:r w:rsidRPr="00DC25C1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873DE3" w:rsidRDefault="00B76C15" w:rsidP="00873DE3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3.</w:t>
      </w:r>
      <w:r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72118E"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 i zaposlenih, ukupan prihod, neto dobit/gubitak i prosječna mjesečna plaća u odjeljku djelatnosti 80 – Zaštitne i istražne djelatnosti, u razdoblju od 2008. do 2018.</w:t>
      </w:r>
      <w:r w:rsidR="00873DE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godine</w:t>
      </w:r>
      <w:r w:rsidR="0072118E" w:rsidRPr="009F5F5D">
        <w:rPr>
          <w:rStyle w:val="Referencafusnote"/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footnoteReference w:id="2"/>
      </w:r>
      <w:r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72118E" w:rsidRPr="009F5F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</w:p>
    <w:p w:rsidR="00B76C15" w:rsidRDefault="00B76C15" w:rsidP="00860675">
      <w:pPr>
        <w:widowControl w:val="0"/>
        <w:tabs>
          <w:tab w:val="left" w:pos="7513"/>
          <w:tab w:val="right" w:pos="9781"/>
        </w:tabs>
        <w:spacing w:after="0" w:line="240" w:lineRule="auto"/>
        <w:ind w:left="1134" w:hanging="1134"/>
        <w:jc w:val="right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F5F5D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kuna, prosječne plaće u kn)</w:t>
      </w:r>
    </w:p>
    <w:tbl>
      <w:tblPr>
        <w:tblW w:w="9866" w:type="dxa"/>
        <w:jc w:val="center"/>
        <w:tblInd w:w="-1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276"/>
        <w:gridCol w:w="1134"/>
        <w:gridCol w:w="1276"/>
        <w:gridCol w:w="1275"/>
        <w:gridCol w:w="1191"/>
        <w:gridCol w:w="1276"/>
        <w:gridCol w:w="1644"/>
      </w:tblGrid>
      <w:tr w:rsidR="0072118E" w:rsidRPr="0072118E" w:rsidTr="00451E63">
        <w:trPr>
          <w:trHeight w:hRule="exact" w:val="425"/>
          <w:jc w:val="center"/>
        </w:trPr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Godina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2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 po poduzetniku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451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 po zaposl</w:t>
            </w:r>
            <w:r w:rsidR="00451E6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enom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Neto dobit/gubitak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Pros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ječna mjeseč. neto plaća po zap.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2008.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1.458.333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41.424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3.156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2009.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1134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1.459.143</w:t>
            </w:r>
          </w:p>
        </w:tc>
        <w:tc>
          <w:tcPr>
            <w:tcW w:w="127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13.387</w:t>
            </w:r>
          </w:p>
        </w:tc>
        <w:tc>
          <w:tcPr>
            <w:tcW w:w="1191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51.089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3.189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276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1.483.925</w:t>
            </w:r>
          </w:p>
        </w:tc>
        <w:tc>
          <w:tcPr>
            <w:tcW w:w="1275" w:type="dxa"/>
            <w:tcBorders>
              <w:top w:val="single" w:sz="4" w:space="0" w:color="0000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11.157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42.044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3.169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1.485.000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59.239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3.306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14.435</w:t>
            </w:r>
          </w:p>
        </w:tc>
        <w:tc>
          <w:tcPr>
            <w:tcW w:w="1276" w:type="dxa"/>
            <w:tcBorders>
              <w:top w:val="nil"/>
              <w:left w:val="single" w:sz="4" w:space="0" w:color="0000FF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1.387.597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9.313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78.286</w:t>
            </w:r>
          </w:p>
        </w:tc>
        <w:tc>
          <w:tcPr>
            <w:tcW w:w="16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3.010</w:t>
            </w:r>
          </w:p>
        </w:tc>
      </w:tr>
      <w:tr w:rsidR="00C30AA9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FF"/>
              <w:left w:val="nil"/>
              <w:bottom w:val="single" w:sz="4" w:space="0" w:color="FFFFFF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13.400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1.203.458</w:t>
            </w:r>
          </w:p>
        </w:tc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7.522</w:t>
            </w:r>
          </w:p>
        </w:tc>
        <w:tc>
          <w:tcPr>
            <w:tcW w:w="11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47.501</w:t>
            </w:r>
          </w:p>
        </w:tc>
        <w:tc>
          <w:tcPr>
            <w:tcW w:w="1644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3.023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13.076</w:t>
            </w:r>
          </w:p>
        </w:tc>
        <w:tc>
          <w:tcPr>
            <w:tcW w:w="1276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1.205.875</w:t>
            </w:r>
          </w:p>
        </w:tc>
        <w:tc>
          <w:tcPr>
            <w:tcW w:w="1275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7.882</w:t>
            </w:r>
          </w:p>
        </w:tc>
        <w:tc>
          <w:tcPr>
            <w:tcW w:w="1191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45.237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3.073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1.253.541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7.934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56.920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3.282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1.310.087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80.687</w:t>
            </w:r>
          </w:p>
        </w:tc>
        <w:tc>
          <w:tcPr>
            <w:tcW w:w="1644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3.384</w:t>
            </w:r>
          </w:p>
        </w:tc>
      </w:tr>
      <w:tr w:rsidR="0072118E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1.327.371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7.808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FF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74.149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3.318</w:t>
            </w:r>
          </w:p>
        </w:tc>
      </w:tr>
      <w:tr w:rsidR="004036B2" w:rsidRPr="0072118E" w:rsidTr="00763493">
        <w:trPr>
          <w:trHeight w:hRule="exact" w:val="278"/>
          <w:jc w:val="center"/>
        </w:trPr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118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0000FF"/>
              <w:bottom w:val="single" w:sz="4" w:space="0" w:color="FF0000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12.031</w:t>
            </w:r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1.497.814</w:t>
            </w:r>
          </w:p>
        </w:tc>
        <w:tc>
          <w:tcPr>
            <w:tcW w:w="1275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310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8.608</w:t>
            </w:r>
          </w:p>
        </w:tc>
        <w:tc>
          <w:tcPr>
            <w:tcW w:w="119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225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0000FF"/>
              <w:bottom w:val="single" w:sz="4" w:space="0" w:color="FF0000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72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-28.387</w:t>
            </w:r>
          </w:p>
        </w:tc>
        <w:tc>
          <w:tcPr>
            <w:tcW w:w="16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DBE5F1"/>
            <w:noWrap/>
            <w:vAlign w:val="center"/>
            <w:hideMark/>
          </w:tcPr>
          <w:p w:rsidR="0072118E" w:rsidRPr="0072118E" w:rsidRDefault="0072118E" w:rsidP="00C30AA9">
            <w:pPr>
              <w:spacing w:after="0" w:line="240" w:lineRule="auto"/>
              <w:ind w:right="452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72118E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3.958</w:t>
            </w:r>
          </w:p>
        </w:tc>
      </w:tr>
    </w:tbl>
    <w:p w:rsidR="00ED4A6D" w:rsidRDefault="00ED4A6D" w:rsidP="00873DE3">
      <w:pPr>
        <w:widowControl w:val="0"/>
        <w:spacing w:before="4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  <w:r w:rsidRPr="004E2C1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32451E" w:rsidRPr="00DC25C1" w:rsidRDefault="00F41F82" w:rsidP="004036B2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2008. do 201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godine najmanji broj pravnih i fizičkih osoba (obrta), obveznika poreza na dobit, 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zaštitnim i istražnim djelatnostima bio je u 2009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109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a najveći u 20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174</w:t>
      </w:r>
      <w:r w:rsidR="0032451E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32451E" w:rsidRPr="0032451E" w:rsidRDefault="0032451E" w:rsidP="00763493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Najviše zaposlenih u ovoj djelatnosti bilo je 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2012.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godine (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14.435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dok je najmanji broj zaposlenih bio 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2018.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godine (</w:t>
      </w:r>
      <w:r w:rsidR="00432889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12.031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 U 201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ostvareno je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gotovo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1,5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ukupnog prihoda, što je najveći ostvareni ukupan prihod u proteklih </w:t>
      </w:r>
      <w:r w:rsidR="0086067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 (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24,5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više u odnosu na 201</w:t>
      </w:r>
      <w:r w:rsidR="00384B16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., kada je ostvaren najmanji prihod</w:t>
      </w:r>
      <w:r w:rsidR="00A94B5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tek 2,7% više u odnosu na 2008. godinu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32451E" w:rsidRDefault="0032451E" w:rsidP="00763493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razdoblju od </w:t>
      </w:r>
      <w:r w:rsidR="0020283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11 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godina</w:t>
      </w:r>
      <w:r w:rsid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poduzetnici u zaštitnim i istražnim djelatnostima 10 su godina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uzastopno, od 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="0084689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08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 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2017.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godine,</w:t>
      </w:r>
      <w:r w:rsidR="00636C19" w:rsidRP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poslovali s dobiti, a </w:t>
      </w:r>
      <w:r w:rsidR="0084689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2018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</w:t>
      </w:r>
      <w:r w:rsidR="0084689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ostvarili su neto gubitak od 28,4 milijuna kuna. </w:t>
      </w:r>
      <w:r w:rsidR="0084689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Najveća neto dobit iskazana je u 2016. godini i iznosila je 80,7 milijuna kuna, što je 94,8 % više u odnosu na najmanje ostvarenu neto dobit, 2008. godine</w:t>
      </w:r>
      <w:r w:rsid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(41,4 milijun</w:t>
      </w:r>
      <w:r w:rsidR="0086067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636C1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</w:t>
      </w:r>
      <w:r w:rsidR="0084689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A94B54" w:rsidRDefault="00A94B54" w:rsidP="00763493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94B5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Najmanja prosječna mjesečna neto plaća zaposlenih kod poduzetnika u zaštitnim i istražnim djelatnostima obračunata je 2012. godine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Pr="00A94B5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3.010 kuna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a na</w:t>
      </w:r>
      <w:r w:rsidRPr="00A94B5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jviša u 2018. godini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Pr="00A94B5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3.958 kuna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576B37" w:rsidRPr="00ED0312" w:rsidRDefault="000739F9" w:rsidP="00F41F82">
      <w:pPr>
        <w:pageBreakBefore/>
        <w:tabs>
          <w:tab w:val="left" w:pos="1134"/>
          <w:tab w:val="left" w:pos="12758"/>
        </w:tabs>
        <w:spacing w:before="60" w:after="0" w:line="240" w:lineRule="auto"/>
        <w:ind w:left="1134" w:hanging="1134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lastRenderedPageBreak/>
        <w:t>Grafikon 1</w:t>
      </w:r>
      <w:r w:rsidR="00576B37"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576B37"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="00546F5C"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t>Neto dobit/gubitak poduzetnika u odjeljku 80 – Zaštitne i istražne djelatnosti, u razdoblju od 2008.</w:t>
      </w:r>
      <w:r w:rsidR="00F41F8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do </w:t>
      </w:r>
      <w:r w:rsidR="00546F5C"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t>2018. godine</w:t>
      </w:r>
      <w:r w:rsidR="00A46328" w:rsidRPr="009F5F5D">
        <w:rPr>
          <w:rStyle w:val="Referencafusnote"/>
          <w:rFonts w:ascii="Arial" w:hAnsi="Arial" w:cs="Arial"/>
          <w:b/>
          <w:color w:val="17365D" w:themeColor="text2" w:themeShade="BF"/>
          <w:sz w:val="18"/>
          <w:szCs w:val="18"/>
        </w:rPr>
        <w:footnoteReference w:id="3"/>
      </w:r>
      <w:r w:rsidR="00546F5C" w:rsidRPr="009F5F5D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                                                                                               </w:t>
      </w:r>
      <w:r w:rsidR="00546F5C" w:rsidRPr="009F5F5D">
        <w:rPr>
          <w:rFonts w:ascii="Arial" w:hAnsi="Arial" w:cs="Arial"/>
          <w:color w:val="17365D" w:themeColor="text2" w:themeShade="BF"/>
          <w:sz w:val="16"/>
          <w:szCs w:val="18"/>
        </w:rPr>
        <w:t>(iznosi u tisućama kuna)</w:t>
      </w:r>
      <w:r w:rsidR="00CF1377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 </w:t>
      </w:r>
      <w:r w:rsidR="0069673D" w:rsidRPr="004E2C16">
        <w:rPr>
          <w:rFonts w:ascii="Arial" w:hAnsi="Arial" w:cs="Arial"/>
          <w:i/>
          <w:color w:val="17365D" w:themeColor="text2" w:themeShade="BF"/>
          <w:sz w:val="16"/>
          <w:szCs w:val="16"/>
        </w:rPr>
        <w:t>(iznosi u tisućama kuna)</w:t>
      </w:r>
    </w:p>
    <w:p w:rsidR="0076621C" w:rsidRDefault="00546F5C" w:rsidP="00B76C15">
      <w:pPr>
        <w:widowControl w:val="0"/>
        <w:spacing w:after="0" w:line="240" w:lineRule="auto"/>
        <w:jc w:val="center"/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  <w:drawing>
          <wp:inline distT="0" distB="0" distL="0" distR="0" wp14:anchorId="56A51B82">
            <wp:extent cx="6192000" cy="2088000"/>
            <wp:effectExtent l="0" t="0" r="0" b="762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C9D" w:rsidRDefault="00D01C9D" w:rsidP="008460DB">
      <w:pPr>
        <w:spacing w:before="6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32451E" w:rsidRDefault="0032451E" w:rsidP="00451E63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Pozitivnom rezultatu u 201</w:t>
      </w:r>
      <w:r w:rsidR="00A17CB5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466970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najviše 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doprini</w:t>
      </w:r>
      <w:r w:rsidR="00466970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jel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dva</w:t>
      </w:r>
      <w:r w:rsidR="00466970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a,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21" w:history="1">
        <w:r w:rsidR="00466970" w:rsidRPr="009C6F7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SOKOL MARIĆ</w:t>
        </w:r>
        <w:r w:rsidRPr="009C6F7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 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enom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</w:t>
      </w:r>
      <w:r w:rsid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razdoblja u iznosu od </w:t>
      </w:r>
      <w:r w:rsidR="00466970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24,6</w:t>
      </w:r>
      <w:r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451E6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</w:t>
      </w:r>
      <w:hyperlink r:id="rId22" w:history="1">
        <w:r w:rsidR="00466970" w:rsidRPr="009C6F7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KLEMM SIGURNOST d.o.o.</w:t>
        </w:r>
      </w:hyperlink>
      <w:r w:rsidR="00466970" w:rsidRPr="00DC25C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 18,7 milijuna kuna dobiti. </w:t>
      </w:r>
    </w:p>
    <w:p w:rsidR="00F41F82" w:rsidRDefault="00F41F82" w:rsidP="00F41F82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Dvije godine kasnije, 2018., </w:t>
      </w:r>
      <w:hyperlink r:id="rId23" w:history="1">
        <w:r w:rsidRPr="009C6F7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SOKOL MARIĆ d.o.o.</w:t>
        </w:r>
      </w:hyperlink>
      <w:r w:rsidRPr="00F41F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poslovao je s gubitkom od 102,2 milijuna kuna, što se odrazilo na konsolidirani rezultat poduzetnika u odjeljku zaštitnih i istražnih djelatnosti, koji je bio negativan i iznosio je 28,4 milijuna kuna neto gubitka.</w:t>
      </w:r>
    </w:p>
    <w:p w:rsidR="00492B57" w:rsidRDefault="00451DE0" w:rsidP="00492B57">
      <w:pPr>
        <w:widowControl w:val="0"/>
        <w:tabs>
          <w:tab w:val="left" w:pos="343"/>
        </w:tabs>
        <w:spacing w:before="120" w:after="0"/>
        <w:jc w:val="both"/>
        <w:rPr>
          <w:rFonts w:ascii="Arial" w:eastAsia="Times New Roman" w:hAnsi="Arial" w:cs="Arial"/>
          <w:i/>
          <w:color w:val="244061"/>
          <w:sz w:val="17"/>
          <w:szCs w:val="17"/>
          <w:shd w:val="clear" w:color="auto" w:fill="FFFFFF"/>
          <w:lang w:eastAsia="hr-HR"/>
        </w:rPr>
      </w:pPr>
      <w:hyperlink r:id="rId24" w:history="1">
        <w:r w:rsidR="00492B57" w:rsidRPr="00492B57">
          <w:rPr>
            <w:rFonts w:ascii="Arial" w:eastAsia="Times New Roman" w:hAnsi="Arial" w:cs="Arial"/>
            <w:b/>
            <w:bCs/>
            <w:i/>
            <w:color w:val="0000FF"/>
            <w:sz w:val="17"/>
            <w:szCs w:val="17"/>
            <w:u w:val="single"/>
            <w:shd w:val="clear" w:color="auto" w:fill="FFFFFF"/>
            <w:lang w:eastAsia="hr-HR"/>
          </w:rPr>
          <w:t>Info.BIZ</w:t>
        </w:r>
        <w:r w:rsidR="00492B57" w:rsidRPr="00492B57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shd w:val="clear" w:color="auto" w:fill="FFFFFF"/>
            <w:lang w:eastAsia="hr-HR"/>
          </w:rPr>
          <w:t> </w:t>
        </w:r>
      </w:hyperlink>
      <w:r w:rsidR="00551D3A">
        <w:rPr>
          <w:rFonts w:ascii="Arial" w:eastAsia="Times New Roman" w:hAnsi="Arial" w:cs="Arial"/>
          <w:i/>
          <w:color w:val="0000FF"/>
          <w:sz w:val="17"/>
          <w:szCs w:val="17"/>
          <w:u w:val="single"/>
          <w:shd w:val="clear" w:color="auto" w:fill="FFFFFF"/>
          <w:lang w:eastAsia="hr-HR"/>
        </w:rPr>
        <w:t>je n</w:t>
      </w:r>
      <w:r w:rsidR="00492B57" w:rsidRPr="00492B57">
        <w:rPr>
          <w:rFonts w:ascii="Arial" w:eastAsia="Times New Roman" w:hAnsi="Arial" w:cs="Arial"/>
          <w:i/>
          <w:color w:val="244061"/>
          <w:sz w:val="17"/>
          <w:szCs w:val="17"/>
          <w:shd w:val="clear" w:color="auto" w:fill="FFFFFF"/>
          <w:lang w:eastAsia="hr-HR"/>
        </w:rPr>
        <w:t xml:space="preserve">ajveća i najažurnija baza poslovnih informacija za više od 775.000 poslovnih subjekata iz više od </w:t>
      </w:r>
      <w:proofErr w:type="spellStart"/>
      <w:r w:rsidR="00492B57" w:rsidRPr="00492B57">
        <w:rPr>
          <w:rFonts w:ascii="Arial" w:eastAsia="Times New Roman" w:hAnsi="Arial" w:cs="Arial"/>
          <w:i/>
          <w:color w:val="244061"/>
          <w:sz w:val="17"/>
          <w:szCs w:val="17"/>
          <w:shd w:val="clear" w:color="auto" w:fill="FFFFFF"/>
          <w:lang w:eastAsia="hr-HR"/>
        </w:rPr>
        <w:t>30</w:t>
      </w:r>
      <w:proofErr w:type="spellEnd"/>
      <w:r w:rsidR="00492B57" w:rsidRPr="00492B57">
        <w:rPr>
          <w:rFonts w:ascii="Arial" w:eastAsia="Times New Roman" w:hAnsi="Arial" w:cs="Arial"/>
          <w:i/>
          <w:color w:val="244061"/>
          <w:sz w:val="17"/>
          <w:szCs w:val="17"/>
          <w:shd w:val="clear" w:color="auto" w:fill="FFFFFF"/>
          <w:lang w:eastAsia="hr-HR"/>
        </w:rPr>
        <w:t xml:space="preserve"> izvora. Omogućuje brže, jednostavnije i sigurnije donošenje poslovnih odluka, sustavno praćenje klijenata, olakšava izradu poslovnih analiza te praćenje trendova i prepoznavanje potencijala na tržištu.</w:t>
      </w:r>
    </w:p>
    <w:p w:rsidR="00492B57" w:rsidRDefault="00492B57" w:rsidP="00492B57">
      <w:pPr>
        <w:widowControl w:val="0"/>
        <w:tabs>
          <w:tab w:val="left" w:pos="343"/>
        </w:tabs>
        <w:spacing w:before="120" w:after="0"/>
        <w:rPr>
          <w:noProof/>
          <w:lang w:eastAsia="hr-HR"/>
        </w:rPr>
      </w:pPr>
      <w:r w:rsidRPr="00492B57">
        <w:rPr>
          <w:rFonts w:ascii="Arial" w:eastAsia="Times New Roman" w:hAnsi="Arial" w:cs="Arial"/>
          <w:b/>
          <w:i/>
          <w:color w:val="244061"/>
          <w:sz w:val="17"/>
          <w:szCs w:val="17"/>
          <w:shd w:val="clear" w:color="auto" w:fill="FFFFFF"/>
          <w:lang w:eastAsia="hr-HR"/>
        </w:rPr>
        <w:t xml:space="preserve">Informacije, pokazatelji i podaci prezentirani iz godišnjeg financijskog izvještaja za 2018. godinu u svrhu </w:t>
      </w:r>
      <w:r w:rsidRPr="00551D3A">
        <w:rPr>
          <w:rFonts w:ascii="Arial" w:eastAsia="Times New Roman" w:hAnsi="Arial" w:cs="Arial"/>
          <w:b/>
          <w:i/>
          <w:color w:val="244061"/>
          <w:sz w:val="17"/>
          <w:szCs w:val="17"/>
          <w:u w:val="single"/>
          <w:shd w:val="clear" w:color="auto" w:fill="FFFFFF"/>
          <w:lang w:eastAsia="hr-HR"/>
        </w:rPr>
        <w:t>javne objave</w:t>
      </w:r>
      <w:r>
        <w:rPr>
          <w:noProof/>
          <w:lang w:eastAsia="hr-HR"/>
        </w:rPr>
        <w:drawing>
          <wp:inline distT="0" distB="0" distL="0" distR="0" wp14:anchorId="51BEE60A" wp14:editId="238BEAC5">
            <wp:extent cx="6228000" cy="2833200"/>
            <wp:effectExtent l="0" t="0" r="1905" b="5715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-1" t="7927" r="1446" b="12783"/>
                    <a:stretch/>
                  </pic:blipFill>
                  <pic:spPr bwMode="auto">
                    <a:xfrm>
                      <a:off x="0" y="0"/>
                      <a:ext cx="6228000" cy="283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D3A" w:rsidRPr="00551D3A" w:rsidRDefault="00551D3A" w:rsidP="00551D3A">
      <w:pPr>
        <w:widowControl w:val="0"/>
        <w:tabs>
          <w:tab w:val="left" w:pos="343"/>
        </w:tabs>
        <w:spacing w:after="0" w:line="240" w:lineRule="auto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213CF2D8" wp14:editId="7BB21A65">
            <wp:extent cx="6228000" cy="1553371"/>
            <wp:effectExtent l="0" t="0" r="1905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14837" r="1903" b="41667"/>
                    <a:stretch/>
                  </pic:blipFill>
                  <pic:spPr bwMode="auto">
                    <a:xfrm>
                      <a:off x="0" y="0"/>
                      <a:ext cx="6228000" cy="1553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1D3A" w:rsidRPr="00551D3A" w:rsidSect="00CF1377">
      <w:headerReference w:type="default" r:id="rId27"/>
      <w:footerReference w:type="default" r:id="rId2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E0" w:rsidRDefault="00451DE0" w:rsidP="007B2A8F">
      <w:pPr>
        <w:spacing w:after="0" w:line="240" w:lineRule="auto"/>
      </w:pPr>
      <w:r>
        <w:separator/>
      </w:r>
    </w:p>
  </w:endnote>
  <w:endnote w:type="continuationSeparator" w:id="0">
    <w:p w:rsidR="00451DE0" w:rsidRDefault="00451DE0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E0" w:rsidRDefault="00451DE0" w:rsidP="007B2A8F">
      <w:pPr>
        <w:spacing w:after="0" w:line="240" w:lineRule="auto"/>
      </w:pPr>
      <w:r>
        <w:separator/>
      </w:r>
    </w:p>
  </w:footnote>
  <w:footnote w:type="continuationSeparator" w:id="0">
    <w:p w:rsidR="00451DE0" w:rsidRDefault="00451DE0" w:rsidP="007B2A8F">
      <w:pPr>
        <w:spacing w:after="0" w:line="240" w:lineRule="auto"/>
      </w:pPr>
      <w:r>
        <w:continuationSeparator/>
      </w:r>
    </w:p>
  </w:footnote>
  <w:footnote w:id="1">
    <w:p w:rsidR="000421DB" w:rsidRPr="008316EB" w:rsidRDefault="000421DB">
      <w:pPr>
        <w:pStyle w:val="Tekstfusnote"/>
        <w:rPr>
          <w:rFonts w:ascii="Arial" w:hAnsi="Arial" w:cs="Arial"/>
          <w:color w:val="244061"/>
          <w:sz w:val="17"/>
          <w:szCs w:val="17"/>
        </w:rPr>
      </w:pPr>
      <w:r>
        <w:rPr>
          <w:rStyle w:val="Referencafusnote"/>
        </w:rPr>
        <w:footnoteRef/>
      </w:r>
      <w:r>
        <w:t xml:space="preserve"> </w:t>
      </w:r>
      <w:r w:rsidRPr="008316EB">
        <w:rPr>
          <w:rFonts w:ascii="Arial" w:hAnsi="Arial" w:cs="Arial"/>
          <w:color w:val="244061"/>
          <w:sz w:val="17"/>
          <w:szCs w:val="17"/>
        </w:rPr>
        <w:t>Društvo je osnovano 24. srpnja 2017. godine. Izvor: Sudski registar, www.sudreg.pravosudje.hr, preuzeto 1</w:t>
      </w:r>
      <w:r w:rsidR="008316EB" w:rsidRPr="008316EB">
        <w:rPr>
          <w:rFonts w:ascii="Arial" w:hAnsi="Arial" w:cs="Arial"/>
          <w:color w:val="244061"/>
          <w:sz w:val="17"/>
          <w:szCs w:val="17"/>
        </w:rPr>
        <w:t>9</w:t>
      </w:r>
      <w:r w:rsidRPr="008316EB">
        <w:rPr>
          <w:rFonts w:ascii="Arial" w:hAnsi="Arial" w:cs="Arial"/>
          <w:color w:val="244061"/>
          <w:sz w:val="17"/>
          <w:szCs w:val="17"/>
        </w:rPr>
        <w:t>. rujna 2019. godine.</w:t>
      </w:r>
    </w:p>
  </w:footnote>
  <w:footnote w:id="2">
    <w:p w:rsidR="0072118E" w:rsidRPr="0072118E" w:rsidRDefault="0072118E">
      <w:pPr>
        <w:pStyle w:val="Tekstfusnote"/>
        <w:rPr>
          <w:rFonts w:ascii="Arial" w:hAnsi="Arial" w:cs="Arial"/>
          <w:color w:val="244061"/>
          <w:sz w:val="17"/>
          <w:szCs w:val="17"/>
        </w:rPr>
      </w:pPr>
      <w:r w:rsidRPr="00873DE3">
        <w:rPr>
          <w:rStyle w:val="Referencafusnote"/>
          <w:rFonts w:ascii="Arial" w:hAnsi="Arial" w:cs="Arial"/>
          <w:sz w:val="17"/>
          <w:szCs w:val="17"/>
        </w:rPr>
        <w:footnoteRef/>
      </w:r>
      <w:r w:rsidRPr="00873DE3">
        <w:rPr>
          <w:rFonts w:ascii="Arial" w:hAnsi="Arial" w:cs="Arial"/>
          <w:sz w:val="17"/>
          <w:szCs w:val="17"/>
        </w:rPr>
        <w:t xml:space="preserve"> </w:t>
      </w:r>
      <w:r w:rsidRPr="009F5F5D">
        <w:rPr>
          <w:rFonts w:ascii="Arial" w:hAnsi="Arial" w:cs="Arial"/>
          <w:color w:val="244061"/>
          <w:sz w:val="17"/>
          <w:szCs w:val="17"/>
        </w:rPr>
        <w:t>Serija podataka u tablici za sve godine prikazana je iz godišnjeg financijskog izvještaja iz kolone tekuće godine.</w:t>
      </w:r>
    </w:p>
  </w:footnote>
  <w:footnote w:id="3">
    <w:p w:rsidR="00A46328" w:rsidRPr="009F5F5D" w:rsidRDefault="00A46328">
      <w:pPr>
        <w:pStyle w:val="Tekstfusnote"/>
        <w:rPr>
          <w:rFonts w:ascii="Arial" w:hAnsi="Arial" w:cs="Arial"/>
          <w:color w:val="244061"/>
          <w:sz w:val="17"/>
          <w:szCs w:val="17"/>
        </w:rPr>
      </w:pPr>
      <w:r w:rsidRPr="0020283E">
        <w:rPr>
          <w:rStyle w:val="Referencafusnote"/>
          <w:rFonts w:ascii="Arial" w:hAnsi="Arial" w:cs="Arial"/>
          <w:sz w:val="17"/>
          <w:szCs w:val="17"/>
        </w:rPr>
        <w:footnoteRef/>
      </w:r>
      <w:r w:rsidRPr="0020283E">
        <w:rPr>
          <w:rFonts w:ascii="Arial" w:hAnsi="Arial" w:cs="Arial"/>
          <w:sz w:val="17"/>
          <w:szCs w:val="17"/>
        </w:rPr>
        <w:t xml:space="preserve"> </w:t>
      </w:r>
      <w:r w:rsidRPr="0020283E">
        <w:rPr>
          <w:rFonts w:ascii="Arial" w:hAnsi="Arial" w:cs="Arial"/>
          <w:color w:val="244061"/>
          <w:sz w:val="17"/>
          <w:szCs w:val="17"/>
        </w:rPr>
        <w:t>Serija</w:t>
      </w:r>
      <w:r w:rsidRPr="009F5F5D">
        <w:rPr>
          <w:rFonts w:ascii="Arial" w:hAnsi="Arial" w:cs="Arial"/>
          <w:color w:val="244061"/>
          <w:sz w:val="17"/>
          <w:szCs w:val="17"/>
        </w:rPr>
        <w:t xml:space="preserve"> podataka u grafikonu za sve godine prikazana je iz godišnjeg financijskog izvještaja iz kolone tekuće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451E63" w:rsidRDefault="008460DB" w:rsidP="009F49CF">
    <w:pPr>
      <w:pStyle w:val="Zaglavlje"/>
      <w:spacing w:after="0" w:line="240" w:lineRule="auto"/>
      <w:rPr>
        <w:sz w:val="4"/>
        <w:szCs w:val="4"/>
      </w:rPr>
    </w:pPr>
    <w:r>
      <w:rPr>
        <w:noProof/>
        <w:lang w:eastAsia="hr-HR"/>
      </w:rPr>
      <w:drawing>
        <wp:inline distT="0" distB="0" distL="0" distR="0" wp14:anchorId="4F661CE4" wp14:editId="1B6F2488">
          <wp:extent cx="1009650" cy="2286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1500"/>
    <w:rsid w:val="0000212B"/>
    <w:rsid w:val="0000236F"/>
    <w:rsid w:val="00011F81"/>
    <w:rsid w:val="00013BB5"/>
    <w:rsid w:val="00017B61"/>
    <w:rsid w:val="000240C0"/>
    <w:rsid w:val="00034238"/>
    <w:rsid w:val="00034B9B"/>
    <w:rsid w:val="000421DB"/>
    <w:rsid w:val="0006358C"/>
    <w:rsid w:val="00063A2D"/>
    <w:rsid w:val="00063EA3"/>
    <w:rsid w:val="00064844"/>
    <w:rsid w:val="000648CD"/>
    <w:rsid w:val="00065681"/>
    <w:rsid w:val="00072715"/>
    <w:rsid w:val="000730A1"/>
    <w:rsid w:val="000739F9"/>
    <w:rsid w:val="00076447"/>
    <w:rsid w:val="00085065"/>
    <w:rsid w:val="000903D7"/>
    <w:rsid w:val="00090A6E"/>
    <w:rsid w:val="000B0B82"/>
    <w:rsid w:val="000B60F4"/>
    <w:rsid w:val="000C1F17"/>
    <w:rsid w:val="000C2DF4"/>
    <w:rsid w:val="000C3C47"/>
    <w:rsid w:val="000C79BE"/>
    <w:rsid w:val="000D080F"/>
    <w:rsid w:val="000D0839"/>
    <w:rsid w:val="000E6B95"/>
    <w:rsid w:val="000E7496"/>
    <w:rsid w:val="000F2FAE"/>
    <w:rsid w:val="000F38A7"/>
    <w:rsid w:val="000F4C41"/>
    <w:rsid w:val="000F71D0"/>
    <w:rsid w:val="001007B4"/>
    <w:rsid w:val="0010755E"/>
    <w:rsid w:val="00111137"/>
    <w:rsid w:val="00122EDA"/>
    <w:rsid w:val="00135A7C"/>
    <w:rsid w:val="0015427A"/>
    <w:rsid w:val="001546C1"/>
    <w:rsid w:val="00160A5F"/>
    <w:rsid w:val="00180F7D"/>
    <w:rsid w:val="00183320"/>
    <w:rsid w:val="00186AC6"/>
    <w:rsid w:val="001922C3"/>
    <w:rsid w:val="0019506D"/>
    <w:rsid w:val="001A5AAD"/>
    <w:rsid w:val="001A789B"/>
    <w:rsid w:val="001B0720"/>
    <w:rsid w:val="001B0B1F"/>
    <w:rsid w:val="001C1CFE"/>
    <w:rsid w:val="001C2559"/>
    <w:rsid w:val="001C7206"/>
    <w:rsid w:val="001C75B5"/>
    <w:rsid w:val="001D06D1"/>
    <w:rsid w:val="001D1411"/>
    <w:rsid w:val="001D280B"/>
    <w:rsid w:val="001D2968"/>
    <w:rsid w:val="001D7D3D"/>
    <w:rsid w:val="001E4F8E"/>
    <w:rsid w:val="001E7BA4"/>
    <w:rsid w:val="001F6DDA"/>
    <w:rsid w:val="001F77FC"/>
    <w:rsid w:val="0020281F"/>
    <w:rsid w:val="0020283E"/>
    <w:rsid w:val="00203D87"/>
    <w:rsid w:val="00204B53"/>
    <w:rsid w:val="002166AA"/>
    <w:rsid w:val="00227214"/>
    <w:rsid w:val="00232CF7"/>
    <w:rsid w:val="00233236"/>
    <w:rsid w:val="002418FA"/>
    <w:rsid w:val="00244DD0"/>
    <w:rsid w:val="00247467"/>
    <w:rsid w:val="002545AE"/>
    <w:rsid w:val="00272844"/>
    <w:rsid w:val="00275DFF"/>
    <w:rsid w:val="00281CF2"/>
    <w:rsid w:val="002836B5"/>
    <w:rsid w:val="00284001"/>
    <w:rsid w:val="002929B2"/>
    <w:rsid w:val="00293593"/>
    <w:rsid w:val="00294302"/>
    <w:rsid w:val="002A03D0"/>
    <w:rsid w:val="002A3FB1"/>
    <w:rsid w:val="002A5720"/>
    <w:rsid w:val="002C06CC"/>
    <w:rsid w:val="002C1C11"/>
    <w:rsid w:val="002C5919"/>
    <w:rsid w:val="002C7623"/>
    <w:rsid w:val="002D3059"/>
    <w:rsid w:val="002E1D32"/>
    <w:rsid w:val="002F350C"/>
    <w:rsid w:val="0031062C"/>
    <w:rsid w:val="0031157A"/>
    <w:rsid w:val="00314165"/>
    <w:rsid w:val="00321A4C"/>
    <w:rsid w:val="00323DF6"/>
    <w:rsid w:val="0032451E"/>
    <w:rsid w:val="00330A51"/>
    <w:rsid w:val="003445A6"/>
    <w:rsid w:val="00347AB3"/>
    <w:rsid w:val="00355FA9"/>
    <w:rsid w:val="00367A3F"/>
    <w:rsid w:val="00370D2D"/>
    <w:rsid w:val="00372222"/>
    <w:rsid w:val="00384B16"/>
    <w:rsid w:val="003926C6"/>
    <w:rsid w:val="00394702"/>
    <w:rsid w:val="00394F26"/>
    <w:rsid w:val="003A6042"/>
    <w:rsid w:val="003B3B70"/>
    <w:rsid w:val="003B4B86"/>
    <w:rsid w:val="003B6B3B"/>
    <w:rsid w:val="003B7CDB"/>
    <w:rsid w:val="003B7FDE"/>
    <w:rsid w:val="003E2FFF"/>
    <w:rsid w:val="003F4092"/>
    <w:rsid w:val="004036B2"/>
    <w:rsid w:val="0040392F"/>
    <w:rsid w:val="004041E5"/>
    <w:rsid w:val="00405E61"/>
    <w:rsid w:val="00413019"/>
    <w:rsid w:val="004143C5"/>
    <w:rsid w:val="004222F2"/>
    <w:rsid w:val="00423049"/>
    <w:rsid w:val="00432889"/>
    <w:rsid w:val="004357DA"/>
    <w:rsid w:val="0044344C"/>
    <w:rsid w:val="00444DDD"/>
    <w:rsid w:val="004516AB"/>
    <w:rsid w:val="00451DE0"/>
    <w:rsid w:val="00451E63"/>
    <w:rsid w:val="00454561"/>
    <w:rsid w:val="0046080A"/>
    <w:rsid w:val="00463564"/>
    <w:rsid w:val="00466970"/>
    <w:rsid w:val="00477A89"/>
    <w:rsid w:val="00481684"/>
    <w:rsid w:val="004861E2"/>
    <w:rsid w:val="00492B57"/>
    <w:rsid w:val="004A2DF7"/>
    <w:rsid w:val="004A57ED"/>
    <w:rsid w:val="004B3C40"/>
    <w:rsid w:val="004C184C"/>
    <w:rsid w:val="004E2C16"/>
    <w:rsid w:val="004E781A"/>
    <w:rsid w:val="004F39F7"/>
    <w:rsid w:val="004F47D0"/>
    <w:rsid w:val="004F7556"/>
    <w:rsid w:val="00501AA4"/>
    <w:rsid w:val="005254B0"/>
    <w:rsid w:val="00544C59"/>
    <w:rsid w:val="00546F5C"/>
    <w:rsid w:val="00551D3A"/>
    <w:rsid w:val="00556C3B"/>
    <w:rsid w:val="00562F16"/>
    <w:rsid w:val="00576B37"/>
    <w:rsid w:val="0059353B"/>
    <w:rsid w:val="005A3554"/>
    <w:rsid w:val="005A3BA3"/>
    <w:rsid w:val="005A55F2"/>
    <w:rsid w:val="005A7266"/>
    <w:rsid w:val="005B320E"/>
    <w:rsid w:val="005B474F"/>
    <w:rsid w:val="005B71D4"/>
    <w:rsid w:val="005C1A65"/>
    <w:rsid w:val="005E352F"/>
    <w:rsid w:val="005F4B64"/>
    <w:rsid w:val="006040F0"/>
    <w:rsid w:val="00610E3B"/>
    <w:rsid w:val="006144A9"/>
    <w:rsid w:val="0061499D"/>
    <w:rsid w:val="006155E6"/>
    <w:rsid w:val="006170B2"/>
    <w:rsid w:val="006215DB"/>
    <w:rsid w:val="00623241"/>
    <w:rsid w:val="006332AC"/>
    <w:rsid w:val="00636C19"/>
    <w:rsid w:val="00645BE9"/>
    <w:rsid w:val="00654A99"/>
    <w:rsid w:val="00663BC2"/>
    <w:rsid w:val="00664F76"/>
    <w:rsid w:val="00667413"/>
    <w:rsid w:val="0067226A"/>
    <w:rsid w:val="00685750"/>
    <w:rsid w:val="0069566D"/>
    <w:rsid w:val="0069673D"/>
    <w:rsid w:val="006A01B7"/>
    <w:rsid w:val="006A44D2"/>
    <w:rsid w:val="006A4A38"/>
    <w:rsid w:val="006A57F1"/>
    <w:rsid w:val="006A711E"/>
    <w:rsid w:val="006B3D4C"/>
    <w:rsid w:val="006C118C"/>
    <w:rsid w:val="006C4DFA"/>
    <w:rsid w:val="006C58B4"/>
    <w:rsid w:val="006C5936"/>
    <w:rsid w:val="006C5A01"/>
    <w:rsid w:val="006D0A19"/>
    <w:rsid w:val="006E322B"/>
    <w:rsid w:val="006E52F6"/>
    <w:rsid w:val="006F3355"/>
    <w:rsid w:val="006F6B0B"/>
    <w:rsid w:val="00703038"/>
    <w:rsid w:val="00703C14"/>
    <w:rsid w:val="007062FC"/>
    <w:rsid w:val="00720E23"/>
    <w:rsid w:val="0072118E"/>
    <w:rsid w:val="0073037A"/>
    <w:rsid w:val="00732E81"/>
    <w:rsid w:val="00733E46"/>
    <w:rsid w:val="007342E3"/>
    <w:rsid w:val="00740F8C"/>
    <w:rsid w:val="00743C01"/>
    <w:rsid w:val="00744A06"/>
    <w:rsid w:val="007522B4"/>
    <w:rsid w:val="007570F2"/>
    <w:rsid w:val="0076344D"/>
    <w:rsid w:val="00763493"/>
    <w:rsid w:val="0076621C"/>
    <w:rsid w:val="00772242"/>
    <w:rsid w:val="00773395"/>
    <w:rsid w:val="00782654"/>
    <w:rsid w:val="00792FCF"/>
    <w:rsid w:val="007A5D70"/>
    <w:rsid w:val="007B2A8F"/>
    <w:rsid w:val="007B4D07"/>
    <w:rsid w:val="007B6411"/>
    <w:rsid w:val="007B67C6"/>
    <w:rsid w:val="007C49CE"/>
    <w:rsid w:val="007D2CBB"/>
    <w:rsid w:val="007D3402"/>
    <w:rsid w:val="007D5569"/>
    <w:rsid w:val="007E0B92"/>
    <w:rsid w:val="007E1F51"/>
    <w:rsid w:val="007E3D1A"/>
    <w:rsid w:val="007E77E8"/>
    <w:rsid w:val="007F2B70"/>
    <w:rsid w:val="008031AA"/>
    <w:rsid w:val="00821945"/>
    <w:rsid w:val="00830F75"/>
    <w:rsid w:val="008316EB"/>
    <w:rsid w:val="00833BC6"/>
    <w:rsid w:val="00834691"/>
    <w:rsid w:val="00835D8C"/>
    <w:rsid w:val="00843F11"/>
    <w:rsid w:val="0084593A"/>
    <w:rsid w:val="008460DB"/>
    <w:rsid w:val="00846895"/>
    <w:rsid w:val="0085519D"/>
    <w:rsid w:val="00860675"/>
    <w:rsid w:val="008635F5"/>
    <w:rsid w:val="00865E7B"/>
    <w:rsid w:val="00873DE3"/>
    <w:rsid w:val="00881574"/>
    <w:rsid w:val="008829D0"/>
    <w:rsid w:val="0088550D"/>
    <w:rsid w:val="0088622B"/>
    <w:rsid w:val="00887F22"/>
    <w:rsid w:val="0089657E"/>
    <w:rsid w:val="008A0BC6"/>
    <w:rsid w:val="008B43A8"/>
    <w:rsid w:val="008B5D33"/>
    <w:rsid w:val="008B7EFA"/>
    <w:rsid w:val="008C3B0C"/>
    <w:rsid w:val="008D288E"/>
    <w:rsid w:val="008D6E46"/>
    <w:rsid w:val="008D7E10"/>
    <w:rsid w:val="008E2A94"/>
    <w:rsid w:val="008E4EF5"/>
    <w:rsid w:val="008E545C"/>
    <w:rsid w:val="008E6FFE"/>
    <w:rsid w:val="00905FA9"/>
    <w:rsid w:val="00906688"/>
    <w:rsid w:val="00913A67"/>
    <w:rsid w:val="00916385"/>
    <w:rsid w:val="00922123"/>
    <w:rsid w:val="00924C88"/>
    <w:rsid w:val="0093110C"/>
    <w:rsid w:val="00934D4D"/>
    <w:rsid w:val="009353E0"/>
    <w:rsid w:val="00940325"/>
    <w:rsid w:val="00945ABD"/>
    <w:rsid w:val="00947AF0"/>
    <w:rsid w:val="00951FCE"/>
    <w:rsid w:val="009562D0"/>
    <w:rsid w:val="009568D1"/>
    <w:rsid w:val="00962227"/>
    <w:rsid w:val="00967157"/>
    <w:rsid w:val="00971ACB"/>
    <w:rsid w:val="00974186"/>
    <w:rsid w:val="00976A8A"/>
    <w:rsid w:val="00980439"/>
    <w:rsid w:val="0098063C"/>
    <w:rsid w:val="0099531F"/>
    <w:rsid w:val="00996089"/>
    <w:rsid w:val="009A0A59"/>
    <w:rsid w:val="009A126D"/>
    <w:rsid w:val="009B337D"/>
    <w:rsid w:val="009B35C6"/>
    <w:rsid w:val="009C6F72"/>
    <w:rsid w:val="009C783D"/>
    <w:rsid w:val="009D139C"/>
    <w:rsid w:val="009D2693"/>
    <w:rsid w:val="009D321A"/>
    <w:rsid w:val="009D7C3E"/>
    <w:rsid w:val="009F3895"/>
    <w:rsid w:val="009F49CF"/>
    <w:rsid w:val="009F4E4F"/>
    <w:rsid w:val="009F5F5D"/>
    <w:rsid w:val="009F71BE"/>
    <w:rsid w:val="00A048EB"/>
    <w:rsid w:val="00A075C3"/>
    <w:rsid w:val="00A11600"/>
    <w:rsid w:val="00A135B1"/>
    <w:rsid w:val="00A14692"/>
    <w:rsid w:val="00A1471E"/>
    <w:rsid w:val="00A17CB5"/>
    <w:rsid w:val="00A22188"/>
    <w:rsid w:val="00A226B0"/>
    <w:rsid w:val="00A2284E"/>
    <w:rsid w:val="00A246B1"/>
    <w:rsid w:val="00A30FA3"/>
    <w:rsid w:val="00A318E0"/>
    <w:rsid w:val="00A4542C"/>
    <w:rsid w:val="00A46328"/>
    <w:rsid w:val="00A52076"/>
    <w:rsid w:val="00A543C5"/>
    <w:rsid w:val="00A57450"/>
    <w:rsid w:val="00A6727D"/>
    <w:rsid w:val="00A70780"/>
    <w:rsid w:val="00A84EA1"/>
    <w:rsid w:val="00A87C05"/>
    <w:rsid w:val="00A93F52"/>
    <w:rsid w:val="00A94B54"/>
    <w:rsid w:val="00A9692D"/>
    <w:rsid w:val="00AB29A2"/>
    <w:rsid w:val="00AB4FC1"/>
    <w:rsid w:val="00AB6470"/>
    <w:rsid w:val="00AC049D"/>
    <w:rsid w:val="00AC1F2F"/>
    <w:rsid w:val="00AC26DF"/>
    <w:rsid w:val="00AC3545"/>
    <w:rsid w:val="00AC53DA"/>
    <w:rsid w:val="00AC5AAB"/>
    <w:rsid w:val="00AE0CB3"/>
    <w:rsid w:val="00AE7AD3"/>
    <w:rsid w:val="00B0024E"/>
    <w:rsid w:val="00B018B8"/>
    <w:rsid w:val="00B03524"/>
    <w:rsid w:val="00B06E6C"/>
    <w:rsid w:val="00B134BD"/>
    <w:rsid w:val="00B2244F"/>
    <w:rsid w:val="00B24A79"/>
    <w:rsid w:val="00B31335"/>
    <w:rsid w:val="00B317A2"/>
    <w:rsid w:val="00B426AF"/>
    <w:rsid w:val="00B55360"/>
    <w:rsid w:val="00B60881"/>
    <w:rsid w:val="00B72741"/>
    <w:rsid w:val="00B74475"/>
    <w:rsid w:val="00B76C15"/>
    <w:rsid w:val="00B76FE6"/>
    <w:rsid w:val="00B80899"/>
    <w:rsid w:val="00B830D2"/>
    <w:rsid w:val="00B830FF"/>
    <w:rsid w:val="00B861B9"/>
    <w:rsid w:val="00B90138"/>
    <w:rsid w:val="00B941D5"/>
    <w:rsid w:val="00BA1CD9"/>
    <w:rsid w:val="00BA202B"/>
    <w:rsid w:val="00BA3B09"/>
    <w:rsid w:val="00BA458F"/>
    <w:rsid w:val="00BB0137"/>
    <w:rsid w:val="00BB13FF"/>
    <w:rsid w:val="00BB5DA4"/>
    <w:rsid w:val="00BB67B0"/>
    <w:rsid w:val="00BB7425"/>
    <w:rsid w:val="00BC46A5"/>
    <w:rsid w:val="00BD2C5B"/>
    <w:rsid w:val="00BD4029"/>
    <w:rsid w:val="00BE1B67"/>
    <w:rsid w:val="00BE38A6"/>
    <w:rsid w:val="00BE5A27"/>
    <w:rsid w:val="00BE5E8E"/>
    <w:rsid w:val="00BF3EDF"/>
    <w:rsid w:val="00BF4098"/>
    <w:rsid w:val="00BF75B7"/>
    <w:rsid w:val="00C01045"/>
    <w:rsid w:val="00C0278C"/>
    <w:rsid w:val="00C07914"/>
    <w:rsid w:val="00C1307E"/>
    <w:rsid w:val="00C22A45"/>
    <w:rsid w:val="00C30AA9"/>
    <w:rsid w:val="00C36C29"/>
    <w:rsid w:val="00C41313"/>
    <w:rsid w:val="00C556E7"/>
    <w:rsid w:val="00C55A94"/>
    <w:rsid w:val="00C60F43"/>
    <w:rsid w:val="00C61B24"/>
    <w:rsid w:val="00C653AC"/>
    <w:rsid w:val="00C7609B"/>
    <w:rsid w:val="00C76540"/>
    <w:rsid w:val="00C81293"/>
    <w:rsid w:val="00C82919"/>
    <w:rsid w:val="00C85395"/>
    <w:rsid w:val="00C90461"/>
    <w:rsid w:val="00CA7926"/>
    <w:rsid w:val="00CB4719"/>
    <w:rsid w:val="00CC3B18"/>
    <w:rsid w:val="00CC75B1"/>
    <w:rsid w:val="00CD4A00"/>
    <w:rsid w:val="00CE2AA6"/>
    <w:rsid w:val="00CE740F"/>
    <w:rsid w:val="00CF106D"/>
    <w:rsid w:val="00CF1377"/>
    <w:rsid w:val="00CF42E2"/>
    <w:rsid w:val="00D01C9D"/>
    <w:rsid w:val="00D040BF"/>
    <w:rsid w:val="00D075AC"/>
    <w:rsid w:val="00D120D9"/>
    <w:rsid w:val="00D168D8"/>
    <w:rsid w:val="00D17A4F"/>
    <w:rsid w:val="00D25B0D"/>
    <w:rsid w:val="00D272A9"/>
    <w:rsid w:val="00D300B6"/>
    <w:rsid w:val="00D34974"/>
    <w:rsid w:val="00D45A79"/>
    <w:rsid w:val="00D47DD8"/>
    <w:rsid w:val="00D57841"/>
    <w:rsid w:val="00D64B46"/>
    <w:rsid w:val="00D77488"/>
    <w:rsid w:val="00D80DDA"/>
    <w:rsid w:val="00D839D3"/>
    <w:rsid w:val="00D93A1A"/>
    <w:rsid w:val="00D94721"/>
    <w:rsid w:val="00D95FCF"/>
    <w:rsid w:val="00DA219B"/>
    <w:rsid w:val="00DA3E57"/>
    <w:rsid w:val="00DB0C47"/>
    <w:rsid w:val="00DB370D"/>
    <w:rsid w:val="00DB5D36"/>
    <w:rsid w:val="00DB690B"/>
    <w:rsid w:val="00DC1AD4"/>
    <w:rsid w:val="00DC25C1"/>
    <w:rsid w:val="00DD54B9"/>
    <w:rsid w:val="00DE163E"/>
    <w:rsid w:val="00DF149A"/>
    <w:rsid w:val="00DF2B42"/>
    <w:rsid w:val="00DF476F"/>
    <w:rsid w:val="00E024AE"/>
    <w:rsid w:val="00E11594"/>
    <w:rsid w:val="00E12716"/>
    <w:rsid w:val="00E14884"/>
    <w:rsid w:val="00E15648"/>
    <w:rsid w:val="00E25A7D"/>
    <w:rsid w:val="00E328B3"/>
    <w:rsid w:val="00E347B0"/>
    <w:rsid w:val="00E4438D"/>
    <w:rsid w:val="00E51614"/>
    <w:rsid w:val="00E60490"/>
    <w:rsid w:val="00E71BBF"/>
    <w:rsid w:val="00E8292F"/>
    <w:rsid w:val="00E83CFB"/>
    <w:rsid w:val="00E847F3"/>
    <w:rsid w:val="00E865C7"/>
    <w:rsid w:val="00E906D5"/>
    <w:rsid w:val="00E96412"/>
    <w:rsid w:val="00EB1A06"/>
    <w:rsid w:val="00EB712C"/>
    <w:rsid w:val="00EC4929"/>
    <w:rsid w:val="00ED0312"/>
    <w:rsid w:val="00ED056C"/>
    <w:rsid w:val="00ED4A6D"/>
    <w:rsid w:val="00EE08FD"/>
    <w:rsid w:val="00EE2312"/>
    <w:rsid w:val="00EF2BC9"/>
    <w:rsid w:val="00F034B2"/>
    <w:rsid w:val="00F052E0"/>
    <w:rsid w:val="00F05BC8"/>
    <w:rsid w:val="00F062AF"/>
    <w:rsid w:val="00F171EE"/>
    <w:rsid w:val="00F21CC8"/>
    <w:rsid w:val="00F31C95"/>
    <w:rsid w:val="00F32CEA"/>
    <w:rsid w:val="00F338B3"/>
    <w:rsid w:val="00F41F82"/>
    <w:rsid w:val="00F51CF9"/>
    <w:rsid w:val="00F53EE3"/>
    <w:rsid w:val="00F60A90"/>
    <w:rsid w:val="00F638E9"/>
    <w:rsid w:val="00F65049"/>
    <w:rsid w:val="00F74671"/>
    <w:rsid w:val="00F94DD1"/>
    <w:rsid w:val="00FA120F"/>
    <w:rsid w:val="00FA2A1D"/>
    <w:rsid w:val="00FB0AC3"/>
    <w:rsid w:val="00FB4E8E"/>
    <w:rsid w:val="00FD2F28"/>
    <w:rsid w:val="00FD699E"/>
    <w:rsid w:val="00FE0655"/>
    <w:rsid w:val="00FE1CB5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25748738408/3303a6889e41aa075a71fca2cb7f50e3822e87347ebf6dcf8c47817cddc46b12291d16091452f65c46f4294cc81a2c01b7df95b116849a0d65e2e578d0c1ba1b" TargetMode="External"/><Relationship Id="rId18" Type="http://schemas.openxmlformats.org/officeDocument/2006/relationships/hyperlink" Target="https://www.transparentno.hr/pregled/68580128211/da5f3d64b2074065da327da587a41809ea5c04d3d08bb0c52298dfa9346465da34bf7d4a72f4c06fb7661a81e19017a7830afb11ae195bbea09854d4e2a6918c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11543074213/ac9b2a0d246cfd6d23626034e67a5720692e492df74c7fef0ea2b70f6e06b8568004ef9db328dd44957159c28e1596b41dbd8f681e536d2e7482924931a054f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79512552239/816bb535cd06f7ca3b124704985a399948ff7cc3cbbe7b935d632a6a9eee561204d2639f9f2ba1674f1a941733edbacb3cb571abe4971063fde230430fc8ad11" TargetMode="External"/><Relationship Id="rId17" Type="http://schemas.openxmlformats.org/officeDocument/2006/relationships/hyperlink" Target="https://www.transparentno.hr/pregled/35596498125/fc93d28c88b81dc33fe15940d6b70ddc89cc9218f3989c5f68baab3596290563a075d1206fc0b2db7fc1fbc176c5e628621fd079d6859652eb720eb530ce97ea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82812328597/46a81eccb6446980a5b887ac4ca5222db53d041c4af3ad8db77562bd772e1c9e58f9d7e10a2d07133dc86df4fa692d15a98bad2d8cb836c7679b9ec909fa4918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77561704304/74c498fcb669791c72d5c752a8bd15819baea15f238a55d5c3d7372b8060ed66711efdb21d5ad347d90ab566bb3edebe4b7fc85ee60345ed2168fe51bdbf93f2" TargetMode="External"/><Relationship Id="rId24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33679708526/209018315ed98bfab0e146eaaf0a8232b83411a53c16d6c53bd5741c87f5be622a1aa1018d60196adfda4cf45335f1ad108b7a7fbec2bfc7fda3c8ed94aa4214" TargetMode="External"/><Relationship Id="rId23" Type="http://schemas.openxmlformats.org/officeDocument/2006/relationships/hyperlink" Target="https://www.transparentno.hr/pregled/11543074213/ac9b2a0d246cfd6d23626034e67a5720692e492df74c7fef0ea2b70f6e06b8568004ef9db328dd44957159c28e1596b41dbd8f681e536d2e7482924931a054f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transparentno.hr/pregled/11543074213/ac9b2a0d246cfd6d23626034e67a5720692e492df74c7fef0ea2b70f6e06b8568004ef9db328dd44957159c28e1596b41dbd8f681e536d2e7482924931a054f1" TargetMode="External"/><Relationship Id="rId19" Type="http://schemas.openxmlformats.org/officeDocument/2006/relationships/hyperlink" Target="https://www.transparentno.hr/pregled/09253797076/0f349add3b69027a444ca5eb6576b1ef0a2b5cc4c00522d950da1a92568a2f384896810d4104112354e5f466385924121112772b6001f82fa87b6e14813ff76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82812328597/46a81eccb6446980a5b887ac4ca5222db53d041c4af3ad8db77562bd772e1c9e58f9d7e10a2d07133dc86df4fa692d15a98bad2d8cb836c7679b9ec909fa4918" TargetMode="External"/><Relationship Id="rId14" Type="http://schemas.openxmlformats.org/officeDocument/2006/relationships/hyperlink" Target="https://www.transparentno.hr/pregled/33679708526/209018315ed98bfab0e146eaaf0a8232b83411a53c16d6c53bd5741c87f5be622a1aa1018d60196adfda4cf45335f1ad108b7a7fbec2bfc7fda3c8ed94aa4214" TargetMode="External"/><Relationship Id="rId22" Type="http://schemas.openxmlformats.org/officeDocument/2006/relationships/hyperlink" Target="https://www.transparentno.hr/pregled/35596498125/fc93d28c88b81dc33fe15940d6b70ddc89cc9218f3989c5f68baab3596290563a075d1206fc0b2db7fc1fbc176c5e628621fd079d6859652eb720eb530ce97e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DFDE-17FE-4991-A9C4-4AB809F3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3</Pages>
  <Words>1876</Words>
  <Characters>10697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12548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Vesna Kavur</cp:lastModifiedBy>
  <cp:revision>6</cp:revision>
  <cp:lastPrinted>2014-09-19T12:18:00Z</cp:lastPrinted>
  <dcterms:created xsi:type="dcterms:W3CDTF">2019-09-20T19:44:00Z</dcterms:created>
  <dcterms:modified xsi:type="dcterms:W3CDTF">2019-09-23T08:33:00Z</dcterms:modified>
</cp:coreProperties>
</file>