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95" w:rsidRPr="00CC02EE" w:rsidRDefault="002A7D22" w:rsidP="00937F67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r w:rsidRPr="00596409">
        <w:rPr>
          <w:rFonts w:cs="Arial"/>
          <w:b/>
          <w:color w:val="17365D" w:themeColor="text2" w:themeShade="BF"/>
          <w:szCs w:val="20"/>
          <w:lang w:eastAsia="hr-HR"/>
        </w:rPr>
        <w:t>PODUZETNICI HRVATSKE U 201</w:t>
      </w:r>
      <w:r w:rsidR="00940D6E" w:rsidRPr="00596409">
        <w:rPr>
          <w:rFonts w:cs="Arial"/>
          <w:b/>
          <w:color w:val="17365D" w:themeColor="text2" w:themeShade="BF"/>
          <w:szCs w:val="20"/>
          <w:lang w:eastAsia="hr-HR"/>
        </w:rPr>
        <w:t>9</w:t>
      </w:r>
      <w:r w:rsidR="00237C95" w:rsidRPr="00596409">
        <w:rPr>
          <w:rFonts w:cs="Arial"/>
          <w:b/>
          <w:color w:val="17365D" w:themeColor="text2" w:themeShade="BF"/>
          <w:szCs w:val="20"/>
          <w:lang w:eastAsia="hr-HR"/>
        </w:rPr>
        <w:t xml:space="preserve">. GODINI OSTVARILI </w:t>
      </w:r>
      <w:r w:rsidR="00940D6E" w:rsidRPr="00596409">
        <w:rPr>
          <w:rFonts w:cs="Arial"/>
          <w:b/>
          <w:color w:val="17365D" w:themeColor="text2" w:themeShade="BF"/>
          <w:szCs w:val="20"/>
          <w:lang w:eastAsia="hr-HR"/>
        </w:rPr>
        <w:t>31,3</w:t>
      </w:r>
      <w:r w:rsidRPr="00596409">
        <w:rPr>
          <w:rFonts w:cs="Arial"/>
          <w:b/>
          <w:color w:val="17365D" w:themeColor="text2" w:themeShade="BF"/>
          <w:szCs w:val="20"/>
          <w:lang w:eastAsia="hr-HR"/>
        </w:rPr>
        <w:t xml:space="preserve"> MILIJARD</w:t>
      </w:r>
      <w:r w:rsidR="00CC02EE" w:rsidRPr="00596409">
        <w:rPr>
          <w:rFonts w:cs="Arial"/>
          <w:b/>
          <w:color w:val="17365D" w:themeColor="text2" w:themeShade="BF"/>
          <w:szCs w:val="20"/>
          <w:lang w:eastAsia="hr-HR"/>
        </w:rPr>
        <w:t>E</w:t>
      </w:r>
      <w:r w:rsidR="00237C95" w:rsidRPr="00596409">
        <w:rPr>
          <w:rFonts w:cs="Arial"/>
          <w:b/>
          <w:color w:val="17365D" w:themeColor="text2" w:themeShade="BF"/>
          <w:szCs w:val="20"/>
          <w:lang w:eastAsia="hr-HR"/>
        </w:rPr>
        <w:t xml:space="preserve"> KUNA NETO DOBITI</w:t>
      </w:r>
    </w:p>
    <w:p w:rsidR="005F5A46" w:rsidRPr="00316992" w:rsidRDefault="005F5A46" w:rsidP="00095524">
      <w:pPr>
        <w:spacing w:before="120" w:line="264" w:lineRule="auto"/>
        <w:rPr>
          <w:color w:val="FF0000"/>
          <w:szCs w:val="20"/>
        </w:rPr>
      </w:pPr>
      <w:r w:rsidRPr="00BA5404">
        <w:rPr>
          <w:color w:val="17365D" w:themeColor="text2" w:themeShade="BF"/>
          <w:szCs w:val="20"/>
        </w:rPr>
        <w:t>Poduzetnici Hrvatske, obveznici poreza na dobit</w:t>
      </w:r>
      <w:r w:rsidR="00BB3D72" w:rsidRPr="00BA5404">
        <w:rPr>
          <w:color w:val="17365D" w:themeColor="text2" w:themeShade="BF"/>
          <w:szCs w:val="20"/>
        </w:rPr>
        <w:t>,</w:t>
      </w:r>
      <w:r w:rsidRPr="00BA5404">
        <w:rPr>
          <w:color w:val="17365D" w:themeColor="text2" w:themeShade="BF"/>
          <w:szCs w:val="20"/>
        </w:rPr>
        <w:t xml:space="preserve"> njih </w:t>
      </w:r>
      <w:r w:rsidR="00385019" w:rsidRPr="00BA5404">
        <w:rPr>
          <w:color w:val="17365D" w:themeColor="text2" w:themeShade="BF"/>
          <w:szCs w:val="20"/>
        </w:rPr>
        <w:t>136.260</w:t>
      </w:r>
      <w:r w:rsidR="00BB3D72" w:rsidRPr="00BA5404">
        <w:rPr>
          <w:color w:val="17365D" w:themeColor="text2" w:themeShade="BF"/>
          <w:szCs w:val="20"/>
        </w:rPr>
        <w:t xml:space="preserve"> (bez banaka, osiguravajućih društava i dr</w:t>
      </w:r>
      <w:r w:rsidR="00E432D1" w:rsidRPr="00BA5404">
        <w:rPr>
          <w:color w:val="17365D" w:themeColor="text2" w:themeShade="BF"/>
          <w:szCs w:val="20"/>
        </w:rPr>
        <w:t xml:space="preserve">. </w:t>
      </w:r>
      <w:r w:rsidR="00BB3D72" w:rsidRPr="00BA5404">
        <w:rPr>
          <w:color w:val="17365D" w:themeColor="text2" w:themeShade="BF"/>
          <w:szCs w:val="20"/>
        </w:rPr>
        <w:t xml:space="preserve">financijskih institucija), </w:t>
      </w:r>
      <w:r w:rsidR="002A7D22" w:rsidRPr="00BA5404">
        <w:rPr>
          <w:color w:val="17365D" w:themeColor="text2" w:themeShade="BF"/>
          <w:szCs w:val="20"/>
        </w:rPr>
        <w:t>u 201</w:t>
      </w:r>
      <w:r w:rsidR="00385019" w:rsidRPr="00BA5404">
        <w:rPr>
          <w:color w:val="17365D" w:themeColor="text2" w:themeShade="BF"/>
          <w:szCs w:val="20"/>
        </w:rPr>
        <w:t>9</w:t>
      </w:r>
      <w:r w:rsidRPr="00BA5404">
        <w:rPr>
          <w:color w:val="17365D" w:themeColor="text2" w:themeShade="BF"/>
          <w:szCs w:val="20"/>
        </w:rPr>
        <w:t xml:space="preserve">. godini imali su </w:t>
      </w:r>
      <w:r w:rsidR="00385019" w:rsidRPr="00BA5404">
        <w:rPr>
          <w:color w:val="17365D" w:themeColor="text2" w:themeShade="BF"/>
          <w:szCs w:val="20"/>
        </w:rPr>
        <w:t>969.776</w:t>
      </w:r>
      <w:r w:rsidR="00106906" w:rsidRPr="00BA5404">
        <w:rPr>
          <w:rFonts w:eastAsia="Times New Roman" w:cs="Arial"/>
          <w:color w:val="003366"/>
          <w:sz w:val="16"/>
          <w:szCs w:val="16"/>
          <w:lang w:eastAsia="hr-HR"/>
        </w:rPr>
        <w:t xml:space="preserve"> </w:t>
      </w:r>
      <w:r w:rsidRPr="00BA5404">
        <w:rPr>
          <w:color w:val="17365D" w:themeColor="text2" w:themeShade="BF"/>
          <w:szCs w:val="20"/>
        </w:rPr>
        <w:t>zaposlenih (prema satima rada)</w:t>
      </w:r>
      <w:r w:rsidR="00AC7D7E">
        <w:rPr>
          <w:color w:val="17365D" w:themeColor="text2" w:themeShade="BF"/>
          <w:szCs w:val="20"/>
        </w:rPr>
        <w:t>.</w:t>
      </w:r>
    </w:p>
    <w:p w:rsidR="00937F67" w:rsidRDefault="005F5A46" w:rsidP="00095524">
      <w:pPr>
        <w:spacing w:before="120" w:line="264" w:lineRule="auto"/>
        <w:rPr>
          <w:color w:val="17365D" w:themeColor="text2" w:themeShade="BF"/>
        </w:rPr>
      </w:pPr>
      <w:r w:rsidRPr="00BA5404">
        <w:rPr>
          <w:color w:val="17365D" w:themeColor="text2" w:themeShade="BF"/>
          <w:szCs w:val="20"/>
        </w:rPr>
        <w:t xml:space="preserve">Ostvareni su ukupni prihodi </w:t>
      </w:r>
      <w:r w:rsidR="00C04B3B" w:rsidRPr="00BA5404">
        <w:rPr>
          <w:color w:val="17365D" w:themeColor="text2" w:themeShade="BF"/>
          <w:szCs w:val="20"/>
        </w:rPr>
        <w:t xml:space="preserve">u iznosu </w:t>
      </w:r>
      <w:r w:rsidRPr="00BA5404">
        <w:rPr>
          <w:color w:val="17365D" w:themeColor="text2" w:themeShade="BF"/>
          <w:szCs w:val="20"/>
        </w:rPr>
        <w:t xml:space="preserve">od </w:t>
      </w:r>
      <w:r w:rsidR="00FA6B20" w:rsidRPr="00BA5404">
        <w:rPr>
          <w:color w:val="17365D" w:themeColor="text2" w:themeShade="BF"/>
          <w:szCs w:val="20"/>
        </w:rPr>
        <w:t>796,1</w:t>
      </w:r>
      <w:r w:rsidR="002A7D22" w:rsidRPr="00BA5404">
        <w:rPr>
          <w:color w:val="17365D" w:themeColor="text2" w:themeShade="BF"/>
          <w:szCs w:val="20"/>
        </w:rPr>
        <w:t xml:space="preserve"> milijard</w:t>
      </w:r>
      <w:r w:rsidR="00FA6B20" w:rsidRPr="00BA5404">
        <w:rPr>
          <w:color w:val="17365D" w:themeColor="text2" w:themeShade="BF"/>
          <w:szCs w:val="20"/>
        </w:rPr>
        <w:t>a</w:t>
      </w:r>
      <w:r w:rsidRPr="00BA5404">
        <w:rPr>
          <w:color w:val="17365D" w:themeColor="text2" w:themeShade="BF"/>
          <w:szCs w:val="20"/>
        </w:rPr>
        <w:t xml:space="preserve"> kuna</w:t>
      </w:r>
      <w:r w:rsidR="00E432D1" w:rsidRPr="00BA5404">
        <w:rPr>
          <w:color w:val="17365D" w:themeColor="text2" w:themeShade="BF"/>
          <w:szCs w:val="20"/>
        </w:rPr>
        <w:t xml:space="preserve"> i </w:t>
      </w:r>
      <w:r w:rsidRPr="00BA5404">
        <w:rPr>
          <w:color w:val="17365D" w:themeColor="text2" w:themeShade="BF"/>
          <w:szCs w:val="20"/>
        </w:rPr>
        <w:t xml:space="preserve">ukupni rashodi </w:t>
      </w:r>
      <w:r w:rsidR="00C04B3B" w:rsidRPr="00BA5404">
        <w:rPr>
          <w:color w:val="17365D" w:themeColor="text2" w:themeShade="BF"/>
          <w:szCs w:val="20"/>
        </w:rPr>
        <w:t xml:space="preserve">u iznosu </w:t>
      </w:r>
      <w:r w:rsidRPr="00BA5404">
        <w:rPr>
          <w:color w:val="17365D" w:themeColor="text2" w:themeShade="BF"/>
          <w:szCs w:val="20"/>
        </w:rPr>
        <w:t xml:space="preserve">od </w:t>
      </w:r>
      <w:r w:rsidR="00FA6B20" w:rsidRPr="00BA5404">
        <w:rPr>
          <w:color w:val="17365D" w:themeColor="text2" w:themeShade="BF"/>
          <w:szCs w:val="20"/>
        </w:rPr>
        <w:t>756,5</w:t>
      </w:r>
      <w:r w:rsidR="002A7D22" w:rsidRPr="00BA5404">
        <w:rPr>
          <w:color w:val="17365D" w:themeColor="text2" w:themeShade="BF"/>
          <w:szCs w:val="20"/>
        </w:rPr>
        <w:t xml:space="preserve"> milijard</w:t>
      </w:r>
      <w:r w:rsidR="00FA6B20" w:rsidRPr="00BA5404">
        <w:rPr>
          <w:color w:val="17365D" w:themeColor="text2" w:themeShade="BF"/>
          <w:szCs w:val="20"/>
        </w:rPr>
        <w:t>i</w:t>
      </w:r>
      <w:r w:rsidRPr="00BA5404">
        <w:rPr>
          <w:color w:val="17365D" w:themeColor="text2" w:themeShade="BF"/>
          <w:szCs w:val="20"/>
        </w:rPr>
        <w:t xml:space="preserve"> kuna</w:t>
      </w:r>
      <w:r w:rsidR="00E432D1" w:rsidRPr="00BA5404">
        <w:rPr>
          <w:color w:val="17365D" w:themeColor="text2" w:themeShade="BF"/>
          <w:szCs w:val="20"/>
        </w:rPr>
        <w:t>.</w:t>
      </w:r>
      <w:r w:rsidR="00E432D1" w:rsidRPr="00BA5404">
        <w:t xml:space="preserve"> </w:t>
      </w:r>
      <w:r w:rsidR="00E432D1" w:rsidRPr="00BA5404">
        <w:rPr>
          <w:color w:val="17365D" w:themeColor="text2" w:themeShade="BF"/>
          <w:szCs w:val="20"/>
        </w:rPr>
        <w:t>U odnosu na 201</w:t>
      </w:r>
      <w:r w:rsidR="00FA6B20" w:rsidRPr="00BA5404">
        <w:rPr>
          <w:color w:val="17365D" w:themeColor="text2" w:themeShade="BF"/>
          <w:szCs w:val="20"/>
        </w:rPr>
        <w:t>8</w:t>
      </w:r>
      <w:r w:rsidR="00E432D1" w:rsidRPr="00BA5404">
        <w:rPr>
          <w:color w:val="17365D" w:themeColor="text2" w:themeShade="BF"/>
          <w:szCs w:val="20"/>
        </w:rPr>
        <w:t xml:space="preserve">. </w:t>
      </w:r>
      <w:r w:rsidR="00BA5404" w:rsidRPr="00BA5404">
        <w:rPr>
          <w:color w:val="17365D" w:themeColor="text2" w:themeShade="BF"/>
          <w:szCs w:val="20"/>
        </w:rPr>
        <w:t>g</w:t>
      </w:r>
      <w:r w:rsidR="00E432D1" w:rsidRPr="00BA5404">
        <w:rPr>
          <w:color w:val="17365D" w:themeColor="text2" w:themeShade="BF"/>
          <w:szCs w:val="20"/>
        </w:rPr>
        <w:t>odinu</w:t>
      </w:r>
      <w:r w:rsidR="00BA5404" w:rsidRPr="00BA5404">
        <w:rPr>
          <w:color w:val="17365D" w:themeColor="text2" w:themeShade="BF"/>
          <w:szCs w:val="20"/>
        </w:rPr>
        <w:t>,</w:t>
      </w:r>
      <w:r w:rsidR="00E432D1" w:rsidRPr="00BA5404">
        <w:rPr>
          <w:color w:val="17365D" w:themeColor="text2" w:themeShade="BF"/>
          <w:szCs w:val="20"/>
        </w:rPr>
        <w:t xml:space="preserve"> ukupni prihodi veći su za </w:t>
      </w:r>
      <w:r w:rsidR="00FA6B20" w:rsidRPr="00BA5404">
        <w:rPr>
          <w:color w:val="17365D" w:themeColor="text2" w:themeShade="BF"/>
          <w:szCs w:val="20"/>
        </w:rPr>
        <w:t>10,4</w:t>
      </w:r>
      <w:r w:rsidR="00E432D1" w:rsidRPr="00BA5404">
        <w:rPr>
          <w:color w:val="17365D" w:themeColor="text2" w:themeShade="BF"/>
          <w:szCs w:val="20"/>
        </w:rPr>
        <w:t xml:space="preserve">%, a ukupni rashodi za </w:t>
      </w:r>
      <w:r w:rsidR="00FA6B20" w:rsidRPr="00BA5404">
        <w:rPr>
          <w:color w:val="17365D" w:themeColor="text2" w:themeShade="BF"/>
          <w:szCs w:val="20"/>
        </w:rPr>
        <w:t>10,8</w:t>
      </w:r>
      <w:r w:rsidR="00E432D1" w:rsidRPr="00BA5404">
        <w:rPr>
          <w:color w:val="17365D" w:themeColor="text2" w:themeShade="BF"/>
          <w:szCs w:val="20"/>
        </w:rPr>
        <w:t>%.</w:t>
      </w:r>
      <w:r w:rsidRPr="00BA5404">
        <w:rPr>
          <w:color w:val="17365D" w:themeColor="text2" w:themeShade="BF"/>
          <w:szCs w:val="20"/>
        </w:rPr>
        <w:t xml:space="preserve"> </w:t>
      </w:r>
      <w:r w:rsidR="00E432D1" w:rsidRPr="00BA5404">
        <w:rPr>
          <w:color w:val="17365D" w:themeColor="text2" w:themeShade="BF"/>
          <w:szCs w:val="20"/>
        </w:rPr>
        <w:t xml:space="preserve">Na stranim tržištima svoje proizvode i usluge plasiralo je </w:t>
      </w:r>
      <w:r w:rsidR="00FA6B20" w:rsidRPr="00BA5404">
        <w:rPr>
          <w:color w:val="17365D" w:themeColor="text2" w:themeShade="BF"/>
          <w:szCs w:val="20"/>
        </w:rPr>
        <w:t>20.409</w:t>
      </w:r>
      <w:r w:rsidR="00E432D1" w:rsidRPr="00BA5404">
        <w:rPr>
          <w:color w:val="17365D" w:themeColor="text2" w:themeShade="BF"/>
          <w:szCs w:val="20"/>
        </w:rPr>
        <w:t xml:space="preserve"> poduzetnika</w:t>
      </w:r>
      <w:r w:rsidR="00D354CE" w:rsidRPr="00BA5404">
        <w:rPr>
          <w:color w:val="17365D" w:themeColor="text2" w:themeShade="BF"/>
          <w:szCs w:val="20"/>
        </w:rPr>
        <w:t xml:space="preserve"> (</w:t>
      </w:r>
      <w:r w:rsidR="00FA6B20" w:rsidRPr="00BA5404">
        <w:rPr>
          <w:color w:val="17365D" w:themeColor="text2" w:themeShade="BF"/>
          <w:szCs w:val="20"/>
        </w:rPr>
        <w:t>15,0</w:t>
      </w:r>
      <w:r w:rsidR="00D354CE" w:rsidRPr="00BA5404">
        <w:rPr>
          <w:color w:val="17365D" w:themeColor="text2" w:themeShade="BF"/>
          <w:szCs w:val="20"/>
        </w:rPr>
        <w:t>%)</w:t>
      </w:r>
      <w:r w:rsidR="00E432D1" w:rsidRPr="00BA5404">
        <w:rPr>
          <w:color w:val="17365D" w:themeColor="text2" w:themeShade="BF"/>
          <w:szCs w:val="20"/>
        </w:rPr>
        <w:t>, s tim da je o</w:t>
      </w:r>
      <w:r w:rsidR="000E1201" w:rsidRPr="00BA5404">
        <w:rPr>
          <w:color w:val="17365D" w:themeColor="text2" w:themeShade="BF"/>
          <w:szCs w:val="20"/>
        </w:rPr>
        <w:t xml:space="preserve">d </w:t>
      </w:r>
      <w:r w:rsidRPr="00BA5404">
        <w:rPr>
          <w:color w:val="17365D" w:themeColor="text2" w:themeShade="BF"/>
          <w:szCs w:val="20"/>
        </w:rPr>
        <w:t>ukupnoga prihoda</w:t>
      </w:r>
      <w:r w:rsidR="00C04B3B" w:rsidRPr="00BA5404">
        <w:rPr>
          <w:color w:val="17365D" w:themeColor="text2" w:themeShade="BF"/>
          <w:szCs w:val="20"/>
        </w:rPr>
        <w:t xml:space="preserve"> </w:t>
      </w:r>
      <w:r w:rsidR="00FA6B20" w:rsidRPr="00BA5404">
        <w:rPr>
          <w:color w:val="17365D" w:themeColor="text2" w:themeShade="BF"/>
          <w:szCs w:val="20"/>
        </w:rPr>
        <w:t>151,5</w:t>
      </w:r>
      <w:r w:rsidRPr="00BA5404">
        <w:rPr>
          <w:color w:val="17365D" w:themeColor="text2" w:themeShade="BF"/>
          <w:szCs w:val="20"/>
        </w:rPr>
        <w:t xml:space="preserve"> milijard</w:t>
      </w:r>
      <w:r w:rsidR="00FA6B20" w:rsidRPr="00BA5404">
        <w:rPr>
          <w:color w:val="17365D" w:themeColor="text2" w:themeShade="BF"/>
          <w:szCs w:val="20"/>
        </w:rPr>
        <w:t>i</w:t>
      </w:r>
      <w:r w:rsidRPr="00BA5404">
        <w:rPr>
          <w:color w:val="17365D" w:themeColor="text2" w:themeShade="BF"/>
          <w:szCs w:val="20"/>
        </w:rPr>
        <w:t xml:space="preserve"> ostvaren</w:t>
      </w:r>
      <w:r w:rsidR="00BB3D72" w:rsidRPr="00BA5404">
        <w:rPr>
          <w:color w:val="17365D" w:themeColor="text2" w:themeShade="BF"/>
          <w:szCs w:val="20"/>
        </w:rPr>
        <w:t xml:space="preserve">o </w:t>
      </w:r>
      <w:r w:rsidRPr="00BA5404">
        <w:rPr>
          <w:color w:val="17365D" w:themeColor="text2" w:themeShade="BF"/>
          <w:szCs w:val="20"/>
        </w:rPr>
        <w:t xml:space="preserve">prodajom robe na inozemnom tržištu, što je </w:t>
      </w:r>
      <w:r w:rsidR="00E432D1" w:rsidRPr="00BA5404">
        <w:rPr>
          <w:color w:val="17365D" w:themeColor="text2" w:themeShade="BF"/>
          <w:szCs w:val="20"/>
        </w:rPr>
        <w:t xml:space="preserve">rast </w:t>
      </w:r>
      <w:r w:rsidR="00614BEC" w:rsidRPr="00BA5404">
        <w:rPr>
          <w:color w:val="17365D" w:themeColor="text2" w:themeShade="BF"/>
          <w:szCs w:val="20"/>
        </w:rPr>
        <w:t xml:space="preserve">izvoza </w:t>
      </w:r>
      <w:r w:rsidR="00E432D1" w:rsidRPr="00BA5404">
        <w:rPr>
          <w:color w:val="17365D" w:themeColor="text2" w:themeShade="BF"/>
          <w:szCs w:val="20"/>
        </w:rPr>
        <w:t xml:space="preserve">od </w:t>
      </w:r>
      <w:r w:rsidR="00FA6B20" w:rsidRPr="00BA5404">
        <w:rPr>
          <w:color w:val="17365D" w:themeColor="text2" w:themeShade="BF"/>
          <w:szCs w:val="20"/>
        </w:rPr>
        <w:t>5,6</w:t>
      </w:r>
      <w:r w:rsidR="00345E94" w:rsidRPr="00BA5404">
        <w:rPr>
          <w:color w:val="17365D" w:themeColor="text2" w:themeShade="BF"/>
          <w:szCs w:val="20"/>
        </w:rPr>
        <w:t xml:space="preserve">% </w:t>
      </w:r>
      <w:r w:rsidR="00E432D1" w:rsidRPr="00BA5404">
        <w:rPr>
          <w:color w:val="17365D" w:themeColor="text2" w:themeShade="BF"/>
          <w:szCs w:val="20"/>
        </w:rPr>
        <w:t xml:space="preserve">u usporedbi s </w:t>
      </w:r>
      <w:r w:rsidR="00345E94" w:rsidRPr="00BA5404">
        <w:rPr>
          <w:color w:val="17365D" w:themeColor="text2" w:themeShade="BF"/>
          <w:szCs w:val="20"/>
        </w:rPr>
        <w:t>201</w:t>
      </w:r>
      <w:r w:rsidR="00FA6B20" w:rsidRPr="00BA5404">
        <w:rPr>
          <w:color w:val="17365D" w:themeColor="text2" w:themeShade="BF"/>
          <w:szCs w:val="20"/>
        </w:rPr>
        <w:t>8</w:t>
      </w:r>
      <w:r w:rsidRPr="00BA5404">
        <w:rPr>
          <w:color w:val="17365D" w:themeColor="text2" w:themeShade="BF"/>
          <w:szCs w:val="20"/>
        </w:rPr>
        <w:t>. godin</w:t>
      </w:r>
      <w:r w:rsidR="00E432D1" w:rsidRPr="00BA5404">
        <w:rPr>
          <w:color w:val="17365D" w:themeColor="text2" w:themeShade="BF"/>
          <w:szCs w:val="20"/>
        </w:rPr>
        <w:t>om</w:t>
      </w:r>
      <w:r w:rsidRPr="00BA5404">
        <w:rPr>
          <w:color w:val="17365D" w:themeColor="text2" w:themeShade="BF"/>
          <w:szCs w:val="20"/>
        </w:rPr>
        <w:t xml:space="preserve">. </w:t>
      </w:r>
      <w:r w:rsidR="00937F67" w:rsidRPr="00BA5404">
        <w:rPr>
          <w:color w:val="17365D" w:themeColor="text2" w:themeShade="BF"/>
          <w:szCs w:val="20"/>
        </w:rPr>
        <w:t xml:space="preserve">U </w:t>
      </w:r>
      <w:r w:rsidR="00937F67" w:rsidRPr="001C174E">
        <w:rPr>
          <w:color w:val="17365D" w:themeColor="text2" w:themeShade="BF"/>
          <w:szCs w:val="20"/>
        </w:rPr>
        <w:t xml:space="preserve">istom razdoblju </w:t>
      </w:r>
      <w:r w:rsidRPr="001C174E">
        <w:rPr>
          <w:color w:val="17365D" w:themeColor="text2" w:themeShade="BF"/>
          <w:szCs w:val="20"/>
        </w:rPr>
        <w:t xml:space="preserve">kupljeno je robe u vrijednosti od </w:t>
      </w:r>
      <w:r w:rsidR="0081545A" w:rsidRPr="001C174E">
        <w:rPr>
          <w:color w:val="17365D" w:themeColor="text2" w:themeShade="BF"/>
          <w:szCs w:val="20"/>
        </w:rPr>
        <w:t>137,8</w:t>
      </w:r>
      <w:r w:rsidR="00F00F87" w:rsidRPr="001C174E">
        <w:rPr>
          <w:color w:val="17365D" w:themeColor="text2" w:themeShade="BF"/>
          <w:szCs w:val="20"/>
        </w:rPr>
        <w:t xml:space="preserve"> milijard</w:t>
      </w:r>
      <w:r w:rsidR="0081545A" w:rsidRPr="001C174E">
        <w:rPr>
          <w:color w:val="17365D" w:themeColor="text2" w:themeShade="BF"/>
          <w:szCs w:val="20"/>
        </w:rPr>
        <w:t>i</w:t>
      </w:r>
      <w:r w:rsidRPr="001C174E">
        <w:rPr>
          <w:color w:val="17365D" w:themeColor="text2" w:themeShade="BF"/>
          <w:szCs w:val="20"/>
        </w:rPr>
        <w:t xml:space="preserve"> kuna te je trgovinski suficit iznosio </w:t>
      </w:r>
      <w:r w:rsidR="0081545A" w:rsidRPr="001C174E">
        <w:rPr>
          <w:color w:val="17365D" w:themeColor="text2" w:themeShade="BF"/>
          <w:szCs w:val="20"/>
        </w:rPr>
        <w:t>13,7</w:t>
      </w:r>
      <w:r w:rsidR="00345E94" w:rsidRPr="001C174E">
        <w:rPr>
          <w:color w:val="17365D" w:themeColor="text2" w:themeShade="BF"/>
          <w:szCs w:val="20"/>
        </w:rPr>
        <w:t xml:space="preserve"> milijard</w:t>
      </w:r>
      <w:r w:rsidR="000556F9" w:rsidRPr="001C174E">
        <w:rPr>
          <w:color w:val="17365D" w:themeColor="text2" w:themeShade="BF"/>
          <w:szCs w:val="20"/>
        </w:rPr>
        <w:t>i</w:t>
      </w:r>
      <w:r w:rsidRPr="001C174E">
        <w:rPr>
          <w:color w:val="17365D" w:themeColor="text2" w:themeShade="BF"/>
          <w:szCs w:val="20"/>
        </w:rPr>
        <w:t xml:space="preserve"> kuna.</w:t>
      </w:r>
      <w:r w:rsidR="00D83110" w:rsidRPr="001C174E">
        <w:rPr>
          <w:color w:val="17365D" w:themeColor="text2" w:themeShade="BF"/>
        </w:rPr>
        <w:t xml:space="preserve"> </w:t>
      </w:r>
      <w:r w:rsidR="00D83110" w:rsidRPr="001C174E">
        <w:rPr>
          <w:color w:val="17365D" w:themeColor="text2" w:themeShade="BF"/>
          <w:szCs w:val="20"/>
        </w:rPr>
        <w:t xml:space="preserve">Dobit razdoblja, u iznosu od </w:t>
      </w:r>
      <w:r w:rsidR="00A8573F" w:rsidRPr="001C174E">
        <w:rPr>
          <w:color w:val="17365D" w:themeColor="text2" w:themeShade="BF"/>
          <w:szCs w:val="20"/>
        </w:rPr>
        <w:t>48,9</w:t>
      </w:r>
      <w:r w:rsidR="00F00F87" w:rsidRPr="001C174E">
        <w:rPr>
          <w:color w:val="17365D" w:themeColor="text2" w:themeShade="BF"/>
          <w:szCs w:val="20"/>
        </w:rPr>
        <w:t xml:space="preserve"> milijardi</w:t>
      </w:r>
      <w:r w:rsidR="00D83110" w:rsidRPr="001C174E">
        <w:rPr>
          <w:color w:val="17365D" w:themeColor="text2" w:themeShade="BF"/>
          <w:szCs w:val="20"/>
        </w:rPr>
        <w:t xml:space="preserve"> </w:t>
      </w:r>
      <w:r w:rsidR="00D83110" w:rsidRPr="00636010">
        <w:rPr>
          <w:color w:val="17365D" w:themeColor="text2" w:themeShade="BF"/>
          <w:szCs w:val="20"/>
        </w:rPr>
        <w:t xml:space="preserve">kuna, ostvarilo je </w:t>
      </w:r>
      <w:r w:rsidR="00A8573F" w:rsidRPr="00636010">
        <w:rPr>
          <w:color w:val="17365D" w:themeColor="text2" w:themeShade="BF"/>
          <w:szCs w:val="20"/>
        </w:rPr>
        <w:t>90.955</w:t>
      </w:r>
      <w:r w:rsidR="00D83110" w:rsidRPr="00636010">
        <w:rPr>
          <w:color w:val="17365D" w:themeColor="text2" w:themeShade="BF"/>
          <w:szCs w:val="20"/>
        </w:rPr>
        <w:t xml:space="preserve"> poduzetnika</w:t>
      </w:r>
      <w:r w:rsidR="00D354CE" w:rsidRPr="00636010">
        <w:rPr>
          <w:color w:val="17365D" w:themeColor="text2" w:themeShade="BF"/>
          <w:szCs w:val="20"/>
        </w:rPr>
        <w:t xml:space="preserve"> (</w:t>
      </w:r>
      <w:r w:rsidR="00A8573F" w:rsidRPr="00636010">
        <w:rPr>
          <w:color w:val="17365D" w:themeColor="text2" w:themeShade="BF"/>
          <w:szCs w:val="20"/>
        </w:rPr>
        <w:t>66,8</w:t>
      </w:r>
      <w:r w:rsidR="00D354CE" w:rsidRPr="00636010">
        <w:rPr>
          <w:color w:val="17365D" w:themeColor="text2" w:themeShade="BF"/>
          <w:szCs w:val="20"/>
        </w:rPr>
        <w:t>%)</w:t>
      </w:r>
      <w:r w:rsidR="00D83110" w:rsidRPr="00636010">
        <w:rPr>
          <w:color w:val="17365D" w:themeColor="text2" w:themeShade="BF"/>
          <w:szCs w:val="20"/>
        </w:rPr>
        <w:t>, dok je gubit</w:t>
      </w:r>
      <w:r w:rsidR="00A8573F" w:rsidRPr="00636010">
        <w:rPr>
          <w:color w:val="17365D" w:themeColor="text2" w:themeShade="BF"/>
          <w:szCs w:val="20"/>
        </w:rPr>
        <w:t>ak</w:t>
      </w:r>
      <w:r w:rsidR="00D83110" w:rsidRPr="00636010">
        <w:rPr>
          <w:color w:val="17365D" w:themeColor="text2" w:themeShade="BF"/>
          <w:szCs w:val="20"/>
        </w:rPr>
        <w:t xml:space="preserve"> razdoblja </w:t>
      </w:r>
      <w:r w:rsidR="00A8573F" w:rsidRPr="00636010">
        <w:rPr>
          <w:color w:val="17365D" w:themeColor="text2" w:themeShade="BF"/>
          <w:szCs w:val="20"/>
        </w:rPr>
        <w:t>od 17,6</w:t>
      </w:r>
      <w:r w:rsidR="00D83110" w:rsidRPr="00636010">
        <w:rPr>
          <w:color w:val="17365D" w:themeColor="text2" w:themeShade="BF"/>
          <w:szCs w:val="20"/>
        </w:rPr>
        <w:t xml:space="preserve"> milijardi kuna iskazalo </w:t>
      </w:r>
      <w:r w:rsidR="00A8573F" w:rsidRPr="00636010">
        <w:rPr>
          <w:color w:val="17365D" w:themeColor="text2" w:themeShade="BF"/>
          <w:szCs w:val="20"/>
        </w:rPr>
        <w:t>45.305</w:t>
      </w:r>
      <w:r w:rsidR="00D83110" w:rsidRPr="00636010">
        <w:rPr>
          <w:color w:val="17365D" w:themeColor="text2" w:themeShade="BF"/>
          <w:szCs w:val="20"/>
        </w:rPr>
        <w:t xml:space="preserve"> poduzetnika</w:t>
      </w:r>
      <w:r w:rsidR="00D354CE" w:rsidRPr="00636010">
        <w:rPr>
          <w:color w:val="17365D" w:themeColor="text2" w:themeShade="BF"/>
          <w:szCs w:val="20"/>
        </w:rPr>
        <w:t xml:space="preserve"> (</w:t>
      </w:r>
      <w:r w:rsidR="00A8573F" w:rsidRPr="00636010">
        <w:rPr>
          <w:color w:val="17365D" w:themeColor="text2" w:themeShade="BF"/>
          <w:szCs w:val="20"/>
        </w:rPr>
        <w:t>33,2</w:t>
      </w:r>
      <w:r w:rsidR="00D354CE" w:rsidRPr="00636010">
        <w:rPr>
          <w:color w:val="17365D" w:themeColor="text2" w:themeShade="BF"/>
          <w:szCs w:val="20"/>
        </w:rPr>
        <w:t>%)</w:t>
      </w:r>
      <w:r w:rsidR="00D83110" w:rsidRPr="00636010">
        <w:rPr>
          <w:color w:val="17365D" w:themeColor="text2" w:themeShade="BF"/>
          <w:szCs w:val="20"/>
        </w:rPr>
        <w:t xml:space="preserve">. </w:t>
      </w:r>
      <w:r w:rsidR="00937F67" w:rsidRPr="00636010">
        <w:rPr>
          <w:color w:val="17365D" w:themeColor="text2" w:themeShade="BF"/>
          <w:szCs w:val="20"/>
        </w:rPr>
        <w:t>U odnosu na 201</w:t>
      </w:r>
      <w:r w:rsidR="00A8573F" w:rsidRPr="00636010">
        <w:rPr>
          <w:color w:val="17365D" w:themeColor="text2" w:themeShade="BF"/>
          <w:szCs w:val="20"/>
        </w:rPr>
        <w:t>8</w:t>
      </w:r>
      <w:r w:rsidR="00937F67" w:rsidRPr="00636010">
        <w:rPr>
          <w:color w:val="17365D" w:themeColor="text2" w:themeShade="BF"/>
          <w:szCs w:val="20"/>
        </w:rPr>
        <w:t xml:space="preserve">. </w:t>
      </w:r>
      <w:r w:rsidR="00A8573F" w:rsidRPr="00636010">
        <w:rPr>
          <w:color w:val="17365D" w:themeColor="text2" w:themeShade="BF"/>
          <w:szCs w:val="20"/>
        </w:rPr>
        <w:t>g</w:t>
      </w:r>
      <w:r w:rsidR="00937F67" w:rsidRPr="00636010">
        <w:rPr>
          <w:color w:val="17365D" w:themeColor="text2" w:themeShade="BF"/>
          <w:szCs w:val="20"/>
        </w:rPr>
        <w:t>odinu</w:t>
      </w:r>
      <w:r w:rsidR="00A8573F" w:rsidRPr="00636010">
        <w:rPr>
          <w:color w:val="17365D" w:themeColor="text2" w:themeShade="BF"/>
          <w:szCs w:val="20"/>
        </w:rPr>
        <w:t>, poduzetnici su ostvarili 5,9</w:t>
      </w:r>
      <w:r w:rsidR="00937F67" w:rsidRPr="00636010">
        <w:rPr>
          <w:color w:val="17365D" w:themeColor="text2" w:themeShade="BF"/>
          <w:szCs w:val="20"/>
        </w:rPr>
        <w:t xml:space="preserve">% veću </w:t>
      </w:r>
      <w:r w:rsidR="00937F67" w:rsidRPr="00636010">
        <w:rPr>
          <w:color w:val="17365D" w:themeColor="text2" w:themeShade="BF"/>
        </w:rPr>
        <w:t xml:space="preserve">dobit razdoblja uz istovremeno </w:t>
      </w:r>
      <w:r w:rsidR="00A8573F" w:rsidRPr="00636010">
        <w:rPr>
          <w:color w:val="17365D" w:themeColor="text2" w:themeShade="BF"/>
        </w:rPr>
        <w:t>povećanje</w:t>
      </w:r>
      <w:r w:rsidR="00937F67" w:rsidRPr="00636010">
        <w:rPr>
          <w:color w:val="17365D" w:themeColor="text2" w:themeShade="BF"/>
        </w:rPr>
        <w:t xml:space="preserve"> gubitka razdoblja za </w:t>
      </w:r>
      <w:r w:rsidR="00A8573F" w:rsidRPr="00636010">
        <w:rPr>
          <w:color w:val="17365D" w:themeColor="text2" w:themeShade="BF"/>
        </w:rPr>
        <w:t>16,5</w:t>
      </w:r>
      <w:r w:rsidR="00937F67" w:rsidRPr="00636010">
        <w:rPr>
          <w:color w:val="17365D" w:themeColor="text2" w:themeShade="BF"/>
        </w:rPr>
        <w:t xml:space="preserve">%. To je rezultiralo ostvarenjem konsolidiranog financijskog rezultata – neto dobiti od </w:t>
      </w:r>
      <w:r w:rsidR="00A8573F" w:rsidRPr="00636010">
        <w:rPr>
          <w:color w:val="17365D" w:themeColor="text2" w:themeShade="BF"/>
        </w:rPr>
        <w:t>31,3</w:t>
      </w:r>
      <w:r w:rsidR="00937F67" w:rsidRPr="00636010">
        <w:rPr>
          <w:color w:val="17365D" w:themeColor="text2" w:themeShade="BF"/>
        </w:rPr>
        <w:t xml:space="preserve"> milijarde kuna, </w:t>
      </w:r>
      <w:r w:rsidR="00A8573F" w:rsidRPr="00636010">
        <w:rPr>
          <w:color w:val="17365D" w:themeColor="text2" w:themeShade="BF"/>
        </w:rPr>
        <w:t>što je za 0,7% više u odnosu na 2018. godinu (31,1 milijarda kuna).</w:t>
      </w:r>
    </w:p>
    <w:p w:rsidR="001755F5" w:rsidRPr="006100EE" w:rsidRDefault="00AB1AEF" w:rsidP="00095524">
      <w:pPr>
        <w:spacing w:before="120" w:line="264" w:lineRule="auto"/>
        <w:rPr>
          <w:color w:val="17365D" w:themeColor="text2" w:themeShade="BF"/>
          <w:szCs w:val="20"/>
        </w:rPr>
      </w:pPr>
      <w:r w:rsidRPr="00636010">
        <w:rPr>
          <w:color w:val="17365D" w:themeColor="text2" w:themeShade="BF"/>
          <w:szCs w:val="20"/>
        </w:rPr>
        <w:t xml:space="preserve">U </w:t>
      </w:r>
      <w:r w:rsidR="004F27D4" w:rsidRPr="00636010">
        <w:rPr>
          <w:color w:val="17365D" w:themeColor="text2" w:themeShade="BF"/>
          <w:szCs w:val="20"/>
        </w:rPr>
        <w:t xml:space="preserve">novu </w:t>
      </w:r>
      <w:r w:rsidRPr="00636010">
        <w:rPr>
          <w:color w:val="17365D" w:themeColor="text2" w:themeShade="BF"/>
          <w:szCs w:val="20"/>
        </w:rPr>
        <w:t xml:space="preserve">dugotrajnu imovinu </w:t>
      </w:r>
      <w:r w:rsidR="00C0744F" w:rsidRPr="00636010">
        <w:rPr>
          <w:color w:val="17365D" w:themeColor="text2" w:themeShade="BF"/>
          <w:szCs w:val="20"/>
        </w:rPr>
        <w:t>u 201</w:t>
      </w:r>
      <w:r w:rsidR="007665D2" w:rsidRPr="00636010">
        <w:rPr>
          <w:color w:val="17365D" w:themeColor="text2" w:themeShade="BF"/>
          <w:szCs w:val="20"/>
        </w:rPr>
        <w:t>9</w:t>
      </w:r>
      <w:r w:rsidR="004F27D4" w:rsidRPr="00636010">
        <w:rPr>
          <w:color w:val="17365D" w:themeColor="text2" w:themeShade="BF"/>
          <w:szCs w:val="20"/>
        </w:rPr>
        <w:t xml:space="preserve">. godini </w:t>
      </w:r>
      <w:r w:rsidRPr="00636010">
        <w:rPr>
          <w:color w:val="17365D" w:themeColor="text2" w:themeShade="BF"/>
          <w:szCs w:val="20"/>
        </w:rPr>
        <w:t xml:space="preserve">investiralo je </w:t>
      </w:r>
      <w:r w:rsidR="007665D2" w:rsidRPr="00636010">
        <w:rPr>
          <w:color w:val="17365D" w:themeColor="text2" w:themeShade="BF"/>
          <w:szCs w:val="20"/>
        </w:rPr>
        <w:t>13.067</w:t>
      </w:r>
      <w:r w:rsidRPr="00636010">
        <w:rPr>
          <w:color w:val="17365D" w:themeColor="text2" w:themeShade="BF"/>
          <w:szCs w:val="20"/>
        </w:rPr>
        <w:t xml:space="preserve"> poduzetnika</w:t>
      </w:r>
      <w:r w:rsidR="00D354CE" w:rsidRPr="00636010">
        <w:rPr>
          <w:color w:val="17365D" w:themeColor="text2" w:themeShade="BF"/>
          <w:szCs w:val="20"/>
        </w:rPr>
        <w:t xml:space="preserve"> (</w:t>
      </w:r>
      <w:r w:rsidR="007665D2" w:rsidRPr="00636010">
        <w:rPr>
          <w:color w:val="17365D" w:themeColor="text2" w:themeShade="BF"/>
          <w:szCs w:val="20"/>
        </w:rPr>
        <w:t>9,6</w:t>
      </w:r>
      <w:r w:rsidR="00D354CE" w:rsidRPr="00636010">
        <w:rPr>
          <w:color w:val="17365D" w:themeColor="text2" w:themeShade="BF"/>
          <w:szCs w:val="20"/>
        </w:rPr>
        <w:t>%)</w:t>
      </w:r>
      <w:r w:rsidRPr="00636010">
        <w:rPr>
          <w:color w:val="17365D" w:themeColor="text2" w:themeShade="BF"/>
          <w:szCs w:val="20"/>
        </w:rPr>
        <w:t xml:space="preserve"> </w:t>
      </w:r>
      <w:r w:rsidR="004F27D4" w:rsidRPr="00636010">
        <w:rPr>
          <w:color w:val="17365D" w:themeColor="text2" w:themeShade="BF"/>
          <w:szCs w:val="20"/>
        </w:rPr>
        <w:t xml:space="preserve">i to </w:t>
      </w:r>
      <w:r w:rsidR="007665D2" w:rsidRPr="00636010">
        <w:rPr>
          <w:color w:val="17365D" w:themeColor="text2" w:themeShade="BF"/>
          <w:szCs w:val="20"/>
        </w:rPr>
        <w:t>27,5</w:t>
      </w:r>
      <w:r w:rsidR="004F27D4" w:rsidRPr="00636010">
        <w:rPr>
          <w:color w:val="17365D" w:themeColor="text2" w:themeShade="BF"/>
          <w:szCs w:val="20"/>
        </w:rPr>
        <w:t xml:space="preserve"> milijard</w:t>
      </w:r>
      <w:r w:rsidR="007665D2" w:rsidRPr="00636010">
        <w:rPr>
          <w:color w:val="17365D" w:themeColor="text2" w:themeShade="BF"/>
          <w:szCs w:val="20"/>
        </w:rPr>
        <w:t>i</w:t>
      </w:r>
      <w:r w:rsidR="004F27D4" w:rsidRPr="00636010">
        <w:rPr>
          <w:color w:val="17365D" w:themeColor="text2" w:themeShade="BF"/>
          <w:szCs w:val="20"/>
        </w:rPr>
        <w:t xml:space="preserve"> kuna</w:t>
      </w:r>
      <w:r w:rsidR="007665D2" w:rsidRPr="00636010">
        <w:rPr>
          <w:color w:val="17365D" w:themeColor="text2" w:themeShade="BF"/>
          <w:szCs w:val="20"/>
        </w:rPr>
        <w:t>,</w:t>
      </w:r>
      <w:r w:rsidR="004F27D4" w:rsidRPr="00636010">
        <w:rPr>
          <w:color w:val="17365D" w:themeColor="text2" w:themeShade="BF"/>
          <w:szCs w:val="20"/>
        </w:rPr>
        <w:t xml:space="preserve"> što je povećanje od </w:t>
      </w:r>
      <w:r w:rsidR="007665D2" w:rsidRPr="00636010">
        <w:rPr>
          <w:color w:val="17365D" w:themeColor="text2" w:themeShade="BF"/>
          <w:szCs w:val="20"/>
        </w:rPr>
        <w:t>17,2</w:t>
      </w:r>
      <w:r w:rsidR="004F27D4" w:rsidRPr="00636010">
        <w:rPr>
          <w:color w:val="17365D" w:themeColor="text2" w:themeShade="BF"/>
          <w:szCs w:val="20"/>
        </w:rPr>
        <w:t>% u odnosu na prethodn</w:t>
      </w:r>
      <w:r w:rsidR="007134BC" w:rsidRPr="00636010">
        <w:rPr>
          <w:color w:val="17365D" w:themeColor="text2" w:themeShade="BF"/>
          <w:szCs w:val="20"/>
        </w:rPr>
        <w:t>o poslovno razdoblje.</w:t>
      </w:r>
      <w:r w:rsidR="00937F67" w:rsidRPr="00636010">
        <w:rPr>
          <w:color w:val="17365D" w:themeColor="text2" w:themeShade="BF"/>
          <w:szCs w:val="20"/>
        </w:rPr>
        <w:t xml:space="preserve"> </w:t>
      </w:r>
      <w:r w:rsidR="005F5A46" w:rsidRPr="00636010">
        <w:rPr>
          <w:color w:val="17365D" w:themeColor="text2" w:themeShade="BF"/>
          <w:szCs w:val="20"/>
        </w:rPr>
        <w:t>Prosječna mjese</w:t>
      </w:r>
      <w:r w:rsidR="00C0744F" w:rsidRPr="00636010">
        <w:rPr>
          <w:color w:val="17365D" w:themeColor="text2" w:themeShade="BF"/>
          <w:szCs w:val="20"/>
        </w:rPr>
        <w:t xml:space="preserve">čna obračunata neto plaća </w:t>
      </w:r>
      <w:r w:rsidR="00937F67" w:rsidRPr="00636010">
        <w:rPr>
          <w:color w:val="17365D" w:themeColor="text2" w:themeShade="BF"/>
          <w:szCs w:val="20"/>
        </w:rPr>
        <w:t>zaposlenih kod poduzetnika u</w:t>
      </w:r>
      <w:r w:rsidR="00C0744F" w:rsidRPr="00636010">
        <w:rPr>
          <w:color w:val="17365D" w:themeColor="text2" w:themeShade="BF"/>
          <w:szCs w:val="20"/>
        </w:rPr>
        <w:t xml:space="preserve"> 201</w:t>
      </w:r>
      <w:r w:rsidR="007665D2" w:rsidRPr="00636010">
        <w:rPr>
          <w:color w:val="17365D" w:themeColor="text2" w:themeShade="BF"/>
          <w:szCs w:val="20"/>
        </w:rPr>
        <w:t>9</w:t>
      </w:r>
      <w:r w:rsidR="005F5A46" w:rsidRPr="00636010">
        <w:rPr>
          <w:color w:val="17365D" w:themeColor="text2" w:themeShade="BF"/>
          <w:szCs w:val="20"/>
        </w:rPr>
        <w:t xml:space="preserve">. </w:t>
      </w:r>
      <w:r w:rsidR="00937F67" w:rsidRPr="00636010">
        <w:rPr>
          <w:color w:val="17365D" w:themeColor="text2" w:themeShade="BF"/>
          <w:szCs w:val="20"/>
        </w:rPr>
        <w:t xml:space="preserve">godini </w:t>
      </w:r>
      <w:r w:rsidR="005F5A46" w:rsidRPr="00636010">
        <w:rPr>
          <w:color w:val="17365D" w:themeColor="text2" w:themeShade="BF"/>
          <w:szCs w:val="20"/>
        </w:rPr>
        <w:t xml:space="preserve">iznosila je </w:t>
      </w:r>
      <w:r w:rsidR="007665D2" w:rsidRPr="00636010">
        <w:rPr>
          <w:color w:val="17365D" w:themeColor="text2" w:themeShade="BF"/>
          <w:szCs w:val="20"/>
        </w:rPr>
        <w:t>5.815</w:t>
      </w:r>
      <w:r w:rsidR="005F5A46" w:rsidRPr="00636010">
        <w:rPr>
          <w:color w:val="17365D" w:themeColor="text2" w:themeShade="BF"/>
          <w:szCs w:val="20"/>
        </w:rPr>
        <w:t xml:space="preserve"> kun</w:t>
      </w:r>
      <w:r w:rsidR="007665D2" w:rsidRPr="00636010">
        <w:rPr>
          <w:color w:val="17365D" w:themeColor="text2" w:themeShade="BF"/>
          <w:szCs w:val="20"/>
        </w:rPr>
        <w:t>a</w:t>
      </w:r>
      <w:r w:rsidR="005C386B" w:rsidRPr="00636010">
        <w:rPr>
          <w:color w:val="17365D" w:themeColor="text2" w:themeShade="BF"/>
          <w:szCs w:val="20"/>
        </w:rPr>
        <w:t xml:space="preserve">, </w:t>
      </w:r>
      <w:r w:rsidR="005F5A46" w:rsidRPr="00636010">
        <w:rPr>
          <w:color w:val="17365D" w:themeColor="text2" w:themeShade="BF"/>
          <w:szCs w:val="20"/>
        </w:rPr>
        <w:t xml:space="preserve">što je </w:t>
      </w:r>
      <w:r w:rsidR="007665D2" w:rsidRPr="00636010">
        <w:rPr>
          <w:color w:val="17365D" w:themeColor="text2" w:themeShade="BF"/>
          <w:szCs w:val="20"/>
        </w:rPr>
        <w:t>4,2</w:t>
      </w:r>
      <w:r w:rsidR="005F5A46" w:rsidRPr="00636010">
        <w:rPr>
          <w:color w:val="17365D" w:themeColor="text2" w:themeShade="BF"/>
          <w:szCs w:val="20"/>
        </w:rPr>
        <w:t xml:space="preserve">% više </w:t>
      </w:r>
      <w:r w:rsidR="00AA683B" w:rsidRPr="00636010">
        <w:rPr>
          <w:color w:val="17365D" w:themeColor="text2" w:themeShade="BF"/>
          <w:szCs w:val="20"/>
        </w:rPr>
        <w:t xml:space="preserve">u odnosu na </w:t>
      </w:r>
      <w:r w:rsidR="00C0744F" w:rsidRPr="00636010">
        <w:rPr>
          <w:color w:val="17365D" w:themeColor="text2" w:themeShade="BF"/>
          <w:szCs w:val="20"/>
        </w:rPr>
        <w:t>201</w:t>
      </w:r>
      <w:r w:rsidR="007665D2" w:rsidRPr="00636010">
        <w:rPr>
          <w:color w:val="17365D" w:themeColor="text2" w:themeShade="BF"/>
          <w:szCs w:val="20"/>
        </w:rPr>
        <w:t>8</w:t>
      </w:r>
      <w:r w:rsidR="005F5A46" w:rsidRPr="00636010">
        <w:rPr>
          <w:color w:val="17365D" w:themeColor="text2" w:themeShade="BF"/>
          <w:szCs w:val="20"/>
        </w:rPr>
        <w:t>. godin</w:t>
      </w:r>
      <w:r w:rsidR="00AA683B" w:rsidRPr="00636010">
        <w:rPr>
          <w:color w:val="17365D" w:themeColor="text2" w:themeShade="BF"/>
          <w:szCs w:val="20"/>
        </w:rPr>
        <w:t>u</w:t>
      </w:r>
      <w:r w:rsidR="00937F67" w:rsidRPr="00636010">
        <w:rPr>
          <w:color w:val="17365D" w:themeColor="text2" w:themeShade="BF"/>
          <w:szCs w:val="20"/>
        </w:rPr>
        <w:t xml:space="preserve"> (</w:t>
      </w:r>
      <w:r w:rsidR="007665D2" w:rsidRPr="00636010">
        <w:rPr>
          <w:color w:val="17365D" w:themeColor="text2" w:themeShade="BF"/>
          <w:szCs w:val="20"/>
        </w:rPr>
        <w:t>5.582</w:t>
      </w:r>
      <w:r w:rsidR="00937F67" w:rsidRPr="00636010">
        <w:rPr>
          <w:color w:val="17365D" w:themeColor="text2" w:themeShade="BF"/>
          <w:szCs w:val="20"/>
        </w:rPr>
        <w:t xml:space="preserve"> kun</w:t>
      </w:r>
      <w:r w:rsidR="007665D2" w:rsidRPr="00636010">
        <w:rPr>
          <w:color w:val="17365D" w:themeColor="text2" w:themeShade="BF"/>
          <w:szCs w:val="20"/>
        </w:rPr>
        <w:t>e</w:t>
      </w:r>
      <w:r w:rsidR="00937F67" w:rsidRPr="00636010">
        <w:rPr>
          <w:color w:val="17365D" w:themeColor="text2" w:themeShade="BF"/>
          <w:szCs w:val="20"/>
        </w:rPr>
        <w:t>)</w:t>
      </w:r>
      <w:r w:rsidR="00E178E0" w:rsidRPr="00636010">
        <w:rPr>
          <w:color w:val="17365D" w:themeColor="text2" w:themeShade="BF"/>
          <w:szCs w:val="20"/>
        </w:rPr>
        <w:t>.</w:t>
      </w:r>
      <w:r w:rsidR="00E178E0" w:rsidRPr="006100EE">
        <w:rPr>
          <w:color w:val="17365D" w:themeColor="text2" w:themeShade="BF"/>
          <w:szCs w:val="20"/>
        </w:rPr>
        <w:t xml:space="preserve"> </w:t>
      </w:r>
    </w:p>
    <w:p w:rsidR="00486E66" w:rsidRPr="00596409" w:rsidRDefault="001755F5" w:rsidP="00E50025">
      <w:pPr>
        <w:tabs>
          <w:tab w:val="left" w:pos="993"/>
          <w:tab w:val="left" w:pos="7655"/>
        </w:tabs>
        <w:spacing w:before="180" w:line="240" w:lineRule="auto"/>
        <w:jc w:val="left"/>
        <w:rPr>
          <w:b/>
          <w:color w:val="17365D" w:themeColor="text2" w:themeShade="BF"/>
          <w:sz w:val="18"/>
          <w:szCs w:val="18"/>
        </w:rPr>
      </w:pPr>
      <w:r w:rsidRPr="00596409">
        <w:rPr>
          <w:b/>
          <w:color w:val="17365D" w:themeColor="text2" w:themeShade="BF"/>
          <w:sz w:val="18"/>
          <w:szCs w:val="18"/>
        </w:rPr>
        <w:t>Tablica 1.</w:t>
      </w:r>
      <w:r w:rsidRPr="00596409">
        <w:rPr>
          <w:b/>
          <w:color w:val="17365D" w:themeColor="text2" w:themeShade="BF"/>
          <w:sz w:val="18"/>
          <w:szCs w:val="18"/>
        </w:rPr>
        <w:tab/>
        <w:t xml:space="preserve">Financijski rezultati poslovanja </w:t>
      </w:r>
      <w:r w:rsidR="00921E7C" w:rsidRPr="00596409">
        <w:rPr>
          <w:b/>
          <w:color w:val="17365D" w:themeColor="text2" w:themeShade="BF"/>
          <w:sz w:val="18"/>
          <w:szCs w:val="18"/>
          <w:u w:val="single"/>
        </w:rPr>
        <w:t>13</w:t>
      </w:r>
      <w:r w:rsidR="00566F6F" w:rsidRPr="00596409">
        <w:rPr>
          <w:b/>
          <w:color w:val="17365D" w:themeColor="text2" w:themeShade="BF"/>
          <w:sz w:val="18"/>
          <w:szCs w:val="18"/>
          <w:u w:val="single"/>
        </w:rPr>
        <w:t>6.260</w:t>
      </w:r>
      <w:r w:rsidR="00C04B3B" w:rsidRPr="00596409">
        <w:rPr>
          <w:b/>
          <w:color w:val="17365D" w:themeColor="text2" w:themeShade="BF"/>
          <w:sz w:val="18"/>
          <w:szCs w:val="18"/>
          <w:u w:val="single"/>
        </w:rPr>
        <w:t xml:space="preserve"> </w:t>
      </w:r>
      <w:r w:rsidRPr="00596409">
        <w:rPr>
          <w:b/>
          <w:color w:val="17365D" w:themeColor="text2" w:themeShade="BF"/>
          <w:sz w:val="18"/>
          <w:szCs w:val="18"/>
          <w:u w:val="single"/>
        </w:rPr>
        <w:t>poduzetnika</w:t>
      </w:r>
      <w:r w:rsidRPr="00596409">
        <w:rPr>
          <w:b/>
          <w:color w:val="17365D" w:themeColor="text2" w:themeShade="BF"/>
          <w:sz w:val="18"/>
          <w:szCs w:val="18"/>
        </w:rPr>
        <w:t xml:space="preserve"> </w:t>
      </w:r>
      <w:r w:rsidR="00C04B3B" w:rsidRPr="00596409">
        <w:rPr>
          <w:b/>
          <w:color w:val="17365D" w:themeColor="text2" w:themeShade="BF"/>
          <w:sz w:val="18"/>
          <w:szCs w:val="18"/>
        </w:rPr>
        <w:t>RH</w:t>
      </w:r>
      <w:r w:rsidRPr="00596409">
        <w:rPr>
          <w:b/>
          <w:color w:val="17365D" w:themeColor="text2" w:themeShade="BF"/>
          <w:sz w:val="18"/>
          <w:szCs w:val="18"/>
        </w:rPr>
        <w:t xml:space="preserve"> u 201</w:t>
      </w:r>
      <w:r w:rsidR="00566F6F" w:rsidRPr="00596409">
        <w:rPr>
          <w:b/>
          <w:color w:val="17365D" w:themeColor="text2" w:themeShade="BF"/>
          <w:sz w:val="18"/>
          <w:szCs w:val="18"/>
        </w:rPr>
        <w:t>9</w:t>
      </w:r>
      <w:r w:rsidRPr="00596409">
        <w:rPr>
          <w:b/>
          <w:color w:val="17365D" w:themeColor="text2" w:themeShade="BF"/>
          <w:sz w:val="18"/>
          <w:szCs w:val="18"/>
        </w:rPr>
        <w:t xml:space="preserve">. </w:t>
      </w:r>
      <w:r w:rsidR="00486E66" w:rsidRPr="00596409">
        <w:rPr>
          <w:b/>
          <w:color w:val="17365D" w:themeColor="text2" w:themeShade="BF"/>
          <w:sz w:val="18"/>
          <w:szCs w:val="18"/>
        </w:rPr>
        <w:t>i usporedba s 201</w:t>
      </w:r>
      <w:r w:rsidR="00566F6F" w:rsidRPr="00596409">
        <w:rPr>
          <w:b/>
          <w:color w:val="17365D" w:themeColor="text2" w:themeShade="BF"/>
          <w:sz w:val="18"/>
          <w:szCs w:val="18"/>
        </w:rPr>
        <w:t>8</w:t>
      </w:r>
      <w:r w:rsidR="00486E66" w:rsidRPr="00596409">
        <w:rPr>
          <w:b/>
          <w:color w:val="17365D" w:themeColor="text2" w:themeShade="BF"/>
          <w:sz w:val="18"/>
          <w:szCs w:val="18"/>
        </w:rPr>
        <w:t>. godinom</w:t>
      </w:r>
    </w:p>
    <w:p w:rsidR="001755F5" w:rsidRDefault="001755F5" w:rsidP="00E50025">
      <w:pPr>
        <w:tabs>
          <w:tab w:val="left" w:pos="1134"/>
          <w:tab w:val="left" w:pos="7655"/>
        </w:tabs>
        <w:spacing w:before="20" w:after="20" w:line="240" w:lineRule="auto"/>
        <w:jc w:val="right"/>
        <w:rPr>
          <w:i/>
          <w:color w:val="17365D" w:themeColor="text2" w:themeShade="BF"/>
          <w:sz w:val="16"/>
          <w:szCs w:val="16"/>
        </w:rPr>
      </w:pPr>
      <w:r w:rsidRPr="00596409">
        <w:rPr>
          <w:i/>
          <w:color w:val="17365D" w:themeColor="text2" w:themeShade="BF"/>
          <w:sz w:val="16"/>
          <w:szCs w:val="16"/>
        </w:rPr>
        <w:t xml:space="preserve">(iznosi u </w:t>
      </w:r>
      <w:r w:rsidR="00626704" w:rsidRPr="00596409">
        <w:rPr>
          <w:i/>
          <w:color w:val="17365D" w:themeColor="text2" w:themeShade="BF"/>
          <w:sz w:val="16"/>
          <w:szCs w:val="16"/>
        </w:rPr>
        <w:t xml:space="preserve">tisućama </w:t>
      </w:r>
      <w:r w:rsidRPr="00596409">
        <w:rPr>
          <w:i/>
          <w:color w:val="17365D" w:themeColor="text2" w:themeShade="BF"/>
          <w:sz w:val="16"/>
          <w:szCs w:val="16"/>
        </w:rPr>
        <w:t>kuna</w:t>
      </w:r>
      <w:r w:rsidR="00626704" w:rsidRPr="00596409">
        <w:rPr>
          <w:i/>
          <w:color w:val="17365D" w:themeColor="text2" w:themeShade="BF"/>
          <w:sz w:val="16"/>
          <w:szCs w:val="16"/>
        </w:rPr>
        <w:t>, plaće u kunama</w:t>
      </w:r>
      <w:r w:rsidRPr="00596409">
        <w:rPr>
          <w:i/>
          <w:color w:val="17365D" w:themeColor="text2" w:themeShade="BF"/>
          <w:sz w:val="16"/>
          <w:szCs w:val="16"/>
        </w:rPr>
        <w:t>)</w:t>
      </w:r>
    </w:p>
    <w:tbl>
      <w:tblPr>
        <w:tblW w:w="975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9"/>
        <w:gridCol w:w="1387"/>
        <w:gridCol w:w="1387"/>
        <w:gridCol w:w="1109"/>
      </w:tblGrid>
      <w:tr w:rsidR="009C397C" w:rsidRPr="009C397C" w:rsidTr="00EE71C7">
        <w:trPr>
          <w:trHeight w:hRule="exact" w:val="403"/>
          <w:jc w:val="center"/>
        </w:trPr>
        <w:tc>
          <w:tcPr>
            <w:tcW w:w="50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44062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2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244062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2018.</w:t>
            </w:r>
          </w:p>
        </w:tc>
        <w:tc>
          <w:tcPr>
            <w:tcW w:w="12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244062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  <w:r w:rsidR="0019449A" w:rsidRPr="00EE71C7">
              <w:rPr>
                <w:rStyle w:val="Referencafusnote"/>
                <w:rFonts w:eastAsia="Times New Roman"/>
                <w:b/>
                <w:bCs/>
                <w:color w:val="FFFFFF"/>
                <w:sz w:val="16"/>
                <w:szCs w:val="16"/>
                <w:lang w:eastAsia="hr-HR"/>
              </w:rPr>
              <w:footnoteReference w:id="1"/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244062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Indeks 2019./2018.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244061"/>
                <w:sz w:val="17"/>
                <w:szCs w:val="17"/>
                <w:lang w:eastAsia="hr-HR"/>
              </w:rPr>
              <w:t xml:space="preserve">Broj zaposlenih 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911.736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969.776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106,4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Ukupni prihodi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721.118.732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796.126.335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110,4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Ukupni rashodi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682.737.441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756.495.954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110,8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Dobit prije oporezivanja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53.515.331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57.232.068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106,9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Gubitak prije oporezivanja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15.134.039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17.601.686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116,3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Porez na dobit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7.308.894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8.349.049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114,2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Dobit razdoblja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46.166.284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48.872.344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105,9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Gubitak razdoblja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15.093.886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17.591.012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116,5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b/>
                <w:bCs/>
                <w:color w:val="17365D"/>
                <w:sz w:val="17"/>
                <w:szCs w:val="17"/>
                <w:lang w:eastAsia="hr-HR"/>
              </w:rPr>
              <w:t>Konsolidirani financijski rezultat (dobit ili gubitak razdoblja)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b/>
                <w:bCs/>
                <w:color w:val="003366"/>
                <w:sz w:val="16"/>
                <w:szCs w:val="16"/>
                <w:lang w:eastAsia="hr-HR"/>
              </w:rPr>
              <w:t>31.072.397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b/>
                <w:bCs/>
                <w:color w:val="003366"/>
                <w:sz w:val="16"/>
                <w:szCs w:val="16"/>
                <w:lang w:eastAsia="hr-HR"/>
              </w:rPr>
              <w:t>31.281.333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b/>
                <w:bCs/>
                <w:color w:val="003366"/>
                <w:sz w:val="16"/>
                <w:szCs w:val="16"/>
                <w:lang w:eastAsia="hr-HR"/>
              </w:rPr>
              <w:t>100,7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Izvoz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143.447.877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151.455.118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105,6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Uvoz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128.539.396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137.793.448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107,2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Trgovinski saldo (izvoz minus uvoz)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14.908.481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13.661.670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91,6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>Bruto investicije samo u novu dugotrajnu imovinu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23.481.990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27.528.822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117,2</w:t>
            </w:r>
          </w:p>
        </w:tc>
      </w:tr>
      <w:tr w:rsidR="009C397C" w:rsidRPr="009C397C" w:rsidTr="00EE71C7">
        <w:trPr>
          <w:trHeight w:hRule="exact" w:val="278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396175" w:rsidRDefault="009C397C" w:rsidP="009C397C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396175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 xml:space="preserve">Prosječne mjesečne neto plaće po zaposlenom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5.582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5.815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C397C" w:rsidRPr="00EE71C7" w:rsidRDefault="009C397C" w:rsidP="009C397C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</w:pPr>
            <w:r w:rsidRPr="00EE71C7">
              <w:rPr>
                <w:rFonts w:eastAsia="Times New Roman" w:cs="Arial"/>
                <w:color w:val="003366"/>
                <w:sz w:val="16"/>
                <w:szCs w:val="16"/>
                <w:lang w:eastAsia="hr-HR"/>
              </w:rPr>
              <w:t>104,2</w:t>
            </w:r>
          </w:p>
        </w:tc>
      </w:tr>
    </w:tbl>
    <w:p w:rsidR="001755F5" w:rsidRPr="00274F91" w:rsidRDefault="001755F5" w:rsidP="00937F67">
      <w:pPr>
        <w:keepNext/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274F91">
        <w:rPr>
          <w:i/>
          <w:color w:val="17365D" w:themeColor="text2" w:themeShade="BF"/>
          <w:sz w:val="16"/>
          <w:szCs w:val="16"/>
        </w:rPr>
        <w:t>Izvor podataka: Financijska agencija, Registar godišnjih financijskih izvještaja</w:t>
      </w:r>
    </w:p>
    <w:p w:rsidR="00614BEC" w:rsidRDefault="00614BEC" w:rsidP="00095524">
      <w:pPr>
        <w:spacing w:before="180" w:line="264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CF0B12">
        <w:rPr>
          <w:rFonts w:eastAsia="Times New Roman"/>
          <w:color w:val="17365D" w:themeColor="text2" w:themeShade="BF"/>
          <w:szCs w:val="20"/>
          <w:lang w:eastAsia="hr-HR"/>
        </w:rPr>
        <w:t>I dalje je najviše poduzetnika u trgovini (</w:t>
      </w:r>
      <w:r w:rsidR="00C916B0" w:rsidRPr="00CF0B12">
        <w:rPr>
          <w:rFonts w:eastAsia="Times New Roman"/>
          <w:color w:val="17365D" w:themeColor="text2" w:themeShade="BF"/>
          <w:szCs w:val="20"/>
          <w:lang w:eastAsia="hr-HR"/>
        </w:rPr>
        <w:t>28.814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>) koji su ostvarili i najveći ukupan prihod (</w:t>
      </w:r>
      <w:r w:rsidR="00C916B0" w:rsidRPr="00CF0B12">
        <w:rPr>
          <w:rFonts w:eastAsia="Times New Roman"/>
          <w:color w:val="17365D" w:themeColor="text2" w:themeShade="BF"/>
          <w:szCs w:val="20"/>
          <w:lang w:eastAsia="hr-HR"/>
        </w:rPr>
        <w:t>275,6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C916B0" w:rsidRPr="00CF0B12">
        <w:rPr>
          <w:rFonts w:eastAsia="Times New Roman"/>
          <w:color w:val="17365D" w:themeColor="text2" w:themeShade="BF"/>
          <w:szCs w:val="20"/>
          <w:lang w:eastAsia="hr-HR"/>
        </w:rPr>
        <w:t>i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kuna), dok je kod poduzetnika u prerađivačkoj industriji najviše zaposlenih (</w:t>
      </w:r>
      <w:r w:rsidR="00C916B0" w:rsidRPr="00CF0B12">
        <w:rPr>
          <w:rFonts w:eastAsia="Times New Roman"/>
          <w:color w:val="17365D" w:themeColor="text2" w:themeShade="BF"/>
          <w:szCs w:val="20"/>
          <w:lang w:eastAsia="hr-HR"/>
        </w:rPr>
        <w:t>240.081), 2,7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>% više nego 201</w:t>
      </w:r>
      <w:r w:rsidR="00C916B0" w:rsidRPr="00CF0B12">
        <w:rPr>
          <w:rFonts w:eastAsia="Times New Roman"/>
          <w:color w:val="17365D" w:themeColor="text2" w:themeShade="BF"/>
          <w:szCs w:val="20"/>
          <w:lang w:eastAsia="hr-HR"/>
        </w:rPr>
        <w:t>8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>. godine.</w:t>
      </w:r>
      <w:r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</w:p>
    <w:p w:rsidR="007E45A5" w:rsidRPr="00614BEC" w:rsidRDefault="00AB202F" w:rsidP="00095524">
      <w:pPr>
        <w:spacing w:before="120" w:line="264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CF0B12">
        <w:rPr>
          <w:rFonts w:eastAsia="Times New Roman"/>
          <w:color w:val="17365D" w:themeColor="text2" w:themeShade="BF"/>
          <w:szCs w:val="20"/>
          <w:lang w:eastAsia="hr-HR"/>
        </w:rPr>
        <w:t>Promatrano po veličini poduzetnika</w:t>
      </w:r>
      <w:r w:rsidR="0044382A" w:rsidRPr="00CF0B12">
        <w:rPr>
          <w:rFonts w:eastAsia="Times New Roman"/>
          <w:color w:val="17365D" w:themeColor="text2" w:themeShade="BF"/>
          <w:szCs w:val="20"/>
          <w:lang w:eastAsia="hr-HR"/>
        </w:rPr>
        <w:t>,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najviše je </w:t>
      </w:r>
      <w:r w:rsidR="0033209F" w:rsidRPr="00CF0B12">
        <w:rPr>
          <w:rFonts w:eastAsia="Times New Roman"/>
          <w:color w:val="17365D" w:themeColor="text2" w:themeShade="BF"/>
          <w:szCs w:val="20"/>
          <w:lang w:eastAsia="hr-HR"/>
        </w:rPr>
        <w:t>mikro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poduzetnika </w:t>
      </w:r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122.403</w:t>
      </w:r>
      <w:r w:rsidR="00BE44DD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C04B3B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(udio </w:t>
      </w:r>
      <w:proofErr w:type="spellStart"/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89</w:t>
      </w:r>
      <w:proofErr w:type="spellEnd"/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,8</w:t>
      </w:r>
      <w:r w:rsidR="00C04B3B" w:rsidRPr="00CF0B12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, </w:t>
      </w:r>
      <w:r w:rsidR="0033209F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malih je </w:t>
      </w:r>
      <w:proofErr w:type="spellStart"/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11.962</w:t>
      </w:r>
      <w:proofErr w:type="spellEnd"/>
      <w:r w:rsidR="00BE44DD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(udio 8,8</w:t>
      </w:r>
      <w:r w:rsidR="00C04B3B" w:rsidRPr="00CF0B12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="0033209F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, </w:t>
      </w:r>
      <w:r w:rsidR="00390E15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srednjih </w:t>
      </w:r>
      <w:proofErr w:type="spellStart"/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1.525</w:t>
      </w:r>
      <w:proofErr w:type="spellEnd"/>
      <w:r w:rsidR="00C04B3B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(udio </w:t>
      </w:r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1,1</w:t>
      </w:r>
      <w:r w:rsidR="00C04B3B" w:rsidRPr="00CF0B12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, a velikih </w:t>
      </w:r>
      <w:proofErr w:type="spellStart"/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370</w:t>
      </w:r>
      <w:proofErr w:type="spellEnd"/>
      <w:r w:rsidR="00C04B3B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(udio </w:t>
      </w:r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0,3</w:t>
      </w:r>
      <w:r w:rsidR="00C04B3B" w:rsidRPr="00CF0B12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. </w:t>
      </w:r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>Mikro skupina poduzetnika 2019. godinu zaključila je s neto gubitkom od 152,5 milijuna kuna, dok su preostale tri skupine iskazale dobit. Neto dobit malih poduzetnika iznosila je 8,6 milijardi kuna, srednji poduzetnici ostvarili su 7,</w:t>
      </w:r>
      <w:r w:rsidR="00CF0B12" w:rsidRPr="00CF0B12">
        <w:rPr>
          <w:rFonts w:eastAsia="Times New Roman"/>
          <w:color w:val="17365D" w:themeColor="text2" w:themeShade="BF"/>
          <w:szCs w:val="20"/>
          <w:lang w:eastAsia="hr-HR"/>
        </w:rPr>
        <w:t>1</w:t>
      </w:r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CF0B12" w:rsidRPr="00CF0B12">
        <w:rPr>
          <w:rFonts w:eastAsia="Times New Roman"/>
          <w:color w:val="17365D" w:themeColor="text2" w:themeShade="BF"/>
          <w:szCs w:val="20"/>
          <w:lang w:eastAsia="hr-HR"/>
        </w:rPr>
        <w:t>u</w:t>
      </w:r>
      <w:r w:rsidR="00AD4BD7" w:rsidRPr="00CF0B12">
        <w:rPr>
          <w:rFonts w:eastAsia="Times New Roman"/>
          <w:color w:val="17365D" w:themeColor="text2" w:themeShade="BF"/>
          <w:szCs w:val="20"/>
          <w:lang w:eastAsia="hr-HR"/>
        </w:rPr>
        <w:t xml:space="preserve"> kuna, a veliki poduzetnici 15,7 milijardi kuna.</w:t>
      </w:r>
    </w:p>
    <w:p w:rsidR="00E16E8A" w:rsidRPr="00CF0B12" w:rsidRDefault="00E16E8A" w:rsidP="00095524">
      <w:pPr>
        <w:spacing w:before="120" w:line="264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CF0B12">
        <w:rPr>
          <w:rFonts w:eastAsia="Times New Roman"/>
          <w:color w:val="17365D" w:themeColor="text2" w:themeShade="BF"/>
          <w:szCs w:val="20"/>
          <w:lang w:eastAsia="hr-HR"/>
        </w:rPr>
        <w:t>Promatrano po županijama i dalje dominiraju poduzetnici sa sjedištem u županiji Grad Zagreb u kojoj sjedište ima njih 45.608, što je 33,5% od ukupnog broja poduzetnika. Ukupni prihodi najviše su rasli na razini Šibensko-kninske (21,3%), a neto dobit na razini Primorsko-goranske županije (75,5%), dok je broj zaposlenih najviše rastao u Vukovarsko-srijemskoj županiji (12,9%).</w:t>
      </w:r>
    </w:p>
    <w:p w:rsidR="000C55D0" w:rsidRDefault="000C55D0" w:rsidP="00095524">
      <w:pPr>
        <w:spacing w:before="120" w:line="264" w:lineRule="auto"/>
        <w:rPr>
          <w:color w:val="17365D" w:themeColor="text2" w:themeShade="BF"/>
          <w:szCs w:val="20"/>
        </w:rPr>
      </w:pPr>
      <w:r w:rsidRPr="00CF0B12">
        <w:rPr>
          <w:color w:val="17365D" w:themeColor="text2" w:themeShade="BF"/>
          <w:szCs w:val="20"/>
        </w:rPr>
        <w:t>Najveći prihod u 2019. godini ostvarilo je veliko društvo u mješovitom vlasništvu, INA d.d., u iznosu od 21,6 milijardi kuna, dok je HEP d.d. ostvario najveću dobit razdoblja u iznosu od 1,1 milijardu</w:t>
      </w:r>
      <w:r w:rsidR="000730B2" w:rsidRPr="00CF0B12">
        <w:rPr>
          <w:color w:val="17365D" w:themeColor="text2" w:themeShade="BF"/>
          <w:szCs w:val="20"/>
        </w:rPr>
        <w:t xml:space="preserve"> kuna.</w:t>
      </w:r>
    </w:p>
    <w:sectPr w:rsidR="000C55D0" w:rsidSect="00EC79D3">
      <w:headerReference w:type="default" r:id="rId8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B2" w:rsidRDefault="007A05B2" w:rsidP="00B416FC">
      <w:pPr>
        <w:spacing w:line="240" w:lineRule="auto"/>
      </w:pPr>
      <w:r>
        <w:separator/>
      </w:r>
    </w:p>
  </w:endnote>
  <w:endnote w:type="continuationSeparator" w:id="0">
    <w:p w:rsidR="007A05B2" w:rsidRDefault="007A05B2" w:rsidP="00B41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B2" w:rsidRDefault="007A05B2" w:rsidP="00B416FC">
      <w:pPr>
        <w:spacing w:line="240" w:lineRule="auto"/>
      </w:pPr>
      <w:r>
        <w:separator/>
      </w:r>
    </w:p>
  </w:footnote>
  <w:footnote w:type="continuationSeparator" w:id="0">
    <w:p w:rsidR="007A05B2" w:rsidRDefault="007A05B2" w:rsidP="00B416FC">
      <w:pPr>
        <w:spacing w:line="240" w:lineRule="auto"/>
      </w:pPr>
      <w:r>
        <w:continuationSeparator/>
      </w:r>
    </w:p>
  </w:footnote>
  <w:footnote w:id="1">
    <w:p w:rsidR="0019449A" w:rsidRPr="0019449A" w:rsidRDefault="0019449A">
      <w:pPr>
        <w:pStyle w:val="Tekstfusnote"/>
        <w:rPr>
          <w:sz w:val="16"/>
        </w:rPr>
      </w:pPr>
      <w:r>
        <w:rPr>
          <w:rStyle w:val="Referencafusnote"/>
        </w:rPr>
        <w:footnoteRef/>
      </w:r>
      <w:r>
        <w:t xml:space="preserve"> </w:t>
      </w:r>
      <w:r w:rsidRPr="0019449A">
        <w:rPr>
          <w:sz w:val="16"/>
        </w:rPr>
        <w:t>U statističku obradu podataka nisu uključeni podaci 47 društava bivše Agroko</w:t>
      </w:r>
      <w:r w:rsidR="00995E9A">
        <w:rPr>
          <w:sz w:val="16"/>
        </w:rPr>
        <w:t>r grupe d.d. koja su na dan 31.</w:t>
      </w:r>
      <w:r w:rsidRPr="0019449A">
        <w:rPr>
          <w:sz w:val="16"/>
        </w:rPr>
        <w:t>3.2019. g</w:t>
      </w:r>
      <w:r w:rsidR="00995E9A">
        <w:rPr>
          <w:sz w:val="16"/>
        </w:rPr>
        <w:t>odine</w:t>
      </w:r>
      <w:r w:rsidRPr="0019449A">
        <w:rPr>
          <w:sz w:val="16"/>
        </w:rPr>
        <w:t xml:space="preserve"> izvršila prijenos gospodarske cjeline na novoosnovana društva </w:t>
      </w:r>
      <w:proofErr w:type="spellStart"/>
      <w:r w:rsidRPr="0019449A">
        <w:rPr>
          <w:sz w:val="16"/>
        </w:rPr>
        <w:t>Fortenova</w:t>
      </w:r>
      <w:proofErr w:type="spellEnd"/>
      <w:r w:rsidRPr="0019449A">
        <w:rPr>
          <w:sz w:val="16"/>
        </w:rPr>
        <w:t xml:space="preserve"> grupe d.d.</w:t>
      </w:r>
      <w:r w:rsidR="00095524">
        <w:rPr>
          <w:sz w:val="16"/>
        </w:rPr>
        <w:t xml:space="preserve"> </w:t>
      </w:r>
      <w:r w:rsidR="00AC7D7E">
        <w:rPr>
          <w:sz w:val="16"/>
        </w:rPr>
        <w:t xml:space="preserve">Navedeno je utjecalo na porast </w:t>
      </w:r>
      <w:r w:rsidR="00095524">
        <w:rPr>
          <w:sz w:val="16"/>
        </w:rPr>
        <w:t>određenih</w:t>
      </w:r>
      <w:r w:rsidR="00AC7D7E">
        <w:rPr>
          <w:sz w:val="16"/>
        </w:rPr>
        <w:t xml:space="preserve"> kategorija iskazanih u </w:t>
      </w:r>
      <w:proofErr w:type="spellStart"/>
      <w:r w:rsidR="00AC7D7E">
        <w:rPr>
          <w:sz w:val="16"/>
        </w:rPr>
        <w:t>GFI</w:t>
      </w:r>
      <w:proofErr w:type="spellEnd"/>
      <w:r w:rsidR="00AC7D7E">
        <w:rPr>
          <w:sz w:val="16"/>
        </w:rPr>
        <w:t xml:space="preserve">-u za </w:t>
      </w:r>
      <w:proofErr w:type="spellStart"/>
      <w:r w:rsidR="00AC7D7E">
        <w:rPr>
          <w:sz w:val="16"/>
        </w:rPr>
        <w:t>2019</w:t>
      </w:r>
      <w:proofErr w:type="spellEnd"/>
      <w:r w:rsidR="00AC7D7E">
        <w:rPr>
          <w:sz w:val="16"/>
        </w:rPr>
        <w:t>. g. iz razloga što nisu obuhvaćeni rezultati spomenutih društava ostvareni u prethodnoj godini (</w:t>
      </w:r>
      <w:proofErr w:type="spellStart"/>
      <w:r w:rsidR="00AC7D7E">
        <w:rPr>
          <w:sz w:val="16"/>
        </w:rPr>
        <w:t>2018</w:t>
      </w:r>
      <w:proofErr w:type="spellEnd"/>
      <w:r w:rsidR="00AC7D7E">
        <w:rPr>
          <w:sz w:val="16"/>
        </w:rPr>
        <w:t xml:space="preserve">. g. – kolona prethodnoga razdoblja </w:t>
      </w:r>
      <w:proofErr w:type="spellStart"/>
      <w:r w:rsidR="00AC7D7E">
        <w:rPr>
          <w:sz w:val="16"/>
        </w:rPr>
        <w:t>GFI</w:t>
      </w:r>
      <w:proofErr w:type="spellEnd"/>
      <w:r w:rsidR="00AC7D7E">
        <w:rPr>
          <w:sz w:val="16"/>
        </w:rPr>
        <w:t xml:space="preserve">-a za </w:t>
      </w:r>
      <w:proofErr w:type="spellStart"/>
      <w:r w:rsidR="00AC7D7E">
        <w:rPr>
          <w:sz w:val="16"/>
        </w:rPr>
        <w:t>2019</w:t>
      </w:r>
      <w:proofErr w:type="spellEnd"/>
      <w:r w:rsidR="00AC7D7E">
        <w:rPr>
          <w:sz w:val="16"/>
        </w:rPr>
        <w:t>. g.).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95" w:rsidRDefault="005A69E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A321BD9" wp14:editId="2F632BE0">
          <wp:simplePos x="0" y="0"/>
          <wp:positionH relativeFrom="column">
            <wp:posOffset>-41910</wp:posOffset>
          </wp:positionH>
          <wp:positionV relativeFrom="paragraph">
            <wp:posOffset>-89535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6FB2"/>
    <w:rsid w:val="000100F1"/>
    <w:rsid w:val="000315A4"/>
    <w:rsid w:val="0003750E"/>
    <w:rsid w:val="000439BA"/>
    <w:rsid w:val="0004476A"/>
    <w:rsid w:val="00046AB2"/>
    <w:rsid w:val="000556F9"/>
    <w:rsid w:val="000716E3"/>
    <w:rsid w:val="000730B2"/>
    <w:rsid w:val="00073786"/>
    <w:rsid w:val="0007739C"/>
    <w:rsid w:val="00083039"/>
    <w:rsid w:val="00095524"/>
    <w:rsid w:val="000C1517"/>
    <w:rsid w:val="000C55D0"/>
    <w:rsid w:val="000E1201"/>
    <w:rsid w:val="00106906"/>
    <w:rsid w:val="001700CA"/>
    <w:rsid w:val="001755F5"/>
    <w:rsid w:val="001851D7"/>
    <w:rsid w:val="001908FD"/>
    <w:rsid w:val="0019449A"/>
    <w:rsid w:val="00197EE2"/>
    <w:rsid w:val="001C174E"/>
    <w:rsid w:val="001D7E00"/>
    <w:rsid w:val="001E4782"/>
    <w:rsid w:val="001F6F4C"/>
    <w:rsid w:val="002309A4"/>
    <w:rsid w:val="00237C95"/>
    <w:rsid w:val="00253AE7"/>
    <w:rsid w:val="00253D09"/>
    <w:rsid w:val="00260CA6"/>
    <w:rsid w:val="00264F69"/>
    <w:rsid w:val="00274F91"/>
    <w:rsid w:val="00282A6D"/>
    <w:rsid w:val="002A4C48"/>
    <w:rsid w:val="002A7D22"/>
    <w:rsid w:val="002C4FA1"/>
    <w:rsid w:val="002F05A3"/>
    <w:rsid w:val="002F528D"/>
    <w:rsid w:val="002F5C6B"/>
    <w:rsid w:val="002F70C7"/>
    <w:rsid w:val="003113ED"/>
    <w:rsid w:val="00316992"/>
    <w:rsid w:val="0032626E"/>
    <w:rsid w:val="0033209F"/>
    <w:rsid w:val="00333851"/>
    <w:rsid w:val="003400A9"/>
    <w:rsid w:val="0034099F"/>
    <w:rsid w:val="00342171"/>
    <w:rsid w:val="00345E94"/>
    <w:rsid w:val="00385019"/>
    <w:rsid w:val="00390E15"/>
    <w:rsid w:val="00390E6C"/>
    <w:rsid w:val="00396175"/>
    <w:rsid w:val="003A0ED1"/>
    <w:rsid w:val="003B6573"/>
    <w:rsid w:val="004060BC"/>
    <w:rsid w:val="00407979"/>
    <w:rsid w:val="004364D0"/>
    <w:rsid w:val="0044382A"/>
    <w:rsid w:val="004448DF"/>
    <w:rsid w:val="0044584D"/>
    <w:rsid w:val="00453916"/>
    <w:rsid w:val="00470FC2"/>
    <w:rsid w:val="00474B97"/>
    <w:rsid w:val="00486E66"/>
    <w:rsid w:val="00496C44"/>
    <w:rsid w:val="004B31D6"/>
    <w:rsid w:val="004B456E"/>
    <w:rsid w:val="004B670A"/>
    <w:rsid w:val="004E3D09"/>
    <w:rsid w:val="004F27D4"/>
    <w:rsid w:val="0050007C"/>
    <w:rsid w:val="00501318"/>
    <w:rsid w:val="005068DD"/>
    <w:rsid w:val="00516A40"/>
    <w:rsid w:val="0052169D"/>
    <w:rsid w:val="00522989"/>
    <w:rsid w:val="00526DA1"/>
    <w:rsid w:val="00552B2D"/>
    <w:rsid w:val="005543B8"/>
    <w:rsid w:val="00556865"/>
    <w:rsid w:val="00565997"/>
    <w:rsid w:val="00566F6F"/>
    <w:rsid w:val="00587700"/>
    <w:rsid w:val="0059230D"/>
    <w:rsid w:val="00596409"/>
    <w:rsid w:val="0059641A"/>
    <w:rsid w:val="005A69E3"/>
    <w:rsid w:val="005C3360"/>
    <w:rsid w:val="005C386B"/>
    <w:rsid w:val="005C5716"/>
    <w:rsid w:val="005D1020"/>
    <w:rsid w:val="005F162B"/>
    <w:rsid w:val="005F5A46"/>
    <w:rsid w:val="00601681"/>
    <w:rsid w:val="006100EE"/>
    <w:rsid w:val="00614BEC"/>
    <w:rsid w:val="00622BDC"/>
    <w:rsid w:val="00626704"/>
    <w:rsid w:val="00636010"/>
    <w:rsid w:val="00640551"/>
    <w:rsid w:val="006567C7"/>
    <w:rsid w:val="006761D5"/>
    <w:rsid w:val="00680769"/>
    <w:rsid w:val="006A76C3"/>
    <w:rsid w:val="006E037F"/>
    <w:rsid w:val="007134BC"/>
    <w:rsid w:val="007336A1"/>
    <w:rsid w:val="00736C17"/>
    <w:rsid w:val="00757CDC"/>
    <w:rsid w:val="007665D2"/>
    <w:rsid w:val="007703FF"/>
    <w:rsid w:val="00771F2C"/>
    <w:rsid w:val="007813E7"/>
    <w:rsid w:val="00785FA0"/>
    <w:rsid w:val="007A05B2"/>
    <w:rsid w:val="007D1F17"/>
    <w:rsid w:val="007E3362"/>
    <w:rsid w:val="007E45A5"/>
    <w:rsid w:val="0081545A"/>
    <w:rsid w:val="0085100A"/>
    <w:rsid w:val="00866F5E"/>
    <w:rsid w:val="0087281F"/>
    <w:rsid w:val="00877F48"/>
    <w:rsid w:val="00880153"/>
    <w:rsid w:val="008A625A"/>
    <w:rsid w:val="008C4CA5"/>
    <w:rsid w:val="008E3D9D"/>
    <w:rsid w:val="00907EDC"/>
    <w:rsid w:val="00921E7C"/>
    <w:rsid w:val="00922021"/>
    <w:rsid w:val="009277FE"/>
    <w:rsid w:val="00937F67"/>
    <w:rsid w:val="00940D6E"/>
    <w:rsid w:val="00952FDB"/>
    <w:rsid w:val="00995E9A"/>
    <w:rsid w:val="00996096"/>
    <w:rsid w:val="009C397C"/>
    <w:rsid w:val="009C3D95"/>
    <w:rsid w:val="00A328C2"/>
    <w:rsid w:val="00A44EF8"/>
    <w:rsid w:val="00A818E2"/>
    <w:rsid w:val="00A8573F"/>
    <w:rsid w:val="00A9442E"/>
    <w:rsid w:val="00AA683B"/>
    <w:rsid w:val="00AB1AEF"/>
    <w:rsid w:val="00AB202F"/>
    <w:rsid w:val="00AC7D7E"/>
    <w:rsid w:val="00AD4BD7"/>
    <w:rsid w:val="00B416FC"/>
    <w:rsid w:val="00B6455C"/>
    <w:rsid w:val="00B9561E"/>
    <w:rsid w:val="00BA5404"/>
    <w:rsid w:val="00BB3D72"/>
    <w:rsid w:val="00BE44DD"/>
    <w:rsid w:val="00BF7929"/>
    <w:rsid w:val="00C04B3B"/>
    <w:rsid w:val="00C0508A"/>
    <w:rsid w:val="00C0744F"/>
    <w:rsid w:val="00C45579"/>
    <w:rsid w:val="00C46B67"/>
    <w:rsid w:val="00C66160"/>
    <w:rsid w:val="00C871F8"/>
    <w:rsid w:val="00C916B0"/>
    <w:rsid w:val="00CB5F36"/>
    <w:rsid w:val="00CC02EE"/>
    <w:rsid w:val="00CF0B12"/>
    <w:rsid w:val="00D1272C"/>
    <w:rsid w:val="00D354CE"/>
    <w:rsid w:val="00D35E90"/>
    <w:rsid w:val="00D533F5"/>
    <w:rsid w:val="00D573EF"/>
    <w:rsid w:val="00D61BE9"/>
    <w:rsid w:val="00D63CB7"/>
    <w:rsid w:val="00D83110"/>
    <w:rsid w:val="00D83AFA"/>
    <w:rsid w:val="00DB168D"/>
    <w:rsid w:val="00DE518A"/>
    <w:rsid w:val="00DE62D2"/>
    <w:rsid w:val="00E00D76"/>
    <w:rsid w:val="00E16E8A"/>
    <w:rsid w:val="00E171C7"/>
    <w:rsid w:val="00E178E0"/>
    <w:rsid w:val="00E202D5"/>
    <w:rsid w:val="00E432D1"/>
    <w:rsid w:val="00E50025"/>
    <w:rsid w:val="00EB4D84"/>
    <w:rsid w:val="00EC2128"/>
    <w:rsid w:val="00EC79D3"/>
    <w:rsid w:val="00EC7DA3"/>
    <w:rsid w:val="00ED4047"/>
    <w:rsid w:val="00EE71C7"/>
    <w:rsid w:val="00EE7ADF"/>
    <w:rsid w:val="00F00F87"/>
    <w:rsid w:val="00F12114"/>
    <w:rsid w:val="00F24566"/>
    <w:rsid w:val="00F5026B"/>
    <w:rsid w:val="00F751F7"/>
    <w:rsid w:val="00FA00A9"/>
    <w:rsid w:val="00FA2762"/>
    <w:rsid w:val="00FA6B20"/>
    <w:rsid w:val="00FB7C73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Tekstbalonia">
    <w:name w:val="Balloon Text"/>
    <w:basedOn w:val="Normal"/>
    <w:link w:val="Tekstbalonia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416FC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474B97"/>
    <w:rPr>
      <w:rFonts w:cs="Times New Roman"/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07E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7E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Tekstbalonia">
    <w:name w:val="Balloon Text"/>
    <w:basedOn w:val="Normal"/>
    <w:link w:val="Tekstbalonia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416FC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474B97"/>
    <w:rPr>
      <w:rFonts w:cs="Times New Roman"/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07E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7E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14EC-CDC2-438E-8058-F58EA851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Branka Viduka</cp:lastModifiedBy>
  <cp:revision>32</cp:revision>
  <cp:lastPrinted>2016-04-28T12:36:00Z</cp:lastPrinted>
  <dcterms:created xsi:type="dcterms:W3CDTF">2019-06-03T09:48:00Z</dcterms:created>
  <dcterms:modified xsi:type="dcterms:W3CDTF">2020-07-22T10:38:00Z</dcterms:modified>
</cp:coreProperties>
</file>