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220D0B" w:rsidRDefault="00F47876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DJELATNOSTI PRUŽANJA SMJEŠTAJA TE PRIPREME I USLUŽIVANJA HRANE – PRESJEK 2003</w:t>
      </w:r>
      <w:r w:rsidR="00FA54CA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8E7AF6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200</w:t>
      </w:r>
      <w:r w:rsidR="009A2BDE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8</w:t>
      </w:r>
      <w:r w:rsidR="008E7AF6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FA54CA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9A2BDE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3</w:t>
      </w:r>
      <w:r w:rsidR="00FA54CA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.-201</w:t>
      </w:r>
      <w:r w:rsidR="009A2BDE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9</w:t>
      </w:r>
      <w:r w:rsidR="00FA54CA" w:rsidRPr="00220D0B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D0623" w:rsidRPr="00220D0B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Kroz promatran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presjek godina</w:t>
      </w:r>
      <w:r w:rsidR="008342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(2003.-200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8342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8342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8342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5013CE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 poduzetnika u djelatnosti </w:t>
      </w:r>
      <w:r w:rsidR="00E378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najveći 20</w:t>
      </w:r>
      <w:r w:rsidR="006A79C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kada je to bila pretežita djelatnost 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12.729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309D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2309D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201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2309D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6B1C5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bilo je 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6.745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E378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2309D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</w:t>
      </w:r>
      <w:r w:rsidR="006A79C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2309D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godini 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4.697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</w:t>
      </w:r>
      <w:r w:rsidR="00E378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ih je bilo 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2003. godin</w:t>
      </w:r>
      <w:r w:rsidR="00543D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390A7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2.</w:t>
      </w:r>
      <w:r w:rsidR="00E378C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771.</w:t>
      </w:r>
      <w:r w:rsidR="00C35E5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9974B7" w:rsidRDefault="009974B7" w:rsidP="00195A7F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F12DF1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rezultati poslovanja poduzetnika u djelatnosti </w:t>
      </w:r>
      <w:r w:rsidR="00216DC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pružanja smještaja te pripreme i usluži</w:t>
      </w:r>
      <w:r w:rsidR="009A2BDE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vanja hrane – presjek 2003.-2008</w:t>
      </w:r>
      <w:r w:rsidR="00216DC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9A2BDE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216DC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9A2BDE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216DC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godina</w:t>
      </w:r>
      <w:r w:rsidR="00216DC2" w:rsidRPr="00220D0B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</w:t>
      </w:r>
      <w:r w:rsidRPr="00220D0B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="00216DC2" w:rsidRPr="00220D0B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.</w:t>
      </w:r>
      <w:r w:rsidRPr="00220D0B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847"/>
        <w:gridCol w:w="1247"/>
        <w:gridCol w:w="1247"/>
        <w:gridCol w:w="1247"/>
        <w:gridCol w:w="1248"/>
      </w:tblGrid>
      <w:tr w:rsidR="00DD590D" w:rsidRPr="009A2BDE" w:rsidTr="00DD590D">
        <w:trPr>
          <w:trHeight w:val="405"/>
          <w:jc w:val="center"/>
        </w:trPr>
        <w:tc>
          <w:tcPr>
            <w:tcW w:w="48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D590D" w:rsidRPr="009A2BDE" w:rsidRDefault="00DD590D" w:rsidP="009A2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98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DD590D" w:rsidRPr="009A2BDE" w:rsidRDefault="00DD590D" w:rsidP="00DD5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I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–</w:t>
            </w: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Djel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pružanja smještaja te pripreme i usluživanja hrane</w:t>
            </w:r>
            <w:r w:rsidRPr="009A2BDE">
              <w:rPr>
                <w:rFonts w:eastAsia="Times New Roman" w:cs="Arial"/>
                <w:b/>
                <w:bCs/>
                <w:color w:val="FFFFFF"/>
                <w:sz w:val="16"/>
                <w:szCs w:val="16"/>
                <w:vertAlign w:val="superscript"/>
                <w:lang w:eastAsia="hr-HR"/>
              </w:rPr>
              <w:footnoteReference w:id="1"/>
            </w: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B9531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(tekuće razdoblje iz godišnjeg financijskog izvještaja)</w:t>
            </w:r>
          </w:p>
        </w:tc>
      </w:tr>
      <w:tr w:rsidR="009A2BDE" w:rsidRPr="009A2BDE" w:rsidTr="00DD590D">
        <w:trPr>
          <w:trHeight w:hRule="exact" w:val="221"/>
          <w:jc w:val="center"/>
        </w:trPr>
        <w:tc>
          <w:tcPr>
            <w:tcW w:w="48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2003.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2008.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2013.</w:t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2019.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2.771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4.697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6.745</w:t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12.729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</w:t>
            </w: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dobitaša</w:t>
            </w:r>
            <w:proofErr w:type="spellEnd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1.475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2.443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4.092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7.132</w:t>
            </w:r>
            <w:proofErr w:type="spellEnd"/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1.296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2.254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2.653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5.597</w:t>
            </w:r>
            <w:proofErr w:type="spellEnd"/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zaposlenih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35.777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44.946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48.658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78.871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prihodi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9.622.307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13.362.038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17.605.583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31.313.246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rashodi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9.239.127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14.320.702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17.339.894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29.317.857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prije oporezivanja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1.002.666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672.058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1.784.239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3.347.346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prije oporezivanja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619.485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1.630.722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1.518.550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1.351.956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Porez na dobit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31.405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97.128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89.918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395.380</w:t>
            </w:r>
            <w:proofErr w:type="spellEnd"/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razdoblja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971.483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570.523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1.694.194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2.961.580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razdoblja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619.708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1.626.315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1.518.423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1.361.570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DD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Konsolidir</w:t>
            </w:r>
            <w:r w:rsidR="00DD590D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.</w:t>
            </w:r>
            <w:r w:rsidRPr="009A2BDE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 xml:space="preserve"> fin. r</w:t>
            </w:r>
            <w:r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ez</w:t>
            </w:r>
            <w:r w:rsidR="00DD590D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ultat</w:t>
            </w:r>
            <w:r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 xml:space="preserve"> – dobit (+) ili gubitak (-) </w:t>
            </w:r>
            <w:r w:rsidRPr="009A2BDE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raz</w:t>
            </w:r>
            <w:r w:rsidR="00DD590D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doblja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351.775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-1.055.792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175.771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1.600.009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Izvoz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2.757.603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3.741.453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4.691.530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7.434.262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Uvoz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351.195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404.868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222.323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622.763</w:t>
            </w:r>
            <w:proofErr w:type="spellEnd"/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Trgovinski saldo (izvoz minus uvoz)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2.406.408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3.336.585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4.469.207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6.811.499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Investicije </w:t>
            </w:r>
            <w:r w:rsidR="00DD590D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samo </w:t>
            </w: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u novu dugotrajnu imovinu</w:t>
            </w:r>
            <w:r w:rsidRPr="009A2BDE">
              <w:rPr>
                <w:rFonts w:eastAsia="Times New Roman" w:cs="Arial"/>
                <w:color w:val="00325A"/>
                <w:sz w:val="17"/>
                <w:szCs w:val="17"/>
                <w:vertAlign w:val="superscript"/>
                <w:lang w:eastAsia="hr-HR"/>
              </w:rPr>
              <w:footnoteReference w:id="2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2.126.649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3.813.582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2.087.357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2.899.728</w:t>
            </w:r>
          </w:p>
        </w:tc>
      </w:tr>
      <w:tr w:rsidR="009A2BDE" w:rsidRPr="009A2BDE" w:rsidTr="00DD590D">
        <w:trPr>
          <w:trHeight w:hRule="exact" w:val="255"/>
          <w:jc w:val="center"/>
        </w:trPr>
        <w:tc>
          <w:tcPr>
            <w:tcW w:w="48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Prosječne mjesečne neto </w:t>
            </w:r>
            <w:r w:rsidR="00DD590D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obračunane </w:t>
            </w: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plaće po zaposlenom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3.091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3.902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proofErr w:type="spellStart"/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4.213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2BDE" w:rsidRPr="009A2BDE" w:rsidRDefault="009A2BDE" w:rsidP="009A2B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A2BDE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5.064</w:t>
            </w:r>
          </w:p>
        </w:tc>
      </w:tr>
    </w:tbl>
    <w:p w:rsidR="009974B7" w:rsidRDefault="009974B7" w:rsidP="00DD590D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="00216DC2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2003., </w:t>
      </w:r>
      <w:r w:rsidR="00B7152E" w:rsidRPr="003430ED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9A2BDE">
        <w:rPr>
          <w:rFonts w:ascii="Arial" w:hAnsi="Arial" w:cs="Arial"/>
          <w:i/>
          <w:color w:val="1F497D" w:themeColor="text2"/>
          <w:sz w:val="16"/>
          <w:szCs w:val="16"/>
        </w:rPr>
        <w:t>8</w:t>
      </w:r>
      <w:r w:rsidR="00B7152E" w:rsidRPr="003430ED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9A2BDE">
        <w:rPr>
          <w:rFonts w:ascii="Arial" w:hAnsi="Arial" w:cs="Arial"/>
          <w:i/>
          <w:color w:val="1F497D" w:themeColor="text2"/>
          <w:sz w:val="16"/>
          <w:szCs w:val="16"/>
        </w:rPr>
        <w:t>3</w:t>
      </w:r>
      <w:r w:rsidR="00B7152E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. i </w:t>
      </w: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9A2BDE">
        <w:rPr>
          <w:rFonts w:ascii="Arial" w:hAnsi="Arial" w:cs="Arial"/>
          <w:i/>
          <w:color w:val="1F497D" w:themeColor="text2"/>
          <w:sz w:val="16"/>
          <w:szCs w:val="16"/>
        </w:rPr>
        <w:t>9</w:t>
      </w: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031CB2" w:rsidRPr="00220D0B" w:rsidRDefault="00031CB2" w:rsidP="00F314D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dba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u djelatnosti </w:t>
      </w:r>
      <w:r w:rsidR="00345DFE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</w:t>
      </w:r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pripreme i usluživanja hrane 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kroz </w:t>
      </w:r>
      <w:r w:rsidR="00345DFE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promatramo </w:t>
      </w:r>
      <w:r w:rsidR="00C52EB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razdoblje 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pokazala je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da</w:t>
      </w:r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je,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345DFE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201</w:t>
      </w:r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="00171A29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bio veći</w:t>
      </w:r>
      <w:r w:rsidR="009C304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proofErr w:type="spellStart"/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43.094</w:t>
      </w:r>
      <w:proofErr w:type="spellEnd"/>
      <w:r w:rsidR="00522A4E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proofErr w:type="spellStart"/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120</w:t>
      </w:r>
      <w:proofErr w:type="spellEnd"/>
      <w:r w:rsidR="00C94713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,5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522A4E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27237" w:rsidRPr="00220D0B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</w:p>
    <w:p w:rsidR="00261469" w:rsidRPr="007D0AC9" w:rsidRDefault="00B7152E" w:rsidP="00195A7F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02DE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Broj zaposlenih kod poduzetnika u djelatnosti pružanja smještaja te pripreme i usluživanja hrane – presjek 2003.-200</w:t>
      </w:r>
      <w:r w:rsidR="00AA4797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="00202DE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AA4797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202DE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AA4797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202DE2" w:rsidRPr="00220D0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195A7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odina</w:t>
      </w:r>
    </w:p>
    <w:p w:rsidR="00491601" w:rsidRPr="00B7152E" w:rsidRDefault="00AA4797" w:rsidP="008A5496">
      <w:pPr>
        <w:tabs>
          <w:tab w:val="left" w:pos="1134"/>
        </w:tabs>
        <w:spacing w:before="40" w:after="0" w:line="240" w:lineRule="auto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66E4B7C8" wp14:editId="6F6B5429">
            <wp:extent cx="6408535" cy="1728000"/>
            <wp:effectExtent l="0" t="0" r="0" b="571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535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195A7F">
      <w:pPr>
        <w:spacing w:before="2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>Registar godišnjih financijskih izvješta</w:t>
      </w:r>
      <w:bookmarkStart w:id="0" w:name="_GoBack"/>
      <w:bookmarkEnd w:id="0"/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>ja, obrada GFI-a za 2003., 200</w:t>
      </w:r>
      <w:r w:rsidR="00AA4797">
        <w:rPr>
          <w:rFonts w:ascii="Arial" w:hAnsi="Arial" w:cs="Arial"/>
          <w:i/>
          <w:color w:val="1F497D" w:themeColor="text2"/>
          <w:sz w:val="16"/>
          <w:szCs w:val="16"/>
        </w:rPr>
        <w:t>8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AA4797">
        <w:rPr>
          <w:rFonts w:ascii="Arial" w:hAnsi="Arial" w:cs="Arial"/>
          <w:i/>
          <w:color w:val="1F497D" w:themeColor="text2"/>
          <w:sz w:val="16"/>
          <w:szCs w:val="16"/>
        </w:rPr>
        <w:t>3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>. i 201</w:t>
      </w:r>
      <w:r w:rsidR="00AA4797">
        <w:rPr>
          <w:rFonts w:ascii="Arial" w:hAnsi="Arial" w:cs="Arial"/>
          <w:i/>
          <w:color w:val="1F497D" w:themeColor="text2"/>
          <w:sz w:val="16"/>
          <w:szCs w:val="16"/>
        </w:rPr>
        <w:t>9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F54D8A" w:rsidRPr="00DD590D" w:rsidRDefault="00F54D8A" w:rsidP="00DD590D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</w:pP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ukup</w:t>
      </w:r>
      <w:r w:rsidR="00004F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djelatnosti </w:t>
      </w:r>
      <w:r w:rsidR="00096C4B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ostvaren</w:t>
      </w:r>
      <w:r w:rsidR="00004F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4F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201</w:t>
      </w:r>
      <w:r w:rsidR="00004F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godine</w:t>
      </w:r>
      <w:r w:rsid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004F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31,3 milijarde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F40D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21,7 milijardi kuna </w:t>
      </w:r>
      <w:r w:rsidR="00004F73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096C4B"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3</w:t>
      </w:r>
      <w:r w:rsidRPr="00DD590D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godinu.</w:t>
      </w:r>
    </w:p>
    <w:p w:rsidR="005543C1" w:rsidRDefault="00195A7F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ajveću dobit razdoblja </w:t>
      </w:r>
      <w:r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je ostvarena u 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i,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3,0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46E3D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tri puta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više </w:t>
      </w:r>
      <w:r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37847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03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00324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dobitaš u 201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9. godini bi</w:t>
      </w:r>
      <w:r w:rsidR="00F00324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veliki poduzetnik</w:t>
      </w:r>
      <w:r w:rsidR="00F00324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Valamar Riviera </w:t>
      </w:r>
      <w:r w:rsidR="00F00324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d.d.</w:t>
      </w:r>
      <w:r w:rsidR="00F54D8A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00324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ostvarenom dobiti od </w:t>
      </w:r>
      <w:r w:rsidR="00E16A41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377,0</w:t>
      </w:r>
      <w:r w:rsidR="00F00324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</w:t>
      </w:r>
      <w:r w:rsidR="00220D0B" w:rsidRP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Društvo je ostvarilo i najveće ukupne prihode u 2019. godini (2,1 </w:t>
      </w:r>
      <w:r w:rsidR="00220D0B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milijarda kuna)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 </w:t>
      </w:r>
      <w:r w:rsidR="00220D0B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4.094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zaposlenih,</w:t>
      </w:r>
      <w:r w:rsidR="00220D0B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kojima je obračunata prosječna mjesečna neto plaća u iznosu od 6.378 kuna. </w:t>
      </w:r>
      <w:r w:rsid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 visini ukupnih prihoda iza Valamar Riviere d.d., slijede </w:t>
      </w:r>
      <w:r w:rsidR="005543C1" w:rsidRP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MAISTRA d.d. iz Rovinja </w:t>
      </w:r>
      <w:r w:rsid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 w:rsidR="005543C1" w:rsidRP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1,2 milijarde kuna i PLAVA LAGUNA d.d. iz Poreča</w:t>
      </w:r>
      <w:r w:rsid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 nešto manje od </w:t>
      </w:r>
      <w:r w:rsidR="005543C1" w:rsidRP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1,2 milijarde kuna</w:t>
      </w:r>
      <w:r w:rsid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ukupnih prihoda</w:t>
      </w:r>
      <w:r w:rsidR="005543C1" w:rsidRPr="005543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F54D8A" w:rsidRPr="00220D0B" w:rsidRDefault="00F54D8A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 razdoblja bio je najveći 20</w:t>
      </w:r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08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i iznosio je </w:t>
      </w:r>
      <w:r w:rsidR="0059670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</w:t>
      </w:r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96702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milijardi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(</w:t>
      </w:r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19,4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201</w:t>
      </w:r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godinu).</w:t>
      </w:r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gubitaš u 2008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bilo je društvo </w:t>
      </w:r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HOTELI NOVI d.o.o.</w:t>
      </w:r>
      <w:r w:rsidR="000D137D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proofErr w:type="spellStart"/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446</w:t>
      </w:r>
      <w:proofErr w:type="spellEnd"/>
      <w:r w:rsidR="00E16A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,1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</w:t>
      </w:r>
      <w:r w:rsidR="00195A7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F54D8A" w:rsidRPr="00220D0B" w:rsidRDefault="00AA6289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Najveće i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nvesticije u novu dugotrajnu imovinu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ostvarene su 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200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8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e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iznosile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su 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3,8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milijardi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dok su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201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9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godini iznosile 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2,9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milijardi kuna, što je za 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24,0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%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manje nego 200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8</w:t>
      </w:r>
      <w:r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godine. 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Najveći investitor u 200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8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godini bilo je društvo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MAISTRA d.d.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 </w:t>
      </w:r>
      <w:proofErr w:type="spellStart"/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342</w:t>
      </w:r>
      <w:proofErr w:type="spellEnd"/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,4</w:t>
      </w:r>
      <w:r w:rsidR="006F1C3C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 investicija u novu dugotrajnu imovinu, dok je 201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9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 vodeće društvo bilo </w:t>
      </w:r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IMPERIAL RIVIERA d.d.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 </w:t>
      </w:r>
      <w:proofErr w:type="spellStart"/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354</w:t>
      </w:r>
      <w:proofErr w:type="spellEnd"/>
      <w:r w:rsidR="00D547A0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,6</w:t>
      </w:r>
      <w:r w:rsidR="00F54D8A" w:rsidRPr="00220D0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 kuna</w:t>
      </w:r>
      <w:r w:rsidR="005543C1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,</w:t>
      </w:r>
      <w:r w:rsidR="005543C1" w:rsidRPr="005543C1">
        <w:t xml:space="preserve"> </w:t>
      </w:r>
      <w:r w:rsidR="005543C1" w:rsidRPr="005543C1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dok je najveći iznos bruto investicija u dugotrajnu materijalnu i nematerijalnu imovinu iskazao Valamar Riviera d.d., </w:t>
      </w:r>
      <w:proofErr w:type="spellStart"/>
      <w:r w:rsidR="005543C1" w:rsidRPr="005543C1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686</w:t>
      </w:r>
      <w:proofErr w:type="spellEnd"/>
      <w:r w:rsidR="005543C1" w:rsidRPr="005543C1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,7 milijuna kuna. </w:t>
      </w:r>
      <w:r w:rsidR="005543C1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</w:p>
    <w:p w:rsidR="00DD1130" w:rsidRPr="00220D0B" w:rsidRDefault="00DD1130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</w:t>
      </w:r>
      <w:r w:rsidR="00195A7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obračunata 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plaća poduzetnika u </w:t>
      </w:r>
      <w:r w:rsidR="006A17A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iznosila je 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5.064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bila je za </w:t>
      </w:r>
      <w:proofErr w:type="spellStart"/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1.974</w:t>
      </w:r>
      <w:proofErr w:type="spellEnd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proofErr w:type="spellStart"/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63</w:t>
      </w:r>
      <w:proofErr w:type="spellEnd"/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,9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 u odnosu na plaću obračunatu u 200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(</w:t>
      </w:r>
      <w:proofErr w:type="spellStart"/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3.091</w:t>
      </w:r>
      <w:proofErr w:type="spellEnd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za 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12,9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manja u odnosu na prosječnu mjesečnu 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plaću poduzetnika RH (5</w:t>
      </w:r>
      <w:r w:rsidR="00B75FF7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815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DD590D" w:rsidRPr="00220D0B" w:rsidRDefault="00DD590D" w:rsidP="00DD590D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Analiza poduzetnika u 2019. godini u djelatnosti pružanja smještaja te pripreme i usluživanja hrane, prema sjedištu poslovanja, pokazala je najveću koncentraciju poduzetnika na području Grada Zagreba (</w:t>
      </w:r>
      <w:proofErr w:type="spellStart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3.081</w:t>
      </w:r>
      <w:proofErr w:type="spellEnd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Splitsko-dalmatinsk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proofErr w:type="spellStart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2.040</w:t>
      </w:r>
      <w:proofErr w:type="spellEnd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Primorsko-goransk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proofErr w:type="spellStart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1.311</w:t>
      </w:r>
      <w:proofErr w:type="spellEnd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 te Istarsk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županij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proofErr w:type="spellStart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1.201</w:t>
      </w:r>
      <w:proofErr w:type="spellEnd"/>
      <w:r w:rsidRPr="00220D0B">
        <w:rPr>
          <w:rFonts w:ascii="Arial" w:hAnsi="Arial" w:cs="Arial"/>
          <w:sz w:val="20"/>
          <w:szCs w:val="20"/>
        </w:rPr>
        <w:t xml:space="preserve">). </w:t>
      </w:r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Najmanje poduzetnika u toj djelatnosti sjedište ima u Virovitičko-podravskoj (56) i Požeško-slavonskoj županiji (</w:t>
      </w:r>
      <w:proofErr w:type="spellStart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83</w:t>
      </w:r>
      <w:proofErr w:type="spellEnd"/>
      <w:r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 Istarska županija vodeća je po ostvarenim ukupnim prihodima poduzetnika u promatranom području djelatnosti u 2019. godini (7,3 milijarde kuna).</w:t>
      </w:r>
    </w:p>
    <w:p w:rsidR="00F54D8A" w:rsidRPr="00220D0B" w:rsidRDefault="00195A7F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Usporedba poduzetnika s 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rang liste 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top 10 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promatranim godinama 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</w:t>
      </w:r>
      <w:r w:rsidR="001679A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</w:t>
      </w:r>
      <w:r w:rsidR="001679A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2007.-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1679A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1679A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-2019.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prema ukupn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 prihod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</w:t>
      </w:r>
      <w:r w:rsidR="00686E94" w:rsidRPr="00220D0B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4"/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okazala je da je top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10 poduzetnika u 201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ostvari</w:t>
      </w:r>
      <w:r w:rsidR="001679A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 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686E94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7,5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679A6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milijardi</w:t>
      </w:r>
      <w:r w:rsidR="00F54D8A" w:rsidRPr="00220D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="00082C7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Za usporedbu, top 10 poduzetnika u istom području djelatnosti u 2003. godini, ostvarilo je ukupne prihode u iznosu od </w:t>
      </w:r>
      <w:r w:rsidR="00DD59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2,4 milijarde kuna.</w:t>
      </w:r>
    </w:p>
    <w:p w:rsidR="00EB01F8" w:rsidRDefault="00EB01F8" w:rsidP="00EB01F8">
      <w:pPr>
        <w:spacing w:before="160" w:after="0" w:line="240" w:lineRule="auto"/>
        <w:ind w:left="1134" w:hanging="1134"/>
        <w:rPr>
          <w:rFonts w:ascii="Arial" w:hAnsi="Arial" w:cs="Arial"/>
          <w:color w:val="003366"/>
          <w:sz w:val="16"/>
          <w:szCs w:val="18"/>
        </w:rPr>
      </w:pPr>
      <w:r w:rsidRPr="00220D0B">
        <w:rPr>
          <w:rFonts w:ascii="Arial" w:hAnsi="Arial" w:cs="Arial"/>
          <w:b/>
          <w:color w:val="003366"/>
          <w:sz w:val="18"/>
          <w:szCs w:val="18"/>
        </w:rPr>
        <w:t xml:space="preserve">Tablica </w:t>
      </w:r>
      <w:r w:rsidR="00B33AC7" w:rsidRPr="00220D0B">
        <w:rPr>
          <w:rFonts w:ascii="Arial" w:hAnsi="Arial" w:cs="Arial"/>
          <w:b/>
          <w:color w:val="003366"/>
          <w:sz w:val="18"/>
          <w:szCs w:val="18"/>
        </w:rPr>
        <w:t>2</w:t>
      </w:r>
      <w:r w:rsidRPr="00220D0B">
        <w:rPr>
          <w:rFonts w:ascii="Arial" w:hAnsi="Arial" w:cs="Arial"/>
          <w:b/>
          <w:color w:val="003366"/>
          <w:sz w:val="18"/>
          <w:szCs w:val="18"/>
        </w:rPr>
        <w:t>.</w:t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  <w:t xml:space="preserve">Top 10 poduzetnika prema ukupnom prihodu u </w:t>
      </w:r>
      <w:r w:rsidRPr="00220D0B">
        <w:rPr>
          <w:rFonts w:ascii="Arial" w:hAnsi="Arial" w:cs="Arial"/>
          <w:b/>
          <w:color w:val="003366"/>
          <w:sz w:val="18"/>
          <w:szCs w:val="18"/>
          <w:u w:val="single"/>
        </w:rPr>
        <w:t>201</w:t>
      </w:r>
      <w:r w:rsidR="00B33AC7" w:rsidRPr="00220D0B">
        <w:rPr>
          <w:rFonts w:ascii="Arial" w:hAnsi="Arial" w:cs="Arial"/>
          <w:b/>
          <w:color w:val="003366"/>
          <w:sz w:val="18"/>
          <w:szCs w:val="18"/>
          <w:u w:val="single"/>
        </w:rPr>
        <w:t>9</w:t>
      </w:r>
      <w:r w:rsidRPr="00220D0B">
        <w:rPr>
          <w:rFonts w:ascii="Arial" w:hAnsi="Arial" w:cs="Arial"/>
          <w:b/>
          <w:color w:val="003366"/>
          <w:sz w:val="18"/>
          <w:szCs w:val="18"/>
          <w:u w:val="single"/>
        </w:rPr>
        <w:t>. godini</w:t>
      </w:r>
      <w:r w:rsidRPr="00220D0B">
        <w:rPr>
          <w:rFonts w:ascii="Arial" w:hAnsi="Arial" w:cs="Arial"/>
          <w:b/>
          <w:color w:val="003366"/>
          <w:sz w:val="18"/>
          <w:szCs w:val="18"/>
        </w:rPr>
        <w:t xml:space="preserve"> u djelatnosti pružanja smještaja te pripreme i usluživanja hrane</w:t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b/>
          <w:color w:val="003366"/>
          <w:sz w:val="18"/>
          <w:szCs w:val="18"/>
        </w:rPr>
        <w:tab/>
      </w:r>
      <w:r w:rsidRPr="00220D0B">
        <w:rPr>
          <w:rFonts w:ascii="Arial" w:hAnsi="Arial" w:cs="Arial"/>
          <w:color w:val="003366"/>
          <w:sz w:val="16"/>
          <w:szCs w:val="18"/>
        </w:rPr>
        <w:t xml:space="preserve">     (iznosi u tisućama kuna)</w:t>
      </w:r>
    </w:p>
    <w:tbl>
      <w:tblPr>
        <w:tblW w:w="980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91"/>
        <w:gridCol w:w="3175"/>
        <w:gridCol w:w="1247"/>
        <w:gridCol w:w="1132"/>
        <w:gridCol w:w="1247"/>
        <w:gridCol w:w="1247"/>
      </w:tblGrid>
      <w:tr w:rsidR="00082C74" w:rsidRPr="00B33AC7" w:rsidTr="00082C74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082C74" w:rsidRPr="00EA1101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A110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082C74" w:rsidRPr="00EA1101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A110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OIB</w:t>
            </w:r>
          </w:p>
        </w:tc>
        <w:tc>
          <w:tcPr>
            <w:tcW w:w="31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082C74" w:rsidRPr="00EA1101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A110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Naziv poduzetnika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82C74" w:rsidRPr="00EA1101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Sjedište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82C74" w:rsidRPr="00EA1101" w:rsidRDefault="00082C74" w:rsidP="00082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082C7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82C74" w:rsidRPr="00EA1101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A110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Ukupan prihod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082C74" w:rsidRPr="00EA1101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EA110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Dobit ili gubitak razdoblja</w:t>
            </w:r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36201212847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Valamar Riviera d.d.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vertAlign w:val="superscript"/>
                <w:lang w:eastAsia="hr-HR"/>
              </w:rPr>
              <w:t xml:space="preserve"> 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vertAlign w:val="superscript"/>
                <w:lang w:eastAsia="hr-HR"/>
              </w:rPr>
              <w:footnoteReference w:id="5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094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2.074.210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377.007</w:t>
            </w:r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25190869349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MAISTRA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Rovinj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1.223.781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149.314</w:t>
            </w:r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57444289760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PLAVA LAGUNA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1.186.085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205.547</w:t>
            </w:r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97492131626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GLOBALNA HRANA d.o.o.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059</w:t>
            </w:r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588.658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51.219</w:t>
            </w:r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22797775374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JADRANSKI LUKSUZNI HOTELI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817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547.947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95.227</w:t>
            </w:r>
            <w:proofErr w:type="spellEnd"/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47625429199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ARENA </w:t>
            </w: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HOSPITALITY</w:t>
            </w:r>
            <w:proofErr w:type="spellEnd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GROUP</w:t>
            </w:r>
            <w:proofErr w:type="spellEnd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d.d.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vertAlign w:val="superscript"/>
                <w:lang w:eastAsia="hr-HR"/>
              </w:rPr>
              <w:t xml:space="preserve"> </w:t>
            </w: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vertAlign w:val="superscript"/>
                <w:lang w:eastAsia="hr-HR"/>
              </w:rPr>
              <w:footnoteReference w:id="6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812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542.178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63.921</w:t>
            </w:r>
            <w:proofErr w:type="spellEnd"/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26217708909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SOLARIS</w:t>
            </w:r>
            <w:proofErr w:type="spellEnd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667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365.431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808</w:t>
            </w:r>
            <w:proofErr w:type="spellEnd"/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15573308024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LIBURNIA</w:t>
            </w:r>
            <w:proofErr w:type="spellEnd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RIVIERA HOTELI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Opatija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646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326.978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10.716</w:t>
            </w:r>
            <w:proofErr w:type="spellEnd"/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31076464103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ADRIATIC</w:t>
            </w:r>
            <w:proofErr w:type="spellEnd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d.d. u stečaju</w:t>
            </w:r>
            <w:r w:rsidRPr="00082C74">
              <w:rPr>
                <w:rStyle w:val="Referencafusnote"/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ootnoteReference w:id="7"/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324.047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-54.086</w:t>
            </w:r>
          </w:p>
        </w:tc>
      </w:tr>
      <w:tr w:rsidR="00082C74" w:rsidRPr="00B33AC7" w:rsidTr="00082C74">
        <w:trPr>
          <w:trHeight w:hRule="exact" w:val="255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B33AC7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B33AC7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74204012744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TURISTHOTEL</w:t>
            </w:r>
            <w:proofErr w:type="spellEnd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1247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307.594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85.317</w:t>
            </w:r>
            <w:proofErr w:type="spellEnd"/>
          </w:p>
        </w:tc>
      </w:tr>
      <w:tr w:rsidR="00082C74" w:rsidRPr="00B33AC7" w:rsidTr="00DD590D">
        <w:trPr>
          <w:trHeight w:hRule="exact" w:val="255"/>
          <w:jc w:val="center"/>
        </w:trPr>
        <w:tc>
          <w:tcPr>
            <w:tcW w:w="6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82C74" w:rsidRPr="00B33AC7" w:rsidRDefault="00082C74" w:rsidP="00082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 xml:space="preserve">Ukupno top 10 poduzetnika u </w:t>
            </w:r>
            <w:r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području I</w:t>
            </w:r>
          </w:p>
        </w:tc>
        <w:tc>
          <w:tcPr>
            <w:tcW w:w="1132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nil"/>
            </w:tcBorders>
            <w:shd w:val="clear" w:color="000000" w:fill="D9D9D9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12.711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7.486.909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082C7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984.989</w:t>
            </w:r>
            <w:proofErr w:type="spellEnd"/>
          </w:p>
        </w:tc>
      </w:tr>
      <w:tr w:rsidR="00082C74" w:rsidRPr="00B33AC7" w:rsidTr="00DD590D">
        <w:trPr>
          <w:trHeight w:hRule="exact" w:val="255"/>
          <w:jc w:val="center"/>
        </w:trPr>
        <w:tc>
          <w:tcPr>
            <w:tcW w:w="61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82C74" w:rsidRPr="00B33AC7" w:rsidRDefault="00082C74" w:rsidP="00082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</w:pPr>
            <w:r w:rsidRPr="00B33AC7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 xml:space="preserve">Ukupno svi poduzetnici u </w:t>
            </w:r>
            <w:r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području djelatnosti 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vAlign w:val="center"/>
          </w:tcPr>
          <w:p w:rsidR="00082C74" w:rsidRPr="00082C74" w:rsidRDefault="00082C74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78.871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31.313.246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82C74" w:rsidRPr="00082C74" w:rsidRDefault="00082C74" w:rsidP="00B33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82C74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1.600.009</w:t>
            </w:r>
          </w:p>
        </w:tc>
      </w:tr>
    </w:tbl>
    <w:p w:rsidR="00ED7ECF" w:rsidRPr="00EB01F8" w:rsidRDefault="00ED7ECF" w:rsidP="00EB01F8">
      <w:pPr>
        <w:spacing w:after="0" w:line="240" w:lineRule="auto"/>
        <w:rPr>
          <w:rFonts w:ascii="Arial" w:hAnsi="Arial" w:cs="Arial"/>
          <w:color w:val="003366"/>
          <w:sz w:val="18"/>
          <w:szCs w:val="18"/>
        </w:rPr>
      </w:pPr>
      <w:r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</w:t>
      </w:r>
      <w:r w:rsidR="00464118"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Fina, Registar godišnjih financijskih izvještaja</w:t>
      </w:r>
    </w:p>
    <w:p w:rsidR="00B33AC7" w:rsidRPr="00B33AC7" w:rsidRDefault="00B33AC7" w:rsidP="00B33AC7">
      <w:pPr>
        <w:pBdr>
          <w:top w:val="single" w:sz="12" w:space="1" w:color="auto"/>
        </w:pBdr>
        <w:spacing w:before="120" w:after="0" w:line="240" w:lineRule="auto"/>
        <w:jc w:val="both"/>
        <w:rPr>
          <w:rFonts w:cs="Arial"/>
          <w:i/>
          <w:color w:val="244061"/>
          <w:sz w:val="16"/>
          <w:szCs w:val="19"/>
          <w:lang w:eastAsia="hr-HR"/>
        </w:rPr>
      </w:pPr>
      <w:r w:rsidRPr="00B33AC7">
        <w:rPr>
          <w:rFonts w:eastAsia="Times New Roman" w:cs="Arial"/>
          <w:i/>
          <w:color w:val="17365D"/>
          <w:sz w:val="16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9" w:history="1">
        <w:r w:rsidRPr="00B33AC7">
          <w:rPr>
            <w:rStyle w:val="Hiperveza"/>
            <w:rFonts w:eastAsia="Times New Roman" w:cs="Arial"/>
            <w:i/>
            <w:sz w:val="16"/>
            <w:szCs w:val="19"/>
            <w:lang w:eastAsia="hr-HR"/>
          </w:rPr>
          <w:t>standardnim analizama</w:t>
        </w:r>
      </w:hyperlink>
      <w:r w:rsidRPr="00B33AC7">
        <w:rPr>
          <w:rFonts w:eastAsia="Times New Roman" w:cs="Arial"/>
          <w:i/>
          <w:color w:val="17365D"/>
          <w:sz w:val="16"/>
          <w:szCs w:val="19"/>
          <w:lang w:eastAsia="hr-HR"/>
        </w:rPr>
        <w:t xml:space="preserve"> rezultata poslovanja poduzetnika RH, po županijama i po gradovima i općinama u 2018. godini. Kontakt adresa </w:t>
      </w:r>
      <w:hyperlink r:id="rId10" w:history="1">
        <w:r w:rsidRPr="00B33AC7">
          <w:rPr>
            <w:rStyle w:val="Hiperveza"/>
            <w:rFonts w:eastAsia="Times New Roman" w:cs="Arial"/>
            <w:i/>
            <w:sz w:val="16"/>
            <w:szCs w:val="19"/>
            <w:lang w:eastAsia="hr-HR"/>
          </w:rPr>
          <w:t>analize@</w:t>
        </w:r>
        <w:proofErr w:type="spellStart"/>
        <w:r w:rsidRPr="00B33AC7">
          <w:rPr>
            <w:rStyle w:val="Hiperveza"/>
            <w:rFonts w:eastAsia="Times New Roman" w:cs="Arial"/>
            <w:i/>
            <w:sz w:val="16"/>
            <w:szCs w:val="19"/>
            <w:lang w:eastAsia="hr-HR"/>
          </w:rPr>
          <w:t>fina.hr</w:t>
        </w:r>
        <w:proofErr w:type="spellEnd"/>
      </w:hyperlink>
      <w:r w:rsidRPr="00B33AC7">
        <w:rPr>
          <w:rFonts w:eastAsia="Times New Roman" w:cs="Arial"/>
          <w:i/>
          <w:color w:val="17365D"/>
          <w:sz w:val="16"/>
          <w:szCs w:val="19"/>
          <w:lang w:eastAsia="hr-HR"/>
        </w:rPr>
        <w:t xml:space="preserve"> </w:t>
      </w:r>
    </w:p>
    <w:p w:rsidR="00B33AC7" w:rsidRPr="00B33AC7" w:rsidRDefault="00B33AC7" w:rsidP="005543C1">
      <w:pPr>
        <w:pBdr>
          <w:top w:val="single" w:sz="12" w:space="1" w:color="auto"/>
        </w:pBdr>
        <w:spacing w:before="60" w:after="0" w:line="240" w:lineRule="auto"/>
        <w:jc w:val="both"/>
        <w:rPr>
          <w:rFonts w:cs="Arial"/>
          <w:i/>
          <w:color w:val="244061"/>
          <w:sz w:val="16"/>
          <w:szCs w:val="19"/>
          <w:lang w:eastAsia="hr-HR"/>
        </w:rPr>
      </w:pPr>
      <w:r w:rsidRPr="00B33AC7">
        <w:rPr>
          <w:rFonts w:eastAsia="Times New Roman" w:cs="Arial"/>
          <w:i/>
          <w:color w:val="17365D"/>
          <w:sz w:val="16"/>
          <w:szCs w:val="19"/>
          <w:lang w:eastAsia="hr-HR"/>
        </w:rPr>
        <w:t>Pojedinačni podaci o rezultatima poslovanja poduzetnika dostupni su besplatno na</w:t>
      </w:r>
      <w:r w:rsidRPr="00B33AC7">
        <w:rPr>
          <w:rFonts w:cs="Arial"/>
          <w:i/>
          <w:color w:val="17365D"/>
          <w:sz w:val="16"/>
          <w:szCs w:val="19"/>
          <w:lang w:eastAsia="hr-HR"/>
        </w:rPr>
        <w:t xml:space="preserve"> </w:t>
      </w:r>
      <w:hyperlink r:id="rId11" w:history="1">
        <w:r w:rsidRPr="00B33AC7">
          <w:rPr>
            <w:rStyle w:val="Hiperveza"/>
            <w:rFonts w:cs="Arial"/>
            <w:i/>
            <w:sz w:val="16"/>
            <w:szCs w:val="19"/>
            <w:lang w:eastAsia="hr-HR"/>
          </w:rPr>
          <w:t>RGFI – javna objava</w:t>
        </w:r>
      </w:hyperlink>
      <w:r w:rsidRPr="00B33AC7">
        <w:rPr>
          <w:rFonts w:cs="Arial"/>
          <w:i/>
          <w:color w:val="0F243E"/>
          <w:sz w:val="16"/>
          <w:szCs w:val="19"/>
          <w:lang w:eastAsia="hr-HR"/>
        </w:rPr>
        <w:t xml:space="preserve"> </w:t>
      </w:r>
      <w:r w:rsidRPr="00B33AC7">
        <w:rPr>
          <w:rFonts w:eastAsia="Times New Roman" w:cs="Arial"/>
          <w:i/>
          <w:color w:val="17375E"/>
          <w:sz w:val="16"/>
          <w:szCs w:val="19"/>
          <w:lang w:eastAsia="hr-HR"/>
        </w:rPr>
        <w:t>i na</w:t>
      </w:r>
      <w:r w:rsidRPr="00B33AC7">
        <w:rPr>
          <w:rFonts w:cs="Arial"/>
          <w:i/>
          <w:color w:val="0F243E"/>
          <w:sz w:val="16"/>
          <w:szCs w:val="19"/>
          <w:lang w:eastAsia="hr-HR"/>
        </w:rPr>
        <w:t xml:space="preserve"> </w:t>
      </w:r>
      <w:hyperlink r:id="rId12" w:history="1">
        <w:r w:rsidRPr="00B33AC7">
          <w:rPr>
            <w:rStyle w:val="Hiperveza"/>
            <w:rFonts w:cs="Arial"/>
            <w:i/>
            <w:sz w:val="16"/>
            <w:szCs w:val="19"/>
            <w:lang w:eastAsia="hr-HR"/>
          </w:rPr>
          <w:t>Transparentno.hr</w:t>
        </w:r>
      </w:hyperlink>
      <w:r w:rsidRPr="00B33AC7">
        <w:rPr>
          <w:rFonts w:cs="Arial"/>
          <w:i/>
          <w:color w:val="0000FF"/>
          <w:sz w:val="16"/>
          <w:szCs w:val="19"/>
          <w:u w:val="single"/>
          <w:lang w:eastAsia="hr-HR"/>
        </w:rPr>
        <w:t>,</w:t>
      </w:r>
      <w:r w:rsidRPr="00B33AC7">
        <w:rPr>
          <w:rFonts w:cs="Arial"/>
          <w:i/>
          <w:color w:val="0000FF"/>
          <w:sz w:val="16"/>
          <w:szCs w:val="19"/>
          <w:lang w:eastAsia="hr-HR"/>
        </w:rPr>
        <w:t xml:space="preserve"> </w:t>
      </w:r>
      <w:r w:rsidRPr="00B33AC7">
        <w:rPr>
          <w:rFonts w:cs="Arial"/>
          <w:i/>
          <w:color w:val="244061"/>
          <w:sz w:val="16"/>
          <w:szCs w:val="19"/>
          <w:lang w:eastAsia="hr-HR"/>
        </w:rPr>
        <w:t xml:space="preserve">a agregirani i pojedinačni podaci dostupni su uz naknadu na servisu </w:t>
      </w:r>
      <w:hyperlink r:id="rId13" w:history="1">
        <w:r w:rsidRPr="00B33AC7">
          <w:rPr>
            <w:rStyle w:val="Hiperveza"/>
            <w:rFonts w:cs="Arial"/>
            <w:i/>
            <w:sz w:val="16"/>
            <w:szCs w:val="19"/>
            <w:lang w:eastAsia="hr-HR"/>
          </w:rPr>
          <w:t>info.BIZ</w:t>
        </w:r>
      </w:hyperlink>
      <w:r w:rsidRPr="00B33AC7">
        <w:rPr>
          <w:rFonts w:cs="Arial"/>
          <w:i/>
          <w:color w:val="0000FF"/>
          <w:sz w:val="16"/>
          <w:szCs w:val="19"/>
          <w:lang w:eastAsia="hr-HR"/>
        </w:rPr>
        <w:t xml:space="preserve"> </w:t>
      </w:r>
      <w:r w:rsidRPr="00B33AC7">
        <w:rPr>
          <w:rFonts w:cs="Arial"/>
          <w:i/>
          <w:color w:val="244061"/>
          <w:sz w:val="16"/>
          <w:szCs w:val="19"/>
          <w:lang w:eastAsia="hr-HR"/>
        </w:rPr>
        <w:t>Kontakt adresa</w:t>
      </w:r>
      <w:r w:rsidRPr="00B33AC7">
        <w:rPr>
          <w:rFonts w:cs="Arial"/>
          <w:i/>
          <w:color w:val="0000FF"/>
          <w:sz w:val="16"/>
          <w:szCs w:val="19"/>
          <w:u w:val="single"/>
          <w:lang w:eastAsia="hr-HR"/>
        </w:rPr>
        <w:t xml:space="preserve"> </w:t>
      </w:r>
      <w:hyperlink r:id="rId14" w:history="1">
        <w:proofErr w:type="spellStart"/>
        <w:r w:rsidRPr="00B33AC7">
          <w:rPr>
            <w:rStyle w:val="Hiperveza"/>
            <w:rFonts w:cs="Arial"/>
            <w:i/>
            <w:sz w:val="16"/>
            <w:szCs w:val="19"/>
            <w:lang w:eastAsia="hr-HR"/>
          </w:rPr>
          <w:t>info</w:t>
        </w:r>
        <w:proofErr w:type="spellEnd"/>
        <w:r w:rsidRPr="00B33AC7">
          <w:rPr>
            <w:rStyle w:val="Hiperveza"/>
            <w:rFonts w:cs="Arial"/>
            <w:i/>
            <w:sz w:val="16"/>
            <w:szCs w:val="19"/>
            <w:lang w:eastAsia="hr-HR"/>
          </w:rPr>
          <w:t>@</w:t>
        </w:r>
        <w:proofErr w:type="spellStart"/>
        <w:r w:rsidRPr="00B33AC7">
          <w:rPr>
            <w:rStyle w:val="Hiperveza"/>
            <w:rFonts w:cs="Arial"/>
            <w:i/>
            <w:sz w:val="16"/>
            <w:szCs w:val="19"/>
            <w:lang w:eastAsia="hr-HR"/>
          </w:rPr>
          <w:t>fina.hr</w:t>
        </w:r>
        <w:proofErr w:type="spellEnd"/>
      </w:hyperlink>
      <w:r w:rsidRPr="00B33AC7">
        <w:rPr>
          <w:rFonts w:cs="Arial"/>
          <w:i/>
          <w:color w:val="0000FF"/>
          <w:sz w:val="16"/>
          <w:szCs w:val="19"/>
          <w:u w:val="single"/>
          <w:lang w:eastAsia="hr-HR"/>
        </w:rPr>
        <w:t xml:space="preserve">  </w:t>
      </w:r>
    </w:p>
    <w:p w:rsidR="00ED798B" w:rsidRPr="00B33AC7" w:rsidRDefault="00B33AC7" w:rsidP="005543C1">
      <w:pPr>
        <w:pBdr>
          <w:top w:val="single" w:sz="12" w:space="1" w:color="auto"/>
        </w:pBd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14"/>
          <w:szCs w:val="17"/>
        </w:rPr>
      </w:pPr>
      <w:r w:rsidRPr="00B33AC7">
        <w:rPr>
          <w:rFonts w:cs="Arial"/>
          <w:bCs/>
          <w:i/>
          <w:color w:val="17365D"/>
          <w:sz w:val="16"/>
          <w:szCs w:val="19"/>
        </w:rPr>
        <w:t xml:space="preserve">Informacija o tome je li poslovni subjekt u blokadi ili ne, dostupna je korištenjem usluge </w:t>
      </w:r>
      <w:hyperlink r:id="rId15" w:history="1">
        <w:r w:rsidRPr="00B33AC7">
          <w:rPr>
            <w:rStyle w:val="Hiperveza"/>
            <w:rFonts w:cs="Arial"/>
            <w:bCs/>
            <w:i/>
            <w:sz w:val="16"/>
            <w:szCs w:val="19"/>
          </w:rPr>
          <w:t>FINA InfoBlokade</w:t>
        </w:r>
      </w:hyperlink>
      <w:r w:rsidRPr="00B33AC7">
        <w:rPr>
          <w:rFonts w:cs="Arial"/>
          <w:bCs/>
          <w:i/>
          <w:color w:val="17365D"/>
          <w:sz w:val="16"/>
          <w:szCs w:val="19"/>
        </w:rPr>
        <w:t xml:space="preserve"> slanjem SMS poruke na broj </w:t>
      </w:r>
      <w:proofErr w:type="spellStart"/>
      <w:r w:rsidRPr="00B33AC7">
        <w:rPr>
          <w:rFonts w:cs="Arial"/>
          <w:bCs/>
          <w:i/>
          <w:color w:val="17365D"/>
          <w:sz w:val="16"/>
          <w:szCs w:val="19"/>
        </w:rPr>
        <w:t>818058</w:t>
      </w:r>
      <w:proofErr w:type="spellEnd"/>
      <w:r w:rsidRPr="00B33AC7">
        <w:rPr>
          <w:rFonts w:cs="Arial"/>
          <w:bCs/>
          <w:i/>
          <w:color w:val="17365D"/>
          <w:sz w:val="16"/>
          <w:szCs w:val="19"/>
        </w:rPr>
        <w:t xml:space="preserve">, te korištenjem </w:t>
      </w:r>
      <w:hyperlink r:id="rId16" w:history="1">
        <w:r w:rsidRPr="00B33AC7">
          <w:rPr>
            <w:rStyle w:val="Hiperveza"/>
            <w:rFonts w:cs="Arial"/>
            <w:bCs/>
            <w:i/>
            <w:sz w:val="16"/>
            <w:szCs w:val="19"/>
          </w:rPr>
          <w:t>WEB aplikacije JRR</w:t>
        </w:r>
      </w:hyperlink>
      <w:r w:rsidRPr="00B33AC7">
        <w:rPr>
          <w:rFonts w:cs="Arial"/>
          <w:bCs/>
          <w:i/>
          <w:color w:val="17365D"/>
          <w:sz w:val="16"/>
          <w:szCs w:val="19"/>
        </w:rPr>
        <w:t xml:space="preserve"> tj. uvidom u podatke o računima i statusu blokade poslovnih subjekata, koji se ažuriraju u </w:t>
      </w:r>
      <w:hyperlink r:id="rId17" w:history="1">
        <w:r w:rsidRPr="00B33AC7">
          <w:rPr>
            <w:rStyle w:val="Hiperveza"/>
            <w:rFonts w:cs="Arial"/>
            <w:bCs/>
            <w:i/>
            <w:sz w:val="16"/>
            <w:szCs w:val="19"/>
          </w:rPr>
          <w:t>Jedinstvenom registru računa</w:t>
        </w:r>
      </w:hyperlink>
      <w:r w:rsidRPr="00B33AC7">
        <w:rPr>
          <w:rFonts w:cs="Arial"/>
          <w:bCs/>
          <w:i/>
          <w:color w:val="17365D"/>
          <w:sz w:val="16"/>
          <w:szCs w:val="19"/>
        </w:rPr>
        <w:t xml:space="preserve"> kojega u skladu sa zakonskim propisima, od 2002. godine, vodi Financijska agencija. Kontakt adresa </w:t>
      </w:r>
      <w:hyperlink r:id="rId18" w:history="1">
        <w:proofErr w:type="spellStart"/>
        <w:r w:rsidRPr="00B33AC7">
          <w:rPr>
            <w:rStyle w:val="Hiperveza"/>
            <w:rFonts w:cs="Arial"/>
            <w:bCs/>
            <w:i/>
            <w:sz w:val="16"/>
            <w:szCs w:val="19"/>
          </w:rPr>
          <w:t>jrr</w:t>
        </w:r>
        <w:proofErr w:type="spellEnd"/>
        <w:r w:rsidRPr="00B33AC7">
          <w:rPr>
            <w:rStyle w:val="Hiperveza"/>
            <w:rFonts w:cs="Arial"/>
            <w:bCs/>
            <w:i/>
            <w:sz w:val="16"/>
            <w:szCs w:val="19"/>
          </w:rPr>
          <w:t>@</w:t>
        </w:r>
        <w:proofErr w:type="spellStart"/>
        <w:r w:rsidRPr="00B33AC7">
          <w:rPr>
            <w:rStyle w:val="Hiperveza"/>
            <w:rFonts w:cs="Arial"/>
            <w:bCs/>
            <w:i/>
            <w:sz w:val="16"/>
            <w:szCs w:val="19"/>
          </w:rPr>
          <w:t>fina.hr</w:t>
        </w:r>
        <w:proofErr w:type="spellEnd"/>
      </w:hyperlink>
    </w:p>
    <w:sectPr w:rsidR="00ED798B" w:rsidRPr="00B33AC7" w:rsidSect="00D92C21">
      <w:headerReference w:type="default" r:id="rId19"/>
      <w:footerReference w:type="default" r:id="rId20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4E" w:rsidRDefault="00F0654E" w:rsidP="009866FC">
      <w:pPr>
        <w:spacing w:after="0" w:line="240" w:lineRule="auto"/>
      </w:pPr>
      <w:r>
        <w:separator/>
      </w:r>
    </w:p>
  </w:endnote>
  <w:endnote w:type="continuationSeparator" w:id="0">
    <w:p w:rsidR="00F0654E" w:rsidRDefault="00F0654E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390A72" w:rsidRPr="009B4CEE" w:rsidRDefault="00390A72" w:rsidP="008F2361">
        <w:pPr>
          <w:pStyle w:val="Podnoje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4D5CCA">
          <w:rPr>
            <w:rFonts w:ascii="Arial" w:hAnsi="Arial" w:cs="Arial"/>
            <w:noProof/>
            <w:sz w:val="18"/>
            <w:szCs w:val="18"/>
          </w:rPr>
          <w:t>2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4E" w:rsidRDefault="00F0654E" w:rsidP="009866FC">
      <w:pPr>
        <w:spacing w:after="0" w:line="240" w:lineRule="auto"/>
      </w:pPr>
      <w:r>
        <w:separator/>
      </w:r>
    </w:p>
  </w:footnote>
  <w:footnote w:type="continuationSeparator" w:id="0">
    <w:p w:rsidR="00F0654E" w:rsidRDefault="00F0654E" w:rsidP="009866FC">
      <w:pPr>
        <w:spacing w:after="0" w:line="240" w:lineRule="auto"/>
      </w:pPr>
      <w:r>
        <w:continuationSeparator/>
      </w:r>
    </w:p>
  </w:footnote>
  <w:footnote w:id="1">
    <w:p w:rsidR="00DD590D" w:rsidRPr="00195A7F" w:rsidRDefault="00DD590D" w:rsidP="00195A7F">
      <w:pPr>
        <w:pStyle w:val="Tekstfusnote"/>
        <w:spacing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NKD 2002 Područje djelatnosti H - Hoteli i restorani s promjenom nacionalne kvalifikacije djelatnosti definira se u (NKD 2007) područje djelatnosti I - Djelatnost pružanja smještaja te pripreme i usluživanja hrane. NKD 2007 stupa na snagu 1. siječnja 2008. godine (NN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58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/2007).</w:t>
      </w:r>
    </w:p>
  </w:footnote>
  <w:footnote w:id="2">
    <w:p w:rsidR="00390A72" w:rsidRPr="00195A7F" w:rsidRDefault="00390A72" w:rsidP="00195A7F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Pozicija iz GFI-a (iz obrazaca do 2016.) - "Investicije u novu dugotrajnu imovinu" istovjetna je poziciji "Bruto investicije samo u novu dugotrajnu imovinu" u obrascima GFI-a 2016. - 2019.</w:t>
      </w:r>
    </w:p>
  </w:footnote>
  <w:footnote w:id="3">
    <w:p w:rsidR="00390A72" w:rsidRPr="00195A7F" w:rsidRDefault="00390A72" w:rsidP="00195A7F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U dokumentu u Excel-u dan je pregled top 20 poduzetnika po broju zaposlenih, 2003., 200</w:t>
      </w:r>
      <w:r w:rsidR="00BC10FF" w:rsidRPr="00195A7F">
        <w:rPr>
          <w:rFonts w:ascii="Arial" w:hAnsi="Arial" w:cs="Arial"/>
          <w:color w:val="244061" w:themeColor="accent1" w:themeShade="80"/>
          <w:sz w:val="16"/>
          <w:szCs w:val="16"/>
        </w:rPr>
        <w:t>8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., 201</w:t>
      </w:r>
      <w:r w:rsidR="00BC10FF" w:rsidRPr="00195A7F">
        <w:rPr>
          <w:rFonts w:ascii="Arial" w:hAnsi="Arial" w:cs="Arial"/>
          <w:color w:val="244061" w:themeColor="accent1" w:themeShade="80"/>
          <w:sz w:val="16"/>
          <w:szCs w:val="16"/>
        </w:rPr>
        <w:t>3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. i 201</w:t>
      </w:r>
      <w:r w:rsidR="00BC10FF" w:rsidRPr="00195A7F">
        <w:rPr>
          <w:rFonts w:ascii="Arial" w:hAnsi="Arial" w:cs="Arial"/>
          <w:color w:val="244061" w:themeColor="accent1" w:themeShade="80"/>
          <w:sz w:val="16"/>
          <w:szCs w:val="16"/>
        </w:rPr>
        <w:t>9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4">
    <w:p w:rsidR="00686E94" w:rsidRPr="00195A7F" w:rsidRDefault="00686E94" w:rsidP="00686E94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U dokumentu u Excel-u dan je pregled top 10 poduzetnika prema ukupnom prihodu, 2003., 2008., 2013. i 2019. godine.</w:t>
      </w:r>
    </w:p>
  </w:footnote>
  <w:footnote w:id="5">
    <w:p w:rsidR="00082C74" w:rsidRPr="00195A7F" w:rsidRDefault="00082C74" w:rsidP="00195A7F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30. rujna 2014. promijenilo naziv iz RIVIERA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ADRIA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d.d. u Valamar Riviera d.d.</w:t>
      </w:r>
      <w:r w:rsidR="001D3D84">
        <w:rPr>
          <w:rFonts w:ascii="Arial" w:hAnsi="Arial" w:cs="Arial"/>
          <w:color w:val="244061" w:themeColor="accent1" w:themeShade="80"/>
          <w:sz w:val="16"/>
          <w:szCs w:val="16"/>
        </w:rPr>
        <w:t xml:space="preserve"> Prije toga društvo je poslovalo pod nazivom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1D3D84" w:rsidRPr="001D3D84">
        <w:rPr>
          <w:rFonts w:ascii="Arial" w:hAnsi="Arial" w:cs="Arial"/>
          <w:color w:val="244061" w:themeColor="accent1" w:themeShade="80"/>
          <w:sz w:val="16"/>
          <w:szCs w:val="16"/>
        </w:rPr>
        <w:t>RIVIERA HOLIDNG</w:t>
      </w:r>
      <w:r w:rsidR="001D3D84">
        <w:rPr>
          <w:rFonts w:ascii="Arial" w:hAnsi="Arial" w:cs="Arial"/>
          <w:color w:val="244061" w:themeColor="accent1" w:themeShade="80"/>
          <w:sz w:val="16"/>
          <w:szCs w:val="16"/>
        </w:rPr>
        <w:t xml:space="preserve"> d.d., a još prije, pod nazivom </w:t>
      </w:r>
      <w:r w:rsidR="001D3D84" w:rsidRPr="001D3D84">
        <w:rPr>
          <w:rFonts w:ascii="Arial" w:hAnsi="Arial" w:cs="Arial"/>
          <w:color w:val="244061" w:themeColor="accent1" w:themeShade="80"/>
          <w:sz w:val="16"/>
          <w:szCs w:val="16"/>
        </w:rPr>
        <w:t xml:space="preserve">RIVIERA </w:t>
      </w:r>
      <w:r w:rsidR="001D3D84">
        <w:rPr>
          <w:rFonts w:ascii="Arial" w:hAnsi="Arial" w:cs="Arial"/>
          <w:color w:val="244061" w:themeColor="accent1" w:themeShade="80"/>
          <w:sz w:val="16"/>
          <w:szCs w:val="16"/>
        </w:rPr>
        <w:t>POREČ d.d. I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zvor: Sudski registar, www.sudreg.pravosudje.hr, preuzeto 10. rujna 2020. godine.</w:t>
      </w:r>
    </w:p>
  </w:footnote>
  <w:footnote w:id="6">
    <w:p w:rsidR="00082C74" w:rsidRPr="00195A7F" w:rsidRDefault="00082C74" w:rsidP="00195A7F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27. ožujka 2017. promijenilo naziv iz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ARENATURIST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d.d. u ARENA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HOSPITALITY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GROUP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d.d.. Izvor: Sudski registar, www.sudreg.pravosudje.hr, preuzeto 10. rujna 2020. godine.</w:t>
      </w:r>
    </w:p>
  </w:footnote>
  <w:footnote w:id="7">
    <w:p w:rsidR="00082C74" w:rsidRPr="00195A7F" w:rsidRDefault="00082C74" w:rsidP="00195A7F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95A7F">
        <w:rPr>
          <w:rStyle w:val="Referencafusnote"/>
          <w:rFonts w:ascii="Arial" w:hAnsi="Arial" w:cs="Arial"/>
          <w:sz w:val="16"/>
          <w:szCs w:val="16"/>
        </w:rPr>
        <w:footnoteRef/>
      </w:r>
      <w:r w:rsidRPr="00195A7F">
        <w:rPr>
          <w:rFonts w:ascii="Arial" w:hAnsi="Arial" w:cs="Arial"/>
          <w:sz w:val="16"/>
          <w:szCs w:val="16"/>
        </w:rPr>
        <w:t xml:space="preserve"> </w:t>
      </w:r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Trgovački sud u Splitu rješenjem broj St-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168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/2014 od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8.svibnja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2015. godine otvara stečajni postupak nad dužnikom </w:t>
      </w:r>
      <w:proofErr w:type="spellStart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>ADRIATIC</w:t>
      </w:r>
      <w:proofErr w:type="spellEnd"/>
      <w:r w:rsidRPr="00195A7F">
        <w:rPr>
          <w:rFonts w:ascii="Arial" w:hAnsi="Arial" w:cs="Arial"/>
          <w:color w:val="244061" w:themeColor="accent1" w:themeShade="80"/>
          <w:sz w:val="16"/>
          <w:szCs w:val="16"/>
        </w:rPr>
        <w:t xml:space="preserve"> dioničko društvo za hotelijerstvo i turizam. Izvor: Sudski registar, www.sudreg.pravosudje.hr, preuzeto 10. rujna 2020.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72" w:rsidRDefault="00390A72" w:rsidP="00D92C21">
    <w:pPr>
      <w:pStyle w:val="Zaglavlje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263F592" wp14:editId="2FD0BE6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2A36"/>
    <w:rsid w:val="0000429C"/>
    <w:rsid w:val="00004F73"/>
    <w:rsid w:val="000060BF"/>
    <w:rsid w:val="00006DDD"/>
    <w:rsid w:val="000127CD"/>
    <w:rsid w:val="00014340"/>
    <w:rsid w:val="000145A9"/>
    <w:rsid w:val="00014932"/>
    <w:rsid w:val="00017368"/>
    <w:rsid w:val="00017372"/>
    <w:rsid w:val="0002021D"/>
    <w:rsid w:val="00021D0D"/>
    <w:rsid w:val="00031CB2"/>
    <w:rsid w:val="00031ED3"/>
    <w:rsid w:val="0003249F"/>
    <w:rsid w:val="00034CC0"/>
    <w:rsid w:val="00037D91"/>
    <w:rsid w:val="000503FA"/>
    <w:rsid w:val="00051A03"/>
    <w:rsid w:val="00051C0B"/>
    <w:rsid w:val="00054D18"/>
    <w:rsid w:val="000574B7"/>
    <w:rsid w:val="00060E23"/>
    <w:rsid w:val="00066D0E"/>
    <w:rsid w:val="0007725D"/>
    <w:rsid w:val="00080783"/>
    <w:rsid w:val="00082C74"/>
    <w:rsid w:val="00083370"/>
    <w:rsid w:val="0008671E"/>
    <w:rsid w:val="00087711"/>
    <w:rsid w:val="0009136A"/>
    <w:rsid w:val="00091ADF"/>
    <w:rsid w:val="00094E2A"/>
    <w:rsid w:val="00096C4B"/>
    <w:rsid w:val="000A0930"/>
    <w:rsid w:val="000A0EB6"/>
    <w:rsid w:val="000A571F"/>
    <w:rsid w:val="000B1F29"/>
    <w:rsid w:val="000B28AF"/>
    <w:rsid w:val="000B2912"/>
    <w:rsid w:val="000B576F"/>
    <w:rsid w:val="000B7EF1"/>
    <w:rsid w:val="000C11CB"/>
    <w:rsid w:val="000C1290"/>
    <w:rsid w:val="000C2F82"/>
    <w:rsid w:val="000C41A9"/>
    <w:rsid w:val="000C79E0"/>
    <w:rsid w:val="000D137D"/>
    <w:rsid w:val="000D35AE"/>
    <w:rsid w:val="000E0AB8"/>
    <w:rsid w:val="000E19F7"/>
    <w:rsid w:val="000E208A"/>
    <w:rsid w:val="000E4746"/>
    <w:rsid w:val="000E5CE5"/>
    <w:rsid w:val="000E6BE9"/>
    <w:rsid w:val="000E7078"/>
    <w:rsid w:val="000E77AE"/>
    <w:rsid w:val="000E781C"/>
    <w:rsid w:val="000E7849"/>
    <w:rsid w:val="000F5732"/>
    <w:rsid w:val="000F7CB5"/>
    <w:rsid w:val="00105F1A"/>
    <w:rsid w:val="00106BAC"/>
    <w:rsid w:val="00107B7C"/>
    <w:rsid w:val="0011141E"/>
    <w:rsid w:val="00114CAD"/>
    <w:rsid w:val="00117F03"/>
    <w:rsid w:val="00122732"/>
    <w:rsid w:val="00122AD5"/>
    <w:rsid w:val="001244E3"/>
    <w:rsid w:val="00126E82"/>
    <w:rsid w:val="00134A83"/>
    <w:rsid w:val="001420A0"/>
    <w:rsid w:val="00146AD3"/>
    <w:rsid w:val="00147213"/>
    <w:rsid w:val="00154651"/>
    <w:rsid w:val="001552CB"/>
    <w:rsid w:val="00163DD8"/>
    <w:rsid w:val="001679A6"/>
    <w:rsid w:val="00171A08"/>
    <w:rsid w:val="00171A29"/>
    <w:rsid w:val="00172642"/>
    <w:rsid w:val="001726FD"/>
    <w:rsid w:val="00181BC2"/>
    <w:rsid w:val="00183AF6"/>
    <w:rsid w:val="00183B82"/>
    <w:rsid w:val="001855DA"/>
    <w:rsid w:val="00185E8E"/>
    <w:rsid w:val="00185F0A"/>
    <w:rsid w:val="00186654"/>
    <w:rsid w:val="00186DC8"/>
    <w:rsid w:val="00195A7F"/>
    <w:rsid w:val="00196324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D3D84"/>
    <w:rsid w:val="001E1320"/>
    <w:rsid w:val="001E4513"/>
    <w:rsid w:val="001E6972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BD8"/>
    <w:rsid w:val="00216DC2"/>
    <w:rsid w:val="00220D0B"/>
    <w:rsid w:val="00227237"/>
    <w:rsid w:val="002309D4"/>
    <w:rsid w:val="0023369D"/>
    <w:rsid w:val="00244A8E"/>
    <w:rsid w:val="002502B5"/>
    <w:rsid w:val="0025073D"/>
    <w:rsid w:val="00250840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756A2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9AF"/>
    <w:rsid w:val="002A7E5B"/>
    <w:rsid w:val="002B13EE"/>
    <w:rsid w:val="002B3A54"/>
    <w:rsid w:val="002C210F"/>
    <w:rsid w:val="002C27D1"/>
    <w:rsid w:val="002C4445"/>
    <w:rsid w:val="002C4B61"/>
    <w:rsid w:val="002D0976"/>
    <w:rsid w:val="002D1F74"/>
    <w:rsid w:val="002D3471"/>
    <w:rsid w:val="002D3E68"/>
    <w:rsid w:val="002D5166"/>
    <w:rsid w:val="002D5A32"/>
    <w:rsid w:val="002D7153"/>
    <w:rsid w:val="002E1EB9"/>
    <w:rsid w:val="002E47A8"/>
    <w:rsid w:val="002E7103"/>
    <w:rsid w:val="002F0F36"/>
    <w:rsid w:val="002F24B6"/>
    <w:rsid w:val="002F5EE1"/>
    <w:rsid w:val="002F68CF"/>
    <w:rsid w:val="00300995"/>
    <w:rsid w:val="00302D04"/>
    <w:rsid w:val="003052B8"/>
    <w:rsid w:val="00310B63"/>
    <w:rsid w:val="00323FE2"/>
    <w:rsid w:val="00327A1C"/>
    <w:rsid w:val="003315AC"/>
    <w:rsid w:val="003319C6"/>
    <w:rsid w:val="00333069"/>
    <w:rsid w:val="00335807"/>
    <w:rsid w:val="00335992"/>
    <w:rsid w:val="003430ED"/>
    <w:rsid w:val="00345DFE"/>
    <w:rsid w:val="0034626A"/>
    <w:rsid w:val="003478AC"/>
    <w:rsid w:val="003518F9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0A72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5BB8"/>
    <w:rsid w:val="003D0EC8"/>
    <w:rsid w:val="003E0755"/>
    <w:rsid w:val="003E2188"/>
    <w:rsid w:val="003E3D95"/>
    <w:rsid w:val="003E5322"/>
    <w:rsid w:val="003E7213"/>
    <w:rsid w:val="003F2EBE"/>
    <w:rsid w:val="003F347E"/>
    <w:rsid w:val="003F3919"/>
    <w:rsid w:val="004001EF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2AC1"/>
    <w:rsid w:val="00433507"/>
    <w:rsid w:val="00437847"/>
    <w:rsid w:val="004405EC"/>
    <w:rsid w:val="00452A08"/>
    <w:rsid w:val="004575EE"/>
    <w:rsid w:val="00457A73"/>
    <w:rsid w:val="00464118"/>
    <w:rsid w:val="00471663"/>
    <w:rsid w:val="00474BD0"/>
    <w:rsid w:val="00476140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3659"/>
    <w:rsid w:val="004A43F8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4BB8"/>
    <w:rsid w:val="004D4E1D"/>
    <w:rsid w:val="004D5A8B"/>
    <w:rsid w:val="004D5CCA"/>
    <w:rsid w:val="004E53EF"/>
    <w:rsid w:val="004E682E"/>
    <w:rsid w:val="004F09CF"/>
    <w:rsid w:val="004F2B34"/>
    <w:rsid w:val="004F7A04"/>
    <w:rsid w:val="00500CFE"/>
    <w:rsid w:val="005013AE"/>
    <w:rsid w:val="005013CE"/>
    <w:rsid w:val="005143FF"/>
    <w:rsid w:val="005164B7"/>
    <w:rsid w:val="00520229"/>
    <w:rsid w:val="00521C33"/>
    <w:rsid w:val="005223B8"/>
    <w:rsid w:val="00522A4E"/>
    <w:rsid w:val="0052751B"/>
    <w:rsid w:val="0053652A"/>
    <w:rsid w:val="00536585"/>
    <w:rsid w:val="00541708"/>
    <w:rsid w:val="00543DC3"/>
    <w:rsid w:val="005543C1"/>
    <w:rsid w:val="00554EAD"/>
    <w:rsid w:val="00556D45"/>
    <w:rsid w:val="00557C95"/>
    <w:rsid w:val="005619C7"/>
    <w:rsid w:val="00562AED"/>
    <w:rsid w:val="00572FE4"/>
    <w:rsid w:val="00573C14"/>
    <w:rsid w:val="00576151"/>
    <w:rsid w:val="005762B7"/>
    <w:rsid w:val="00584FF2"/>
    <w:rsid w:val="00586ABF"/>
    <w:rsid w:val="00592236"/>
    <w:rsid w:val="00595C7E"/>
    <w:rsid w:val="00596702"/>
    <w:rsid w:val="005A1C8B"/>
    <w:rsid w:val="005A3267"/>
    <w:rsid w:val="005A5F79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330A"/>
    <w:rsid w:val="005E5E7C"/>
    <w:rsid w:val="005F0E66"/>
    <w:rsid w:val="005F10AF"/>
    <w:rsid w:val="005F4B87"/>
    <w:rsid w:val="005F7431"/>
    <w:rsid w:val="005F76E1"/>
    <w:rsid w:val="00602EA1"/>
    <w:rsid w:val="006061F7"/>
    <w:rsid w:val="00606662"/>
    <w:rsid w:val="0060798D"/>
    <w:rsid w:val="006206C5"/>
    <w:rsid w:val="006208FC"/>
    <w:rsid w:val="00625B17"/>
    <w:rsid w:val="006415BD"/>
    <w:rsid w:val="00641D90"/>
    <w:rsid w:val="006474A9"/>
    <w:rsid w:val="00651226"/>
    <w:rsid w:val="00653562"/>
    <w:rsid w:val="00656D74"/>
    <w:rsid w:val="00661525"/>
    <w:rsid w:val="00664F36"/>
    <w:rsid w:val="00671DEB"/>
    <w:rsid w:val="00676406"/>
    <w:rsid w:val="0067674F"/>
    <w:rsid w:val="00680EB3"/>
    <w:rsid w:val="00681D1B"/>
    <w:rsid w:val="0068575F"/>
    <w:rsid w:val="00686E94"/>
    <w:rsid w:val="006904D1"/>
    <w:rsid w:val="00692287"/>
    <w:rsid w:val="006A17AA"/>
    <w:rsid w:val="006A5FF9"/>
    <w:rsid w:val="006A6B9E"/>
    <w:rsid w:val="006A77DA"/>
    <w:rsid w:val="006A79CA"/>
    <w:rsid w:val="006B0828"/>
    <w:rsid w:val="006B13AB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E10AF"/>
    <w:rsid w:val="006E2956"/>
    <w:rsid w:val="006E4789"/>
    <w:rsid w:val="006E5CA3"/>
    <w:rsid w:val="006E7762"/>
    <w:rsid w:val="006F05C9"/>
    <w:rsid w:val="006F12D5"/>
    <w:rsid w:val="006F1C3C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7575"/>
    <w:rsid w:val="00743222"/>
    <w:rsid w:val="00745F40"/>
    <w:rsid w:val="00745F7C"/>
    <w:rsid w:val="00752A4A"/>
    <w:rsid w:val="00754817"/>
    <w:rsid w:val="007632DD"/>
    <w:rsid w:val="00763914"/>
    <w:rsid w:val="007643C1"/>
    <w:rsid w:val="00764910"/>
    <w:rsid w:val="00766182"/>
    <w:rsid w:val="00771387"/>
    <w:rsid w:val="00776A76"/>
    <w:rsid w:val="00781A28"/>
    <w:rsid w:val="00781C57"/>
    <w:rsid w:val="0078460C"/>
    <w:rsid w:val="00784A4D"/>
    <w:rsid w:val="00784FCC"/>
    <w:rsid w:val="00786673"/>
    <w:rsid w:val="00794D61"/>
    <w:rsid w:val="007951AB"/>
    <w:rsid w:val="0079584D"/>
    <w:rsid w:val="007A58F7"/>
    <w:rsid w:val="007A5F73"/>
    <w:rsid w:val="007B12EB"/>
    <w:rsid w:val="007B5E30"/>
    <w:rsid w:val="007B6D6E"/>
    <w:rsid w:val="007B755E"/>
    <w:rsid w:val="007C4226"/>
    <w:rsid w:val="007C5ADC"/>
    <w:rsid w:val="007D0AC9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42C1"/>
    <w:rsid w:val="008356B4"/>
    <w:rsid w:val="008409D1"/>
    <w:rsid w:val="0084117A"/>
    <w:rsid w:val="00841364"/>
    <w:rsid w:val="008504F8"/>
    <w:rsid w:val="008535CD"/>
    <w:rsid w:val="00856AA8"/>
    <w:rsid w:val="00870449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E3D49"/>
    <w:rsid w:val="008E5EAC"/>
    <w:rsid w:val="008E7AF6"/>
    <w:rsid w:val="008F183D"/>
    <w:rsid w:val="008F2361"/>
    <w:rsid w:val="00900E21"/>
    <w:rsid w:val="009025CC"/>
    <w:rsid w:val="009137F3"/>
    <w:rsid w:val="0091391B"/>
    <w:rsid w:val="00916FDD"/>
    <w:rsid w:val="00917E3F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60C7F"/>
    <w:rsid w:val="00962468"/>
    <w:rsid w:val="009659C9"/>
    <w:rsid w:val="00967539"/>
    <w:rsid w:val="00974DD4"/>
    <w:rsid w:val="00981B31"/>
    <w:rsid w:val="0098278D"/>
    <w:rsid w:val="009866FC"/>
    <w:rsid w:val="009962EC"/>
    <w:rsid w:val="009974B7"/>
    <w:rsid w:val="009A2BDE"/>
    <w:rsid w:val="009A3DDE"/>
    <w:rsid w:val="009A7900"/>
    <w:rsid w:val="009B15EE"/>
    <w:rsid w:val="009B32F2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F69"/>
    <w:rsid w:val="00A06CE6"/>
    <w:rsid w:val="00A12538"/>
    <w:rsid w:val="00A140F1"/>
    <w:rsid w:val="00A1505D"/>
    <w:rsid w:val="00A22E54"/>
    <w:rsid w:val="00A23F49"/>
    <w:rsid w:val="00A248DD"/>
    <w:rsid w:val="00A313B6"/>
    <w:rsid w:val="00A3247D"/>
    <w:rsid w:val="00A35B45"/>
    <w:rsid w:val="00A40AFE"/>
    <w:rsid w:val="00A41B29"/>
    <w:rsid w:val="00A44165"/>
    <w:rsid w:val="00A459EB"/>
    <w:rsid w:val="00A46DF9"/>
    <w:rsid w:val="00A46E3D"/>
    <w:rsid w:val="00A55C36"/>
    <w:rsid w:val="00A56BEA"/>
    <w:rsid w:val="00A5703D"/>
    <w:rsid w:val="00A625EE"/>
    <w:rsid w:val="00A646EF"/>
    <w:rsid w:val="00A65FEF"/>
    <w:rsid w:val="00A72757"/>
    <w:rsid w:val="00A75ACB"/>
    <w:rsid w:val="00A76EC3"/>
    <w:rsid w:val="00A81799"/>
    <w:rsid w:val="00A8702C"/>
    <w:rsid w:val="00A9477C"/>
    <w:rsid w:val="00A96EEB"/>
    <w:rsid w:val="00AA1A72"/>
    <w:rsid w:val="00AA4797"/>
    <w:rsid w:val="00AA6289"/>
    <w:rsid w:val="00AA640E"/>
    <w:rsid w:val="00AA6FC2"/>
    <w:rsid w:val="00AB1863"/>
    <w:rsid w:val="00AC090D"/>
    <w:rsid w:val="00AC0B90"/>
    <w:rsid w:val="00AC0C16"/>
    <w:rsid w:val="00AC4201"/>
    <w:rsid w:val="00AC4340"/>
    <w:rsid w:val="00AC7AA6"/>
    <w:rsid w:val="00AD3627"/>
    <w:rsid w:val="00AD3928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22A26"/>
    <w:rsid w:val="00B22E6F"/>
    <w:rsid w:val="00B23032"/>
    <w:rsid w:val="00B300E2"/>
    <w:rsid w:val="00B33AC7"/>
    <w:rsid w:val="00B3420F"/>
    <w:rsid w:val="00B42B08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1D41"/>
    <w:rsid w:val="00B82F07"/>
    <w:rsid w:val="00B8509B"/>
    <w:rsid w:val="00B867AB"/>
    <w:rsid w:val="00B87CE2"/>
    <w:rsid w:val="00B91F3D"/>
    <w:rsid w:val="00B9531D"/>
    <w:rsid w:val="00B968D5"/>
    <w:rsid w:val="00BA3956"/>
    <w:rsid w:val="00BB5D0C"/>
    <w:rsid w:val="00BB678D"/>
    <w:rsid w:val="00BC10FF"/>
    <w:rsid w:val="00BC2C4D"/>
    <w:rsid w:val="00BC3E07"/>
    <w:rsid w:val="00BD080D"/>
    <w:rsid w:val="00BE170C"/>
    <w:rsid w:val="00BE73A5"/>
    <w:rsid w:val="00BF4E92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399"/>
    <w:rsid w:val="00C51B1E"/>
    <w:rsid w:val="00C52EB7"/>
    <w:rsid w:val="00C64260"/>
    <w:rsid w:val="00C6585C"/>
    <w:rsid w:val="00C66CC0"/>
    <w:rsid w:val="00C72C43"/>
    <w:rsid w:val="00C76469"/>
    <w:rsid w:val="00C83ECB"/>
    <w:rsid w:val="00C84B9B"/>
    <w:rsid w:val="00C84EFC"/>
    <w:rsid w:val="00C93E4D"/>
    <w:rsid w:val="00C94713"/>
    <w:rsid w:val="00C94890"/>
    <w:rsid w:val="00CA769B"/>
    <w:rsid w:val="00CB2159"/>
    <w:rsid w:val="00CC1883"/>
    <w:rsid w:val="00CC1A40"/>
    <w:rsid w:val="00CC2E1E"/>
    <w:rsid w:val="00CC7C68"/>
    <w:rsid w:val="00CD2F5D"/>
    <w:rsid w:val="00CD3D7C"/>
    <w:rsid w:val="00CD6D82"/>
    <w:rsid w:val="00CE0A60"/>
    <w:rsid w:val="00CE3200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5A"/>
    <w:rsid w:val="00D10471"/>
    <w:rsid w:val="00D13FC9"/>
    <w:rsid w:val="00D145F4"/>
    <w:rsid w:val="00D17FA2"/>
    <w:rsid w:val="00D212D5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47A0"/>
    <w:rsid w:val="00D6022B"/>
    <w:rsid w:val="00D63C70"/>
    <w:rsid w:val="00D77184"/>
    <w:rsid w:val="00D837B9"/>
    <w:rsid w:val="00D83B07"/>
    <w:rsid w:val="00D84871"/>
    <w:rsid w:val="00D8505F"/>
    <w:rsid w:val="00D85F5E"/>
    <w:rsid w:val="00D86AC5"/>
    <w:rsid w:val="00D91627"/>
    <w:rsid w:val="00D92C21"/>
    <w:rsid w:val="00D97D82"/>
    <w:rsid w:val="00DA0CDC"/>
    <w:rsid w:val="00DA2E93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90D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6A41"/>
    <w:rsid w:val="00E17F95"/>
    <w:rsid w:val="00E20916"/>
    <w:rsid w:val="00E22307"/>
    <w:rsid w:val="00E378C1"/>
    <w:rsid w:val="00E408FF"/>
    <w:rsid w:val="00E426D4"/>
    <w:rsid w:val="00E47711"/>
    <w:rsid w:val="00E53E2F"/>
    <w:rsid w:val="00E54892"/>
    <w:rsid w:val="00E54AF3"/>
    <w:rsid w:val="00E577B0"/>
    <w:rsid w:val="00E5785B"/>
    <w:rsid w:val="00E70007"/>
    <w:rsid w:val="00E70CD7"/>
    <w:rsid w:val="00E7276F"/>
    <w:rsid w:val="00E752E6"/>
    <w:rsid w:val="00E75D5A"/>
    <w:rsid w:val="00E85F47"/>
    <w:rsid w:val="00E87F6F"/>
    <w:rsid w:val="00E90CBF"/>
    <w:rsid w:val="00E94E67"/>
    <w:rsid w:val="00EA1101"/>
    <w:rsid w:val="00EA4333"/>
    <w:rsid w:val="00EA4ABA"/>
    <w:rsid w:val="00EB01F8"/>
    <w:rsid w:val="00EB6123"/>
    <w:rsid w:val="00EB756F"/>
    <w:rsid w:val="00EC36BD"/>
    <w:rsid w:val="00EC690F"/>
    <w:rsid w:val="00ED0BDE"/>
    <w:rsid w:val="00ED2678"/>
    <w:rsid w:val="00ED798B"/>
    <w:rsid w:val="00ED7ECF"/>
    <w:rsid w:val="00EE4331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654E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327"/>
    <w:rsid w:val="00F27E7E"/>
    <w:rsid w:val="00F30B6B"/>
    <w:rsid w:val="00F314D5"/>
    <w:rsid w:val="00F32F85"/>
    <w:rsid w:val="00F36212"/>
    <w:rsid w:val="00F370C4"/>
    <w:rsid w:val="00F409D0"/>
    <w:rsid w:val="00F40D73"/>
    <w:rsid w:val="00F40FBA"/>
    <w:rsid w:val="00F41FD4"/>
    <w:rsid w:val="00F42FAA"/>
    <w:rsid w:val="00F43602"/>
    <w:rsid w:val="00F45B2B"/>
    <w:rsid w:val="00F47876"/>
    <w:rsid w:val="00F54D8A"/>
    <w:rsid w:val="00F573D4"/>
    <w:rsid w:val="00F6109A"/>
    <w:rsid w:val="00F62C56"/>
    <w:rsid w:val="00F65DF5"/>
    <w:rsid w:val="00F666B2"/>
    <w:rsid w:val="00F667B8"/>
    <w:rsid w:val="00F72584"/>
    <w:rsid w:val="00F732CD"/>
    <w:rsid w:val="00F74176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6535"/>
    <w:rsid w:val="00FB6D6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.hr/Default.aspx?art=8958&amp;sec=1275" TargetMode="External"/><Relationship Id="rId18" Type="http://schemas.openxmlformats.org/officeDocument/2006/relationships/hyperlink" Target="mailto:jrr@fina.h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" TargetMode="External"/><Relationship Id="rId17" Type="http://schemas.openxmlformats.org/officeDocument/2006/relationships/hyperlink" Target="http://www.fina.hr/Default.aspx?sec=9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jrr.fina.hr/jri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gfi.fina.hr/JavnaObjava-web/jsp/prijavaKorisnika.j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.hr/Default.aspx?sec=1538" TargetMode="External"/><Relationship Id="rId10" Type="http://schemas.openxmlformats.org/officeDocument/2006/relationships/hyperlink" Target="mailto:analize@fina.h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a.hr/Default.aspx?sec=1279" TargetMode="External"/><Relationship Id="rId14" Type="http://schemas.openxmlformats.org/officeDocument/2006/relationships/hyperlink" Target="mailto:info@fina.h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CE2A-F973-4340-A677-0B46A378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7845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Vesna Kavur</cp:lastModifiedBy>
  <cp:revision>117</cp:revision>
  <cp:lastPrinted>2014-09-19T12:19:00Z</cp:lastPrinted>
  <dcterms:created xsi:type="dcterms:W3CDTF">2017-04-14T08:17:00Z</dcterms:created>
  <dcterms:modified xsi:type="dcterms:W3CDTF">2020-09-15T11:52:00Z</dcterms:modified>
</cp:coreProperties>
</file>