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C8" w:rsidRDefault="00466FEA" w:rsidP="00605211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</w:t>
      </w:r>
      <w:r w:rsidR="00A93124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PODUZETNIKA </w:t>
      </w: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</w:t>
      </w:r>
      <w:r w:rsidR="00EB5466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DUBROVNIK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466FEA" w:rsidRPr="00B46D49" w:rsidRDefault="008448C8" w:rsidP="00605211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>OD 20</w:t>
      </w:r>
      <w:r w:rsidR="007F05A3">
        <w:rPr>
          <w:rFonts w:ascii="Arial" w:hAnsi="Arial" w:cs="Arial"/>
          <w:b/>
          <w:color w:val="244061" w:themeColor="accent1" w:themeShade="80"/>
          <w:sz w:val="20"/>
          <w:szCs w:val="20"/>
        </w:rPr>
        <w:t>10</w:t>
      </w:r>
      <w:r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. </w:t>
      </w:r>
      <w:r w:rsidR="00892654">
        <w:rPr>
          <w:rFonts w:ascii="Arial" w:hAnsi="Arial" w:cs="Arial"/>
          <w:b/>
          <w:color w:val="244061" w:themeColor="accent1" w:themeShade="80"/>
          <w:sz w:val="20"/>
          <w:szCs w:val="20"/>
        </w:rPr>
        <w:t>DO</w:t>
      </w:r>
      <w:r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201</w:t>
      </w:r>
      <w:r w:rsidR="007F05A3">
        <w:rPr>
          <w:rFonts w:ascii="Arial" w:hAnsi="Arial" w:cs="Arial"/>
          <w:b/>
          <w:color w:val="244061" w:themeColor="accent1" w:themeShade="80"/>
          <w:sz w:val="20"/>
          <w:szCs w:val="20"/>
        </w:rPr>
        <w:t>9</w:t>
      </w:r>
      <w:r w:rsidR="009A72EC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  <w:r w:rsidR="00892654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GODINE</w:t>
      </w:r>
    </w:p>
    <w:p w:rsidR="008448C8" w:rsidRPr="005F7AA8" w:rsidRDefault="001F7D1D" w:rsidP="00E119C4">
      <w:pPr>
        <w:tabs>
          <w:tab w:val="left" w:pos="0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U razdoblju od 20</w:t>
      </w:r>
      <w:r w:rsidR="007F05A3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7F05A3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. godine broj poduzetnika</w:t>
      </w:r>
      <w:r w:rsidR="00892654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 čije je sjedište u Dubrovniku</w:t>
      </w:r>
      <w:r w:rsidR="00892654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povećao se s </w:t>
      </w:r>
      <w:r w:rsidR="00CF6ACA" w:rsidRPr="005F7AA8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2B3BED" w:rsidRPr="005F7AA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765</w:t>
      </w:r>
      <w:r w:rsidR="006D542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6D542E" w:rsidRPr="005F7AA8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B3BED" w:rsidRPr="005F7AA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341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F6ACA" w:rsidRPr="005F7AA8">
        <w:rPr>
          <w:rFonts w:ascii="Arial" w:hAnsi="Arial" w:cs="Arial"/>
          <w:color w:val="244061" w:themeColor="accent1" w:themeShade="80"/>
          <w:sz w:val="20"/>
          <w:szCs w:val="20"/>
        </w:rPr>
        <w:t>š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to je </w:t>
      </w:r>
      <w:r w:rsidR="005A1915" w:rsidRPr="005F7AA8">
        <w:rPr>
          <w:rFonts w:ascii="Arial" w:hAnsi="Arial" w:cs="Arial"/>
          <w:color w:val="244061" w:themeColor="accent1" w:themeShade="80"/>
          <w:sz w:val="20"/>
          <w:szCs w:val="20"/>
        </w:rPr>
        <w:t>povećanje broja poduzetnika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A1915" w:rsidRPr="005F7AA8">
        <w:rPr>
          <w:rFonts w:ascii="Arial" w:hAnsi="Arial" w:cs="Arial"/>
          <w:color w:val="244061" w:themeColor="accent1" w:themeShade="80"/>
          <w:sz w:val="20"/>
          <w:szCs w:val="20"/>
        </w:rPr>
        <w:t>za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576 poduzetnika</w:t>
      </w:r>
      <w:r w:rsidR="005A1915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ili </w:t>
      </w:r>
      <w:r w:rsidR="007313DF" w:rsidRPr="005F7AA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7313DF" w:rsidRPr="005F7AA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%. </w:t>
      </w:r>
      <w:r w:rsidR="000A080B">
        <w:rPr>
          <w:rFonts w:ascii="Arial" w:hAnsi="Arial" w:cs="Arial"/>
          <w:color w:val="244061" w:themeColor="accent1" w:themeShade="80"/>
          <w:sz w:val="20"/>
          <w:szCs w:val="20"/>
        </w:rPr>
        <w:t>U istom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razdoblj</w:t>
      </w:r>
      <w:r w:rsidR="000A080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broj zaposlenih porastao je</w:t>
      </w:r>
      <w:r w:rsidR="006405CA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za 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2.969</w:t>
      </w:r>
      <w:r w:rsidR="0040439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ili 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29,9</w:t>
      </w:r>
      <w:r w:rsidR="006405CA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%, </w:t>
      </w:r>
      <w:r w:rsidR="0040439E" w:rsidRPr="005F7AA8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405CA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s 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9.921</w:t>
      </w:r>
      <w:r w:rsidR="0040439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>na 1</w:t>
      </w:r>
      <w:r w:rsidR="006D542E" w:rsidRPr="005F7AA8">
        <w:rPr>
          <w:rFonts w:ascii="Arial" w:hAnsi="Arial" w:cs="Arial"/>
          <w:color w:val="244061" w:themeColor="accent1" w:themeShade="80"/>
          <w:sz w:val="20"/>
          <w:szCs w:val="20"/>
        </w:rPr>
        <w:t>2.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890</w:t>
      </w:r>
      <w:r w:rsidR="0040439E" w:rsidRPr="005F7AA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05CA" w:rsidRPr="005F7AA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C266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Ukupni prihodi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93FAE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bili su 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C009B4" w:rsidRPr="005F7AA8">
        <w:rPr>
          <w:rFonts w:ascii="Arial" w:hAnsi="Arial" w:cs="Arial"/>
          <w:color w:val="244061" w:themeColor="accent1" w:themeShade="80"/>
          <w:sz w:val="20"/>
          <w:szCs w:val="20"/>
        </w:rPr>
        <w:t>eći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5F7AA8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i iznosili su </w:t>
      </w:r>
      <w:r w:rsidR="005F7AA8" w:rsidRPr="005F7AA8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EB5039" w:rsidRPr="005F7AA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711158" w:rsidRPr="005F7AA8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, u odnosu na 4,9 milijardi kuna, koliko je ostvareno 2010. godine.</w:t>
      </w:r>
    </w:p>
    <w:p w:rsidR="005F7AA8" w:rsidRDefault="00F95045" w:rsidP="00E119C4">
      <w:pPr>
        <w:spacing w:before="180" w:after="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1</w:t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Neto dobit/gubitak i broj zaposlenih kod poduzetnika sa sjedištem u Dubrovniku, u razdoblju 20</w:t>
      </w:r>
      <w:r w:rsidR="007F05A3">
        <w:rPr>
          <w:rFonts w:ascii="Arial" w:hAnsi="Arial" w:cs="Arial"/>
          <w:b/>
          <w:color w:val="244061" w:themeColor="accent1" w:themeShade="80"/>
          <w:sz w:val="18"/>
          <w:szCs w:val="18"/>
        </w:rPr>
        <w:t>10</w:t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.-201</w:t>
      </w:r>
      <w:r w:rsidR="007F05A3">
        <w:rPr>
          <w:rFonts w:ascii="Arial" w:hAnsi="Arial" w:cs="Arial"/>
          <w:b/>
          <w:color w:val="244061" w:themeColor="accent1" w:themeShade="80"/>
          <w:sz w:val="18"/>
          <w:szCs w:val="18"/>
        </w:rPr>
        <w:t>9</w:t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. godina</w:t>
      </w:r>
    </w:p>
    <w:p w:rsidR="005F7AA8" w:rsidRDefault="005F7AA8" w:rsidP="006146B3">
      <w:pPr>
        <w:spacing w:after="0" w:line="240" w:lineRule="auto"/>
        <w:ind w:left="1418" w:hanging="1418"/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5C0457EB">
            <wp:extent cx="6233823" cy="1630017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09" cy="1632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6B3" w:rsidRDefault="006146B3" w:rsidP="006146B3">
      <w:pPr>
        <w:tabs>
          <w:tab w:val="left" w:pos="0"/>
        </w:tabs>
        <w:spacing w:before="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</w:t>
      </w:r>
      <w:r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6A1ED7" w:rsidRPr="005F7AA8" w:rsidRDefault="00191E1B" w:rsidP="006146B3">
      <w:pPr>
        <w:tabs>
          <w:tab w:val="left" w:pos="0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F7AA8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>ajveć</w:t>
      </w:r>
      <w:r w:rsidR="00C905BF" w:rsidRPr="005F7AA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dobit</w:t>
      </w:r>
      <w:r w:rsidR="00C905B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razdoblja </w:t>
      </w:r>
      <w:r w:rsidR="00C905BF" w:rsidRPr="005F7AA8">
        <w:rPr>
          <w:rFonts w:ascii="Arial" w:hAnsi="Arial" w:cs="Arial"/>
          <w:color w:val="17365D" w:themeColor="text2" w:themeShade="BF"/>
          <w:sz w:val="20"/>
          <w:szCs w:val="20"/>
        </w:rPr>
        <w:t>ostvarena je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B5039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također 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EB5039" w:rsidRPr="005F7AA8">
        <w:rPr>
          <w:rFonts w:ascii="Arial" w:hAnsi="Arial" w:cs="Arial"/>
          <w:color w:val="17365D" w:themeColor="text2" w:themeShade="BF"/>
          <w:sz w:val="20"/>
          <w:szCs w:val="20"/>
        </w:rPr>
        <w:t>201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>. godini</w:t>
      </w:r>
      <w:r w:rsidRPr="005F7AA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</w:t>
      </w:r>
      <w:r w:rsidR="00B952AA" w:rsidRPr="005F7AA8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od 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597,6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a najveći gubitak 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razdoblja 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>iskaza</w:t>
      </w:r>
      <w:r w:rsidR="00B952AA" w:rsidRPr="005F7AA8">
        <w:rPr>
          <w:rFonts w:ascii="Arial" w:hAnsi="Arial" w:cs="Arial"/>
          <w:color w:val="17365D" w:themeColor="text2" w:themeShade="BF"/>
          <w:sz w:val="20"/>
          <w:szCs w:val="20"/>
        </w:rPr>
        <w:t>n je u 2014. godini</w:t>
      </w:r>
      <w:r w:rsidRPr="005F7AA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601,3 milijuna</w:t>
      </w:r>
      <w:r w:rsidR="002072A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F74422">
        <w:rPr>
          <w:rFonts w:ascii="Arial" w:hAnsi="Arial" w:cs="Arial"/>
          <w:color w:val="17365D" w:themeColor="text2" w:themeShade="BF"/>
          <w:sz w:val="20"/>
          <w:szCs w:val="20"/>
        </w:rPr>
        <w:t>. U</w:t>
      </w:r>
      <w:r w:rsidR="006B15CE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proteklih 10 godina poduzetnici </w:t>
      </w:r>
      <w:r w:rsidR="009550E4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u Dubrovniku </w:t>
      </w:r>
      <w:r w:rsidR="00D200BD">
        <w:rPr>
          <w:rFonts w:ascii="Arial" w:hAnsi="Arial" w:cs="Arial"/>
          <w:color w:val="17365D" w:themeColor="text2" w:themeShade="BF"/>
          <w:sz w:val="20"/>
          <w:szCs w:val="20"/>
        </w:rPr>
        <w:t>četiri</w:t>
      </w:r>
      <w:r w:rsidR="006B15CE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74422">
        <w:rPr>
          <w:rFonts w:ascii="Arial" w:hAnsi="Arial" w:cs="Arial"/>
          <w:color w:val="17365D" w:themeColor="text2" w:themeShade="BF"/>
          <w:sz w:val="20"/>
          <w:szCs w:val="20"/>
        </w:rPr>
        <w:t xml:space="preserve">su </w:t>
      </w:r>
      <w:r w:rsidR="006B15CE" w:rsidRPr="005F7AA8">
        <w:rPr>
          <w:rFonts w:ascii="Arial" w:hAnsi="Arial" w:cs="Arial"/>
          <w:color w:val="17365D" w:themeColor="text2" w:themeShade="BF"/>
          <w:sz w:val="20"/>
          <w:szCs w:val="20"/>
        </w:rPr>
        <w:t>godin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6B15CE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završili s negativnim, a 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šest</w:t>
      </w:r>
      <w:r w:rsidR="006B15CE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s pozitivnim </w:t>
      </w:r>
      <w:r w:rsidR="00F74422">
        <w:rPr>
          <w:rFonts w:ascii="Arial" w:hAnsi="Arial" w:cs="Arial"/>
          <w:color w:val="17365D" w:themeColor="text2" w:themeShade="BF"/>
          <w:sz w:val="20"/>
          <w:szCs w:val="20"/>
        </w:rPr>
        <w:t xml:space="preserve">financijskim </w:t>
      </w:r>
      <w:r w:rsidR="009550E4" w:rsidRPr="005F7AA8">
        <w:rPr>
          <w:rFonts w:ascii="Arial" w:hAnsi="Arial" w:cs="Arial"/>
          <w:color w:val="17365D" w:themeColor="text2" w:themeShade="BF"/>
          <w:sz w:val="20"/>
          <w:szCs w:val="20"/>
        </w:rPr>
        <w:t>rezultatom</w:t>
      </w:r>
      <w:r w:rsidR="001D1D5F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(neto dobit)</w:t>
      </w:r>
      <w:r w:rsidR="000D7687" w:rsidRPr="005F7AA8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Zadnj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pet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 xml:space="preserve"> godin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E119C4">
        <w:rPr>
          <w:rFonts w:ascii="Arial" w:hAnsi="Arial" w:cs="Arial"/>
          <w:color w:val="17365D" w:themeColor="text2" w:themeShade="BF"/>
          <w:sz w:val="20"/>
          <w:szCs w:val="20"/>
        </w:rPr>
        <w:t xml:space="preserve"> (2014.-2019.), poduzetnici u Dubrovniku 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>poslova</w:t>
      </w:r>
      <w:r w:rsidR="00E119C4">
        <w:rPr>
          <w:rFonts w:ascii="Arial" w:hAnsi="Arial" w:cs="Arial"/>
          <w:color w:val="17365D" w:themeColor="text2" w:themeShade="BF"/>
          <w:sz w:val="20"/>
          <w:szCs w:val="20"/>
        </w:rPr>
        <w:t xml:space="preserve">li su </w:t>
      </w:r>
      <w:r w:rsidR="00144F8C" w:rsidRPr="005F7AA8">
        <w:rPr>
          <w:rFonts w:ascii="Arial" w:hAnsi="Arial" w:cs="Arial"/>
          <w:color w:val="17365D" w:themeColor="text2" w:themeShade="BF"/>
          <w:sz w:val="20"/>
          <w:szCs w:val="20"/>
        </w:rPr>
        <w:t>s neto dobiti</w:t>
      </w:r>
      <w:r w:rsidR="005F7AA8" w:rsidRPr="005F7AA8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6A1ED7" w:rsidRDefault="006A1ED7" w:rsidP="00F95045">
      <w:pPr>
        <w:widowControl w:val="0"/>
        <w:tabs>
          <w:tab w:val="left" w:pos="567"/>
        </w:tabs>
        <w:spacing w:before="180" w:after="40" w:line="240" w:lineRule="auto"/>
        <w:ind w:left="1134" w:hanging="1134"/>
        <w:rPr>
          <w:rFonts w:ascii="Arial" w:eastAsia="Calibri" w:hAnsi="Arial" w:cs="Arial"/>
          <w:i/>
          <w:color w:val="17365D"/>
          <w:sz w:val="16"/>
          <w:szCs w:val="16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Tablica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EB3712" w:rsidRPr="003403C6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ab/>
        <w:t xml:space="preserve">Broj poduzetnika, broj zaposlenih te osnovni rezultati poslovanja poduzetnika </w:t>
      </w:r>
      <w:r w:rsidR="00EB3712" w:rsidRPr="003403C6">
        <w:rPr>
          <w:rFonts w:ascii="Arial" w:eastAsia="Calibri" w:hAnsi="Arial" w:cs="Arial"/>
          <w:b/>
          <w:color w:val="17365D"/>
          <w:sz w:val="18"/>
          <w:szCs w:val="18"/>
        </w:rPr>
        <w:t xml:space="preserve">sa sjedištem u Dubrovniku, 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u razdoblju 20</w:t>
      </w:r>
      <w:r w:rsidR="007F05A3">
        <w:rPr>
          <w:rFonts w:ascii="Arial" w:eastAsia="Calibri" w:hAnsi="Arial" w:cs="Arial"/>
          <w:b/>
          <w:color w:val="17365D"/>
          <w:sz w:val="18"/>
          <w:szCs w:val="18"/>
        </w:rPr>
        <w:t>10</w:t>
      </w:r>
      <w:r w:rsidR="00B45170" w:rsidRPr="003403C6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-201</w:t>
      </w:r>
      <w:r w:rsidR="007F05A3">
        <w:rPr>
          <w:rFonts w:ascii="Arial" w:eastAsia="Calibri" w:hAnsi="Arial" w:cs="Arial"/>
          <w:b/>
          <w:color w:val="17365D"/>
          <w:sz w:val="18"/>
          <w:szCs w:val="18"/>
        </w:rPr>
        <w:t>9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. g</w:t>
      </w:r>
      <w:r w:rsidR="00B45170" w:rsidRPr="003403C6">
        <w:rPr>
          <w:rFonts w:ascii="Arial" w:eastAsia="Calibri" w:hAnsi="Arial" w:cs="Arial"/>
          <w:b/>
          <w:color w:val="17365D"/>
          <w:sz w:val="18"/>
          <w:szCs w:val="18"/>
        </w:rPr>
        <w:t>odina</w:t>
      </w:r>
      <w:r w:rsidRPr="007313DF">
        <w:rPr>
          <w:rFonts w:ascii="Arial" w:eastAsia="Calibri" w:hAnsi="Arial" w:cs="Arial"/>
          <w:b/>
          <w:color w:val="17365D"/>
          <w:sz w:val="17"/>
          <w:szCs w:val="17"/>
          <w:vertAlign w:val="superscript"/>
        </w:rPr>
        <w:footnoteReference w:id="1"/>
      </w:r>
      <w:r w:rsidRPr="007313DF">
        <w:rPr>
          <w:rFonts w:ascii="Arial" w:eastAsia="Calibri" w:hAnsi="Arial" w:cs="Arial"/>
          <w:color w:val="17365D"/>
          <w:sz w:val="17"/>
          <w:szCs w:val="17"/>
        </w:rPr>
        <w:tab/>
      </w:r>
      <w:r w:rsidRPr="006A1ED7">
        <w:rPr>
          <w:rFonts w:ascii="Arial" w:eastAsia="Calibri" w:hAnsi="Arial" w:cs="Arial"/>
          <w:color w:val="17365D"/>
          <w:sz w:val="18"/>
          <w:szCs w:val="18"/>
        </w:rPr>
        <w:tab/>
      </w:r>
      <w:r w:rsidR="00292AFB">
        <w:rPr>
          <w:rFonts w:ascii="Arial" w:eastAsia="Calibri" w:hAnsi="Arial" w:cs="Arial"/>
          <w:color w:val="17365D"/>
          <w:sz w:val="18"/>
          <w:szCs w:val="18"/>
        </w:rPr>
        <w:tab/>
      </w:r>
      <w:r w:rsidR="003F4F7E">
        <w:rPr>
          <w:rFonts w:ascii="Arial" w:eastAsia="Calibri" w:hAnsi="Arial" w:cs="Arial"/>
          <w:color w:val="17365D"/>
          <w:sz w:val="18"/>
          <w:szCs w:val="18"/>
        </w:rPr>
        <w:tab/>
      </w:r>
      <w:r w:rsidR="007F05A3">
        <w:rPr>
          <w:rFonts w:ascii="Arial" w:eastAsia="Calibri" w:hAnsi="Arial" w:cs="Arial"/>
          <w:color w:val="17365D"/>
          <w:sz w:val="18"/>
          <w:szCs w:val="18"/>
        </w:rPr>
        <w:t xml:space="preserve">      </w:t>
      </w:r>
      <w:r w:rsidRPr="007F05A3">
        <w:rPr>
          <w:rFonts w:ascii="Arial" w:eastAsia="Calibri" w:hAnsi="Arial" w:cs="Arial"/>
          <w:i/>
          <w:color w:val="17365D"/>
          <w:sz w:val="16"/>
          <w:szCs w:val="16"/>
        </w:rPr>
        <w:t>(iznosi u tisućama kn</w:t>
      </w:r>
      <w:r w:rsidR="00B45170" w:rsidRPr="007F05A3">
        <w:rPr>
          <w:rFonts w:ascii="Arial" w:eastAsia="Calibri" w:hAnsi="Arial" w:cs="Arial"/>
          <w:i/>
          <w:color w:val="17365D"/>
          <w:sz w:val="16"/>
          <w:szCs w:val="16"/>
        </w:rPr>
        <w:t>, plaće u k</w:t>
      </w:r>
      <w:r w:rsidR="003F4F7E" w:rsidRPr="007F05A3">
        <w:rPr>
          <w:rFonts w:ascii="Arial" w:eastAsia="Calibri" w:hAnsi="Arial" w:cs="Arial"/>
          <w:i/>
          <w:color w:val="17365D"/>
          <w:sz w:val="16"/>
          <w:szCs w:val="16"/>
        </w:rPr>
        <w:t>n</w:t>
      </w:r>
      <w:r w:rsidRPr="007F05A3">
        <w:rPr>
          <w:rFonts w:ascii="Arial" w:eastAsia="Calibri" w:hAnsi="Arial" w:cs="Arial"/>
          <w:i/>
          <w:color w:val="17365D"/>
          <w:sz w:val="16"/>
          <w:szCs w:val="16"/>
        </w:rPr>
        <w:t>)</w:t>
      </w:r>
    </w:p>
    <w:p w:rsidR="005F7AA8" w:rsidRPr="007F05A3" w:rsidRDefault="005F7AA8" w:rsidP="006146B3">
      <w:pPr>
        <w:widowControl w:val="0"/>
        <w:tabs>
          <w:tab w:val="left" w:pos="567"/>
        </w:tabs>
        <w:spacing w:after="40" w:line="240" w:lineRule="auto"/>
        <w:ind w:left="1134" w:hanging="1134"/>
        <w:rPr>
          <w:rFonts w:ascii="Arial" w:eastAsia="Calibri" w:hAnsi="Arial" w:cs="Arial"/>
          <w:i/>
          <w:color w:val="17365D"/>
          <w:sz w:val="16"/>
          <w:szCs w:val="16"/>
        </w:rPr>
      </w:pPr>
      <w:r w:rsidRPr="005F7AA8">
        <w:rPr>
          <w:noProof/>
          <w:lang w:eastAsia="hr-HR"/>
        </w:rPr>
        <w:drawing>
          <wp:inline distT="0" distB="0" distL="0" distR="0" wp14:anchorId="4556896C" wp14:editId="23E2DDA9">
            <wp:extent cx="6254957" cy="1733385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73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92" w:rsidRPr="006A1ED7" w:rsidRDefault="00EC0D92" w:rsidP="003403C6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Izvor: </w:t>
      </w:r>
      <w:r w:rsidR="006146B3"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FINA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="007F05A3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10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201</w:t>
      </w:r>
      <w:r w:rsidR="007F05A3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9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1D1D5F" w:rsidRDefault="001D1D5F" w:rsidP="00B06217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U promatranom razdoblju 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izvoz je 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smanjen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E62BB3" w:rsidRPr="0023271A">
        <w:rPr>
          <w:rFonts w:ascii="Arial" w:hAnsi="Arial" w:cs="Arial"/>
          <w:color w:val="244061" w:themeColor="accent1" w:themeShade="80"/>
          <w:sz w:val="20"/>
          <w:szCs w:val="20"/>
        </w:rPr>
        <w:t>1,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</w:t>
      </w:r>
      <w:r w:rsidR="00E62BB3" w:rsidRPr="0023271A">
        <w:rPr>
          <w:rFonts w:ascii="Arial" w:hAnsi="Arial" w:cs="Arial"/>
          <w:color w:val="244061" w:themeColor="accent1" w:themeShade="80"/>
          <w:sz w:val="20"/>
          <w:szCs w:val="20"/>
        </w:rPr>
        <w:t>arde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koliko je ostvareno 20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. godine, na 1,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. godini.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Najveći izvoz ostvaren je 2010. godine </w:t>
      </w:r>
      <w:r w:rsidR="002F1992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>1,4 milijarde kuna</w:t>
      </w:r>
      <w:r w:rsidR="002F1992">
        <w:rPr>
          <w:rFonts w:ascii="Arial" w:hAnsi="Arial" w:cs="Arial"/>
          <w:color w:val="244061" w:themeColor="accent1" w:themeShade="80"/>
          <w:sz w:val="20"/>
          <w:szCs w:val="20"/>
        </w:rPr>
        <w:t>), a najmanji 2014. (842,6 milijuna kuna)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U rekordnoj 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>godin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najveći izvoz ostvaril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>ATLANTSKA PLOVIDBA d.d. (610,4 milijuna kuna), a isto je društvo najveći izvo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0558B6" w:rsidRPr="0023271A">
        <w:rPr>
          <w:rFonts w:ascii="Arial" w:hAnsi="Arial" w:cs="Arial"/>
          <w:color w:val="244061" w:themeColor="accent1" w:themeShade="80"/>
          <w:sz w:val="20"/>
          <w:szCs w:val="20"/>
        </w:rPr>
        <w:t>nik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 kroz cijelo promatrano razdoblje iako je izvoz </w:t>
      </w:r>
      <w:r w:rsidR="002F199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2F1992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 u i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>znos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u od </w:t>
      </w:r>
      <w:proofErr w:type="spellStart"/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11</w:t>
      </w:r>
      <w:proofErr w:type="spellEnd"/>
      <w:r w:rsidR="006479EA" w:rsidRPr="0023271A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 bio 49% manji u odnosu na 2010. godinu</w:t>
      </w:r>
      <w:r w:rsidR="00583831" w:rsidRPr="0023271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403C6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B06217" w:rsidRDefault="00B06217" w:rsidP="00B06217">
      <w:pPr>
        <w:widowControl w:val="0"/>
        <w:tabs>
          <w:tab w:val="left" w:pos="567"/>
          <w:tab w:val="left" w:pos="1134"/>
        </w:tabs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B06217">
        <w:rPr>
          <w:rFonts w:ascii="Arial" w:hAnsi="Arial" w:cs="Arial"/>
          <w:b/>
          <w:color w:val="17365D" w:themeColor="text2" w:themeShade="BF"/>
          <w:sz w:val="18"/>
          <w:szCs w:val="18"/>
        </w:rPr>
        <w:t>Tablica 2.</w:t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Pr="00B06217">
        <w:rPr>
          <w:rFonts w:ascii="Arial" w:hAnsi="Arial" w:cs="Arial"/>
          <w:b/>
          <w:color w:val="244061" w:themeColor="accent1" w:themeShade="80"/>
          <w:sz w:val="18"/>
          <w:szCs w:val="18"/>
        </w:rPr>
        <w:t>ATLANTSKA PLOVIDBA d.d.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, najveći izvoznik sa sjedištem u Dubrovniku u razdoblju 2010.-2019. g.</w:t>
      </w:r>
    </w:p>
    <w:p w:rsidR="00B06217" w:rsidRPr="00B06217" w:rsidRDefault="00B06217" w:rsidP="00B06217">
      <w:pPr>
        <w:widowControl w:val="0"/>
        <w:tabs>
          <w:tab w:val="left" w:pos="567"/>
          <w:tab w:val="left" w:pos="1134"/>
        </w:tabs>
        <w:spacing w:after="0" w:line="240" w:lineRule="auto"/>
        <w:jc w:val="right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B06217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     (iznosi u tisućama</w:t>
      </w:r>
      <w:r>
        <w:rPr>
          <w:rFonts w:ascii="Arial" w:hAnsi="Arial" w:cs="Arial"/>
          <w:i/>
          <w:color w:val="17365D" w:themeColor="text2" w:themeShade="BF"/>
          <w:sz w:val="16"/>
          <w:szCs w:val="16"/>
        </w:rPr>
        <w:t>)</w:t>
      </w:r>
    </w:p>
    <w:tbl>
      <w:tblPr>
        <w:tblW w:w="9987" w:type="dxa"/>
        <w:tblInd w:w="93" w:type="dxa"/>
        <w:tblLook w:val="04A0" w:firstRow="1" w:lastRow="0" w:firstColumn="1" w:lastColumn="0" w:noHBand="0" w:noVBand="1"/>
      </w:tblPr>
      <w:tblGrid>
        <w:gridCol w:w="600"/>
        <w:gridCol w:w="921"/>
        <w:gridCol w:w="922"/>
        <w:gridCol w:w="922"/>
        <w:gridCol w:w="922"/>
        <w:gridCol w:w="922"/>
        <w:gridCol w:w="952"/>
        <w:gridCol w:w="952"/>
        <w:gridCol w:w="958"/>
        <w:gridCol w:w="958"/>
        <w:gridCol w:w="958"/>
      </w:tblGrid>
      <w:tr w:rsidR="007136A7" w:rsidRPr="007136A7" w:rsidTr="007136A7">
        <w:trPr>
          <w:trHeight w:val="283"/>
        </w:trPr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2016.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2017.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2018.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244062"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2019.</w:t>
            </w:r>
          </w:p>
        </w:tc>
      </w:tr>
      <w:tr w:rsidR="007136A7" w:rsidRPr="007136A7" w:rsidTr="00B06217">
        <w:trPr>
          <w:trHeight w:val="283"/>
        </w:trPr>
        <w:tc>
          <w:tcPr>
            <w:tcW w:w="5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FFFFFF" w:themeColor="background1"/>
            </w:tcBorders>
            <w:shd w:val="clear" w:color="auto" w:fill="DBE5F1"/>
            <w:noWrap/>
            <w:vAlign w:val="center"/>
            <w:hideMark/>
          </w:tcPr>
          <w:p w:rsidR="007136A7" w:rsidRPr="007136A7" w:rsidRDefault="007136A7" w:rsidP="007136A7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244062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610.389 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461.889 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379.595 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343.317 </w:t>
            </w:r>
          </w:p>
        </w:tc>
        <w:tc>
          <w:tcPr>
            <w:tcW w:w="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246.831 </w:t>
            </w:r>
          </w:p>
        </w:tc>
        <w:tc>
          <w:tcPr>
            <w:tcW w:w="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249.437 </w:t>
            </w:r>
          </w:p>
        </w:tc>
        <w:tc>
          <w:tcPr>
            <w:tcW w:w="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270.438 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349.155 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344.967 </w:t>
            </w:r>
          </w:p>
        </w:tc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7136A7" w:rsidRDefault="007136A7" w:rsidP="00B06217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311.252 </w:t>
            </w:r>
          </w:p>
        </w:tc>
      </w:tr>
    </w:tbl>
    <w:p w:rsidR="00B06217" w:rsidRPr="006A1ED7" w:rsidRDefault="00B06217" w:rsidP="00B06217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2010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201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9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F95045" w:rsidRDefault="00B06217" w:rsidP="00C260AD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U istom razdoblju, od 2010. do 2019. godine, prosječna mjesečna neto plaća zaposlenih porasla je za 27,6%, s </w:t>
      </w:r>
      <w:proofErr w:type="spellStart"/>
      <w:r w:rsidRPr="00B06217">
        <w:rPr>
          <w:rFonts w:ascii="Arial" w:hAnsi="Arial" w:cs="Arial"/>
          <w:color w:val="244061" w:themeColor="accent1" w:themeShade="80"/>
          <w:sz w:val="20"/>
          <w:szCs w:val="20"/>
        </w:rPr>
        <w:t>4.827</w:t>
      </w:r>
      <w:proofErr w:type="spellEnd"/>
      <w:r w:rsidRPr="00B06217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na 6.161 kunu.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C266E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U nastavku teksta slijedi </w:t>
      </w:r>
      <w:r w:rsidR="00FD1A47" w:rsidRPr="00C1675D">
        <w:rPr>
          <w:rFonts w:ascii="Arial" w:hAnsi="Arial" w:cs="Arial"/>
          <w:color w:val="244061" w:themeColor="accent1" w:themeShade="80"/>
          <w:sz w:val="20"/>
          <w:szCs w:val="20"/>
        </w:rPr>
        <w:t>analiza</w:t>
      </w:r>
      <w:r w:rsidR="00CC266E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 rezultata poduzetnika, pravnih i fizičkih osoba obveznika poreza na dobit, sa sjedištem u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466" w:rsidRPr="00C1675D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 w:rsidR="00CC266E" w:rsidRPr="00C1675D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9285A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7F05A3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37362D" w:rsidRPr="00C1675D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 w:rsidR="0037362D" w:rsidRPr="00C1675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7362D" w:rsidRPr="002F1992">
        <w:rPr>
          <w:rFonts w:ascii="Arial" w:hAnsi="Arial" w:cs="Arial"/>
          <w:color w:val="244061" w:themeColor="accent1" w:themeShade="80"/>
          <w:sz w:val="20"/>
          <w:szCs w:val="20"/>
          <w:vertAlign w:val="superscript"/>
        </w:rPr>
        <w:t xml:space="preserve"> </w:t>
      </w:r>
    </w:p>
    <w:p w:rsidR="00793E44" w:rsidRDefault="00B205FA" w:rsidP="00C260AD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C1675D">
        <w:rPr>
          <w:rFonts w:ascii="Arial" w:hAnsi="Arial" w:cs="Arial"/>
          <w:color w:val="244061" w:themeColor="accent1" w:themeShade="80"/>
          <w:sz w:val="20"/>
          <w:szCs w:val="20"/>
        </w:rPr>
        <w:t>Riječ je o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62BB3" w:rsidRPr="0023271A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B3BED" w:rsidRPr="0023271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341</w:t>
      </w:r>
      <w:r w:rsidR="0037362D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37362D" w:rsidRPr="0023271A">
        <w:rPr>
          <w:rFonts w:ascii="Arial" w:hAnsi="Arial" w:cs="Arial"/>
          <w:color w:val="244061" w:themeColor="accent1" w:themeShade="80"/>
          <w:sz w:val="20"/>
          <w:szCs w:val="20"/>
        </w:rPr>
        <w:t>k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sastavili i u Registar godišnjih financijskih izvještaja podnijeli točan i potpun godišnji financijski izvještaj za </w:t>
      </w:r>
      <w:r w:rsidR="002F1992">
        <w:rPr>
          <w:rFonts w:ascii="Arial" w:hAnsi="Arial" w:cs="Arial"/>
          <w:color w:val="244061" w:themeColor="accent1" w:themeShade="80"/>
          <w:sz w:val="20"/>
          <w:szCs w:val="20"/>
        </w:rPr>
        <w:t xml:space="preserve">statističke i dr. potrebe za 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  <w:r w:rsidR="001E5718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B45170" w:rsidRPr="0023271A">
        <w:rPr>
          <w:rFonts w:ascii="Arial" w:hAnsi="Arial" w:cs="Arial"/>
          <w:color w:val="244061" w:themeColor="accent1" w:themeShade="80"/>
          <w:sz w:val="20"/>
          <w:szCs w:val="20"/>
        </w:rPr>
        <w:t>navedenog broja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bilo 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je 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12.890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</w:t>
      </w:r>
      <w:r w:rsidR="00593BD6" w:rsidRPr="0023271A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Pr="0023271A">
        <w:rPr>
          <w:rFonts w:ascii="Arial" w:hAnsi="Arial" w:cs="Arial"/>
          <w:color w:val="244061" w:themeColor="accent1" w:themeShade="80"/>
          <w:sz w:val="20"/>
          <w:szCs w:val="20"/>
        </w:rPr>
        <w:t>, što je</w:t>
      </w:r>
      <w:r w:rsidR="00FF4233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prosječno 5,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FF4233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23271A" w:rsidRPr="0023271A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="00FF4233" w:rsidRPr="0023271A">
        <w:rPr>
          <w:rFonts w:ascii="Arial" w:hAnsi="Arial" w:cs="Arial"/>
          <w:color w:val="244061" w:themeColor="accent1" w:themeShade="80"/>
          <w:sz w:val="20"/>
          <w:szCs w:val="20"/>
        </w:rPr>
        <w:t xml:space="preserve"> po poduzetniku i </w:t>
      </w:r>
      <w:r w:rsidR="00765B5C" w:rsidRPr="0023271A">
        <w:rPr>
          <w:rFonts w:ascii="Arial" w:hAnsi="Arial" w:cs="Arial"/>
          <w:color w:val="17365D" w:themeColor="text2" w:themeShade="BF"/>
          <w:sz w:val="20"/>
          <w:szCs w:val="20"/>
        </w:rPr>
        <w:t xml:space="preserve">rast od </w:t>
      </w:r>
      <w:r w:rsidR="0023271A" w:rsidRPr="0023271A">
        <w:rPr>
          <w:rFonts w:ascii="Arial" w:hAnsi="Arial" w:cs="Arial"/>
          <w:color w:val="17365D" w:themeColor="text2" w:themeShade="BF"/>
          <w:sz w:val="20"/>
          <w:szCs w:val="20"/>
        </w:rPr>
        <w:t>7,8</w:t>
      </w:r>
      <w:r w:rsidR="00765B5C" w:rsidRPr="0023271A">
        <w:rPr>
          <w:rFonts w:ascii="Arial" w:hAnsi="Arial" w:cs="Arial"/>
          <w:color w:val="17365D" w:themeColor="text2" w:themeShade="BF"/>
          <w:sz w:val="20"/>
          <w:szCs w:val="20"/>
        </w:rPr>
        <w:t xml:space="preserve">% u odnosu na </w:t>
      </w:r>
      <w:r w:rsidR="00CC266E" w:rsidRPr="0023271A">
        <w:rPr>
          <w:rFonts w:ascii="Arial" w:hAnsi="Arial" w:cs="Arial"/>
          <w:color w:val="17365D" w:themeColor="text2" w:themeShade="BF"/>
          <w:sz w:val="20"/>
          <w:szCs w:val="20"/>
        </w:rPr>
        <w:t xml:space="preserve">broj zaposlenih kod tih poduzetnika u </w:t>
      </w:r>
      <w:r w:rsidR="00765B5C" w:rsidRPr="0023271A">
        <w:rPr>
          <w:rFonts w:ascii="Arial" w:hAnsi="Arial" w:cs="Arial"/>
          <w:color w:val="17365D" w:themeColor="text2" w:themeShade="BF"/>
          <w:sz w:val="20"/>
          <w:szCs w:val="20"/>
        </w:rPr>
        <w:t>201</w:t>
      </w:r>
      <w:r w:rsidR="0023271A" w:rsidRPr="0023271A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765B5C" w:rsidRPr="0023271A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FF4233" w:rsidRPr="0023271A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765B5C" w:rsidRPr="0023271A">
        <w:rPr>
          <w:rFonts w:ascii="Arial" w:hAnsi="Arial" w:cs="Arial"/>
          <w:color w:val="17365D" w:themeColor="text2" w:themeShade="BF"/>
          <w:sz w:val="20"/>
          <w:szCs w:val="20"/>
        </w:rPr>
        <w:t>odin</w:t>
      </w:r>
      <w:r w:rsidR="00CC266E" w:rsidRPr="0023271A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FF4233" w:rsidRPr="0023271A">
        <w:rPr>
          <w:rFonts w:ascii="Arial" w:hAnsi="Arial" w:cs="Arial"/>
          <w:color w:val="17365D" w:themeColor="text2" w:themeShade="BF"/>
          <w:sz w:val="20"/>
          <w:szCs w:val="20"/>
        </w:rPr>
        <w:t xml:space="preserve"> (11.</w:t>
      </w:r>
      <w:r w:rsidR="0023271A" w:rsidRPr="0023271A">
        <w:rPr>
          <w:rFonts w:ascii="Arial" w:hAnsi="Arial" w:cs="Arial"/>
          <w:color w:val="17365D" w:themeColor="text2" w:themeShade="BF"/>
          <w:sz w:val="20"/>
          <w:szCs w:val="20"/>
        </w:rPr>
        <w:t>958</w:t>
      </w:r>
      <w:r w:rsidR="00FF4233" w:rsidRPr="0023271A">
        <w:rPr>
          <w:rFonts w:ascii="Arial" w:hAnsi="Arial" w:cs="Arial"/>
          <w:color w:val="17365D" w:themeColor="text2" w:themeShade="BF"/>
          <w:sz w:val="20"/>
          <w:szCs w:val="20"/>
        </w:rPr>
        <w:t>).</w:t>
      </w:r>
      <w:r w:rsidR="00FD1A47" w:rsidRPr="0023271A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2"/>
      </w:r>
    </w:p>
    <w:p w:rsidR="00E119C4" w:rsidRPr="00E119C4" w:rsidRDefault="00E119C4" w:rsidP="002A20D7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Ukup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ni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. godini iznosi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li su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>8 milijardi kuna, što je povećanje od 10,4% u odnosu na 2018. godinu, a uku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pni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 xml:space="preserve"> rashod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 xml:space="preserve"> 7,3 milijarde kuna, što je 11,9% više u odnosu na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2018.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godinu. </w:t>
      </w:r>
    </w:p>
    <w:p w:rsidR="003C0074" w:rsidRPr="007F05A3" w:rsidRDefault="003C0074" w:rsidP="007136A7">
      <w:pPr>
        <w:widowControl w:val="0"/>
        <w:tabs>
          <w:tab w:val="left" w:pos="567"/>
        </w:tabs>
        <w:spacing w:before="180" w:after="40" w:line="240" w:lineRule="auto"/>
        <w:ind w:left="1134" w:hanging="1134"/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C85A01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4B3663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poslovanja poduzetnika </w:t>
      </w:r>
      <w:r w:rsidR="002B3BED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grada </w:t>
      </w:r>
      <w:r w:rsidR="00EB5466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Dubrovnika u 201</w:t>
      </w:r>
      <w:r w:rsidR="007F05A3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9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2208BC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  <w:r w:rsidR="002208BC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– usporedba s </w:t>
      </w:r>
      <w:r w:rsidR="00605211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poduzetnicima </w:t>
      </w:r>
      <w:r w:rsidR="00EB5466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Dubrovačko-neretvanske županije</w:t>
      </w:r>
      <w:r w:rsidR="006052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7313D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23271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    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(iznosi u tisućama kn, prosječne plaće u kn)</w:t>
      </w:r>
    </w:p>
    <w:tbl>
      <w:tblPr>
        <w:tblW w:w="9779" w:type="dxa"/>
        <w:jc w:val="center"/>
        <w:tblInd w:w="-84" w:type="dxa"/>
        <w:tblLayout w:type="fixed"/>
        <w:tblLook w:val="04A0" w:firstRow="1" w:lastRow="0" w:firstColumn="1" w:lastColumn="0" w:noHBand="0" w:noVBand="1"/>
      </w:tblPr>
      <w:tblGrid>
        <w:gridCol w:w="4563"/>
        <w:gridCol w:w="964"/>
        <w:gridCol w:w="964"/>
        <w:gridCol w:w="680"/>
        <w:gridCol w:w="964"/>
        <w:gridCol w:w="964"/>
        <w:gridCol w:w="680"/>
      </w:tblGrid>
      <w:tr w:rsidR="00B11EC4" w:rsidRPr="0010723D" w:rsidTr="008A15D5">
        <w:trPr>
          <w:trHeight w:val="255"/>
          <w:tblHeader/>
          <w:jc w:val="center"/>
        </w:trPr>
        <w:tc>
          <w:tcPr>
            <w:tcW w:w="4563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Grad 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Dubrovačko-neretvanska žup</w:t>
            </w:r>
            <w:r w:rsidR="006052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B11EC4" w:rsidRPr="0010723D" w:rsidTr="008A15D5">
        <w:trPr>
          <w:trHeight w:val="255"/>
          <w:tblHeader/>
          <w:jc w:val="center"/>
        </w:trPr>
        <w:tc>
          <w:tcPr>
            <w:tcW w:w="4563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7F05A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7F05A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7F05A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7F05A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7F05A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7F05A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7F05A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7F05A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23271A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23271A" w:rsidRPr="006146B3" w:rsidRDefault="0023271A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2.341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4.348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23271A" w:rsidRPr="006146B3" w:rsidRDefault="0023271A" w:rsidP="0023271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664D4" w:rsidRPr="006146B3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11.958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12.890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664D4" w:rsidRPr="006146B3" w:rsidRDefault="004664D4" w:rsidP="00E064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107,8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21.481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23.168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E064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107,9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664D4" w:rsidRPr="006146B3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7.246.502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8.001.638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11.834.805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13.075.910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110,5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664D4" w:rsidRPr="006146B3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6.497.574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7.273.912</w:t>
            </w:r>
          </w:p>
        </w:tc>
        <w:tc>
          <w:tcPr>
            <w:tcW w:w="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111,9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10.865.755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12.016.533</w:t>
            </w:r>
          </w:p>
        </w:tc>
        <w:tc>
          <w:tcPr>
            <w:tcW w:w="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4664D4" w:rsidRPr="006146B3" w:rsidRDefault="004664D4" w:rsidP="004664D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6146B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110,6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870.531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864.192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99,3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1.276.358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1.371.211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107,4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121.602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136.465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112,2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307.308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311.834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101,5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752.961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733.997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97,5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1.137.300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1.117.955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98,3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widowControl w:val="0"/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121.690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136.380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112,1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308.059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314.884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365F91" w:themeColor="accent1" w:themeShade="B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102,2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8A15D5" w:rsidRDefault="004664D4" w:rsidP="00191E1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Konsolidirani finan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cijski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rezultat 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dobit (+) ili gubitak </w:t>
            </w:r>
          </w:p>
          <w:p w:rsidR="004664D4" w:rsidRPr="00CE759E" w:rsidRDefault="004664D4" w:rsidP="00191E1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(-) razdoblja 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631.271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597.616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94,7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829.241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803.071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noWrap/>
            <w:vAlign w:val="center"/>
          </w:tcPr>
          <w:p w:rsidR="004664D4" w:rsidRPr="004664D4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96,8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1.208.788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1.339.777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110,8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2.227.064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2.382.245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107,0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123.482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131.515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106,5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313.226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376.615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120,2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nil"/>
              <w:left w:val="single" w:sz="4" w:space="0" w:color="BFBF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664D4" w:rsidRPr="00CE759E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297.272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207.220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69,7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406.678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536.236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52517B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517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131,9</w:t>
            </w:r>
          </w:p>
        </w:tc>
      </w:tr>
      <w:tr w:rsidR="004664D4" w:rsidRPr="0010723D" w:rsidTr="008A15D5">
        <w:trPr>
          <w:trHeight w:val="255"/>
          <w:jc w:val="center"/>
        </w:trPr>
        <w:tc>
          <w:tcPr>
            <w:tcW w:w="456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664D4" w:rsidRPr="00431C82" w:rsidRDefault="004664D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31C8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5.977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6.161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103,1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5.526</w:t>
            </w:r>
          </w:p>
        </w:tc>
        <w:tc>
          <w:tcPr>
            <w:tcW w:w="964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4664D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5.679</w:t>
            </w:r>
          </w:p>
        </w:tc>
        <w:tc>
          <w:tcPr>
            <w:tcW w:w="680" w:type="dxa"/>
            <w:tcBorders>
              <w:top w:val="single" w:sz="4" w:space="0" w:color="365F91" w:themeColor="accent1" w:themeShade="BF"/>
              <w:left w:val="single" w:sz="4" w:space="0" w:color="BFBFBF" w:themeColor="background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4664D4" w:rsidRPr="004664D4" w:rsidRDefault="004664D4" w:rsidP="0052517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4664D4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102,8</w:t>
            </w:r>
          </w:p>
        </w:tc>
      </w:tr>
    </w:tbl>
    <w:bookmarkEnd w:id="0"/>
    <w:p w:rsidR="003C0074" w:rsidRPr="004946AC" w:rsidRDefault="003C0074" w:rsidP="00E119C4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</w:t>
      </w:r>
      <w:r w:rsidR="00E119C4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fina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Registar godišnjih financijskih izvještaja, obrada GFI-a za 201</w:t>
      </w:r>
      <w:r w:rsidR="007F05A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31699B" w:rsidRDefault="00DD2BE3" w:rsidP="00E119C4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>U 201</w:t>
      </w:r>
      <w:r w:rsidR="0052517B" w:rsidRPr="0052517B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poduzetnici sa sjedištem na području Dubrovnika iskazali su, </w:t>
      </w:r>
      <w:r w:rsidR="0052517B" w:rsidRPr="0052517B">
        <w:rPr>
          <w:rFonts w:ascii="Arial" w:hAnsi="Arial" w:cs="Arial"/>
          <w:color w:val="17365D" w:themeColor="text2" w:themeShade="BF"/>
          <w:sz w:val="20"/>
          <w:szCs w:val="20"/>
        </w:rPr>
        <w:t>pe</w:t>
      </w:r>
      <w:r w:rsidR="002B3BED" w:rsidRPr="0052517B">
        <w:rPr>
          <w:rFonts w:ascii="Arial" w:hAnsi="Arial" w:cs="Arial"/>
          <w:color w:val="17365D" w:themeColor="text2" w:themeShade="BF"/>
          <w:sz w:val="20"/>
          <w:szCs w:val="20"/>
        </w:rPr>
        <w:t>tu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 xml:space="preserve"> godinu za redom, pozitivan konsolidirani financijski rezultat (</w:t>
      </w:r>
      <w:r w:rsidR="00D200BD">
        <w:rPr>
          <w:rFonts w:ascii="Arial" w:hAnsi="Arial" w:cs="Arial"/>
          <w:color w:val="17365D" w:themeColor="text2" w:themeShade="BF"/>
          <w:sz w:val="20"/>
          <w:szCs w:val="20"/>
        </w:rPr>
        <w:t>597,6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kuna). </w:t>
      </w:r>
    </w:p>
    <w:p w:rsidR="00E1622B" w:rsidRDefault="00E1622B" w:rsidP="0041540F">
      <w:pPr>
        <w:widowControl w:val="0"/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6146B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AB577C"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7F05A3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6B686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030D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kod poduzetnika 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sa sjedištem u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Dubrovačko-neretvansk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oj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županij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</w:t>
      </w:r>
      <w:r w:rsidR="00216C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RH</w:t>
      </w:r>
      <w:r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7F05A3">
        <w:rPr>
          <w:rFonts w:ascii="Arial" w:eastAsia="Times New Roman" w:hAnsi="Arial" w:cs="Arial"/>
          <w:color w:val="17365D"/>
          <w:sz w:val="19"/>
          <w:szCs w:val="19"/>
          <w:lang w:eastAsia="hr-HR"/>
        </w:rPr>
        <w:t xml:space="preserve">      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Pr="006146B3" w:rsidRDefault="005F4CD2" w:rsidP="006146B3">
      <w:pPr>
        <w:widowControl w:val="0"/>
        <w:spacing w:before="40" w:after="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42F33619">
            <wp:extent cx="6228000" cy="1872000"/>
            <wp:effectExtent l="0" t="0" r="1905" b="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1EE" w:rsidRDefault="00713E71" w:rsidP="00560DE5">
      <w:pPr>
        <w:widowControl w:val="0"/>
        <w:spacing w:before="40" w:after="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vor: </w:t>
      </w:r>
      <w:r w:rsidR="00E119C4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FINA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 Registar godišnjih financijskih izvještaja</w:t>
      </w:r>
      <w:r w:rsid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="006B17EF" w:rsidRP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</w:t>
      </w:r>
      <w:r w:rsidR="009B04AD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7F05A3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E119C4" w:rsidRDefault="00F75967" w:rsidP="00E119C4">
      <w:pPr>
        <w:widowControl w:val="0"/>
        <w:spacing w:before="18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F75967">
        <w:rPr>
          <w:rFonts w:ascii="Arial" w:hAnsi="Arial" w:cs="Arial"/>
          <w:color w:val="244061"/>
          <w:sz w:val="20"/>
          <w:szCs w:val="20"/>
        </w:rPr>
        <w:t xml:space="preserve">Prosječna mjesečna neto obračunana plaća obračunata zaposlenima kod poduzetnika sa sjedištem u Dubrovniku, u 2019. godini iznosila je 6.161 kn što je 8,5% viša u odnosu n prosječnu plaću obračunatu zaposlenima kod poduzetnika na području Dubrovačko-neretvanske županije (5.679 kn) te gotovo 6,0% viša od prosječne mjesečne neto plaće obračunate zaposlenima kod poduzetnika na razini RH (5.815 kn). </w:t>
      </w:r>
    </w:p>
    <w:p w:rsidR="002A20D7" w:rsidRDefault="002A20D7" w:rsidP="002A20D7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>Najveć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ukupne </w:t>
      </w:r>
      <w:r w:rsidRPr="00E06411">
        <w:rPr>
          <w:rFonts w:ascii="Arial" w:hAnsi="Arial" w:cs="Arial"/>
          <w:color w:val="244061" w:themeColor="accent1" w:themeShade="80"/>
          <w:sz w:val="20"/>
          <w:szCs w:val="20"/>
        </w:rPr>
        <w:t>u Dubrovniku u</w:t>
      </w:r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su </w:t>
      </w:r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>JADRANSKI LUKSUZNI HOTELI d.d. (</w:t>
      </w:r>
      <w:proofErr w:type="spellStart"/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>547</w:t>
      </w:r>
      <w:proofErr w:type="spellEnd"/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>,9 milijuna kuna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),</w:t>
      </w:r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 xml:space="preserve"> PEMO d.o.o. (367,7 milijuna kuna) i ATLANTSKA PLOVIDBA d.d. (342,5 milijun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7D1BE1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</w:t>
      </w:r>
    </w:p>
    <w:p w:rsidR="009A47AF" w:rsidRDefault="009A47AF" w:rsidP="009A47AF">
      <w:pPr>
        <w:widowControl w:val="0"/>
        <w:tabs>
          <w:tab w:val="left" w:pos="7513"/>
          <w:tab w:val="left" w:pos="8080"/>
          <w:tab w:val="right" w:pos="9214"/>
        </w:tabs>
        <w:spacing w:before="180" w:after="0" w:line="240" w:lineRule="auto"/>
        <w:ind w:left="992" w:hanging="992"/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</w:pP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Tablica </w:t>
      </w:r>
      <w:r w:rsidR="00C85A01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4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  <w:r w:rsidRPr="00A7394D">
        <w:rPr>
          <w:rFonts w:ascii="Arial" w:eastAsia="Times New Roman" w:hAnsi="Arial" w:cs="Arial"/>
          <w:b/>
          <w:color w:val="003366"/>
          <w:sz w:val="18"/>
          <w:szCs w:val="18"/>
          <w:u w:val="single"/>
          <w:lang w:eastAsia="hr-HR"/>
        </w:rPr>
        <w:t>TOP 10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poduzetnika sa sjedištem u Dubrovniku p</w:t>
      </w:r>
      <w:r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o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</w:t>
      </w:r>
      <w:r w:rsidRPr="0040439E">
        <w:rPr>
          <w:rFonts w:ascii="Arial" w:eastAsia="Times New Roman" w:hAnsi="Arial" w:cs="Arial"/>
          <w:b/>
          <w:color w:val="003366"/>
          <w:sz w:val="18"/>
          <w:szCs w:val="18"/>
          <w:u w:val="single"/>
          <w:lang w:eastAsia="hr-HR"/>
        </w:rPr>
        <w:t>ukupn</w:t>
      </w:r>
      <w:r>
        <w:rPr>
          <w:rFonts w:ascii="Arial" w:eastAsia="Times New Roman" w:hAnsi="Arial" w:cs="Arial"/>
          <w:b/>
          <w:color w:val="003366"/>
          <w:sz w:val="18"/>
          <w:szCs w:val="18"/>
          <w:u w:val="single"/>
          <w:lang w:eastAsia="hr-HR"/>
        </w:rPr>
        <w:t>i</w:t>
      </w:r>
      <w:r w:rsidRPr="0040439E">
        <w:rPr>
          <w:rFonts w:ascii="Arial" w:eastAsia="Times New Roman" w:hAnsi="Arial" w:cs="Arial"/>
          <w:b/>
          <w:color w:val="003366"/>
          <w:sz w:val="18"/>
          <w:szCs w:val="18"/>
          <w:u w:val="single"/>
          <w:lang w:eastAsia="hr-HR"/>
        </w:rPr>
        <w:t>m prihod</w:t>
      </w:r>
      <w:r>
        <w:rPr>
          <w:rFonts w:ascii="Arial" w:eastAsia="Times New Roman" w:hAnsi="Arial" w:cs="Arial"/>
          <w:b/>
          <w:color w:val="003366"/>
          <w:sz w:val="18"/>
          <w:szCs w:val="18"/>
          <w:u w:val="single"/>
          <w:lang w:eastAsia="hr-HR"/>
        </w:rPr>
        <w:t>ima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u 201</w:t>
      </w:r>
      <w:r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9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 g.</w:t>
      </w:r>
    </w:p>
    <w:p w:rsidR="009A47AF" w:rsidRPr="009A47AF" w:rsidRDefault="009A47AF" w:rsidP="009A47AF">
      <w:pPr>
        <w:widowControl w:val="0"/>
        <w:tabs>
          <w:tab w:val="left" w:pos="7088"/>
          <w:tab w:val="left" w:pos="7513"/>
          <w:tab w:val="right" w:pos="9214"/>
        </w:tabs>
        <w:spacing w:after="40" w:line="240" w:lineRule="auto"/>
        <w:ind w:left="992" w:hanging="992"/>
        <w:jc w:val="right"/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</w:pPr>
      <w:r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</w:r>
      <w:r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</w:r>
      <w:r w:rsidRPr="009A47AF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(iznosi: u tis. k</w:t>
      </w:r>
      <w:r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una</w:t>
      </w:r>
      <w:r w:rsidRPr="009A47AF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, plaće u k</w:t>
      </w:r>
      <w:r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unama</w:t>
      </w:r>
      <w:r w:rsidRPr="009A47AF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)</w:t>
      </w:r>
    </w:p>
    <w:tbl>
      <w:tblPr>
        <w:tblW w:w="99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0"/>
        <w:gridCol w:w="1318"/>
        <w:gridCol w:w="4360"/>
        <w:gridCol w:w="1049"/>
        <w:gridCol w:w="1361"/>
        <w:gridCol w:w="1361"/>
      </w:tblGrid>
      <w:tr w:rsidR="009A47AF" w:rsidRPr="0041540F" w:rsidTr="002A20D7">
        <w:trPr>
          <w:cantSplit/>
          <w:trHeight w:val="425"/>
          <w:tblHeader/>
        </w:trPr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textDirection w:val="btLr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3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44061"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18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22797775374</w:t>
            </w:r>
          </w:p>
        </w:tc>
        <w:tc>
          <w:tcPr>
            <w:tcW w:w="4360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JADRANSKI LUKSUZNI HOTELI d.d.</w:t>
            </w:r>
          </w:p>
        </w:tc>
        <w:tc>
          <w:tcPr>
            <w:tcW w:w="1049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817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547.947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95.227</w:t>
            </w:r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36390325978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PEMO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408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367.657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32.823</w:t>
            </w:r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61063868086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ATLANTSKA PLOVIDBA d.d.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342.525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</w:t>
            </w:r>
            <w:proofErr w:type="spellStart"/>
            <w:r w:rsidRPr="0041540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3.780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54046512596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ATLAS PLUS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306.564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</w:t>
            </w:r>
            <w:proofErr w:type="spellStart"/>
            <w:r w:rsidRPr="0041540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3.779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23019873885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KONSTRUKTA d.o.o. Glavna podružnica Dubrovnik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179.789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6.993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40198223665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DUBROVAČKI VRTOVI SUNCA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324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179.452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22.242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25636115130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GULLIVER TRAVEL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118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165.312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11.826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42332462196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AMBASADA FILM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143.612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372</w:t>
            </w:r>
            <w:proofErr w:type="spellEnd"/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41984487913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IMPORTANNE RESORT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136.719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42.782</w:t>
            </w:r>
          </w:p>
        </w:tc>
      </w:tr>
      <w:tr w:rsidR="002E489B" w:rsidRPr="0041540F" w:rsidTr="00C260AD">
        <w:trPr>
          <w:trHeight w:val="278"/>
        </w:trPr>
        <w:tc>
          <w:tcPr>
            <w:tcW w:w="510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18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17023134211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HOTEL LIBERTAS d.o.o.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119.152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000000" w:fill="DCE6F1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9.777</w:t>
            </w:r>
          </w:p>
        </w:tc>
      </w:tr>
      <w:tr w:rsidR="009A47AF" w:rsidRPr="0041540F" w:rsidTr="00C260AD">
        <w:trPr>
          <w:trHeight w:val="278"/>
        </w:trPr>
        <w:tc>
          <w:tcPr>
            <w:tcW w:w="6188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10 po ukupn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i</w:t>
            </w:r>
            <w:r w:rsidRPr="0041540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m prihod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ima</w:t>
            </w:r>
          </w:p>
        </w:tc>
        <w:tc>
          <w:tcPr>
            <w:tcW w:w="1049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2.253</w:t>
            </w:r>
            <w:proofErr w:type="spellEnd"/>
          </w:p>
        </w:tc>
        <w:tc>
          <w:tcPr>
            <w:tcW w:w="136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2.488.729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B8CCE4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proofErr w:type="spellStart"/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214.482</w:t>
            </w:r>
            <w:proofErr w:type="spellEnd"/>
          </w:p>
        </w:tc>
      </w:tr>
      <w:tr w:rsidR="009A47AF" w:rsidRPr="0041540F" w:rsidTr="00C260AD">
        <w:trPr>
          <w:trHeight w:val="278"/>
        </w:trPr>
        <w:tc>
          <w:tcPr>
            <w:tcW w:w="6188" w:type="dxa"/>
            <w:gridSpan w:val="3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9A47AF" w:rsidRPr="0041540F" w:rsidRDefault="009A47AF" w:rsidP="008926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SVI po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duzetnici sa sjedištem u Dubrovniku</w:t>
            </w:r>
            <w:r w:rsidRPr="0041540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(2.341)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12.890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8.001.638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597.616</w:t>
            </w:r>
          </w:p>
        </w:tc>
      </w:tr>
      <w:tr w:rsidR="009A47AF" w:rsidRPr="0041540F" w:rsidTr="00C260AD">
        <w:trPr>
          <w:trHeight w:val="278"/>
        </w:trPr>
        <w:tc>
          <w:tcPr>
            <w:tcW w:w="6188" w:type="dxa"/>
            <w:gridSpan w:val="3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A6A6A6"/>
            <w:vAlign w:val="center"/>
          </w:tcPr>
          <w:p w:rsidR="009A47AF" w:rsidRPr="0041540F" w:rsidRDefault="009A47AF" w:rsidP="002A3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TOP 10 poduzetnika po ukupn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</w:t>
            </w:r>
            <w:r w:rsidRPr="0041540F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m prihod</w:t>
            </w: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ima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A6A6A6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17,5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A6A6A6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6A6A6"/>
            <w:noWrap/>
            <w:vAlign w:val="center"/>
            <w:hideMark/>
          </w:tcPr>
          <w:p w:rsidR="009A47AF" w:rsidRPr="0041540F" w:rsidRDefault="009A47AF" w:rsidP="002A39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41540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35,9</w:t>
            </w:r>
          </w:p>
        </w:tc>
      </w:tr>
    </w:tbl>
    <w:p w:rsidR="009A47AF" w:rsidRDefault="009A47AF" w:rsidP="009A47AF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 xml:space="preserve">Izvor: </w:t>
      </w:r>
      <w:r w:rsidR="00E119C4" w:rsidRPr="00617CB8">
        <w:rPr>
          <w:rFonts w:ascii="Arial" w:eastAsia="Calibri" w:hAnsi="Arial" w:cs="Arial"/>
          <w:i/>
          <w:color w:val="003366"/>
          <w:sz w:val="16"/>
          <w:szCs w:val="16"/>
        </w:rPr>
        <w:t>fina</w:t>
      </w: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A47AF" w:rsidRPr="0052517B" w:rsidRDefault="009A47AF" w:rsidP="00C85A01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>Na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jveću dobit razdoblja među poduzetnicima sa sjedištem u Dubrovniku ostvarili su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 xml:space="preserve"> JADRANSKI LUKSUZNI HOTELI d.d.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>95,2 milijuna kuna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), </w:t>
      </w:r>
      <w:r w:rsidRPr="008A15D5">
        <w:rPr>
          <w:rFonts w:ascii="Arial" w:hAnsi="Arial" w:cs="Arial"/>
          <w:color w:val="17365D" w:themeColor="text2" w:themeShade="BF"/>
          <w:sz w:val="20"/>
          <w:szCs w:val="20"/>
        </w:rPr>
        <w:t xml:space="preserve">IMPORTANNE RESORT,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d.o.o.</w:t>
      </w:r>
      <w:r w:rsidR="0040216C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3"/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(42,8 milijuna kuna) i </w:t>
      </w:r>
      <w:r w:rsidRPr="008A15D5">
        <w:rPr>
          <w:rFonts w:ascii="Arial" w:hAnsi="Arial" w:cs="Arial"/>
          <w:color w:val="17365D" w:themeColor="text2" w:themeShade="BF"/>
          <w:sz w:val="20"/>
          <w:szCs w:val="20"/>
        </w:rPr>
        <w:t>PEMO d.o.o. (32,8 milijuna kuna)</w:t>
      </w:r>
      <w:r w:rsidRPr="0052517B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9A47AF" w:rsidRPr="003403C6" w:rsidRDefault="009A47AF" w:rsidP="00C85A01">
      <w:pPr>
        <w:widowControl w:val="0"/>
        <w:tabs>
          <w:tab w:val="left" w:pos="567"/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Slika 1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  <w:t>Prikaz rezultata poslovanja poduzetnika JADRANSKI LUKSUZNI HOTELI d.d.</w:t>
      </w:r>
    </w:p>
    <w:p w:rsidR="009A47AF" w:rsidRPr="00212903" w:rsidRDefault="009A47AF" w:rsidP="009A47AF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</w:pPr>
      <w:r>
        <w:rPr>
          <w:noProof/>
          <w:lang w:eastAsia="hr-HR"/>
        </w:rPr>
        <w:drawing>
          <wp:inline distT="0" distB="0" distL="0" distR="0" wp14:anchorId="214DCADE" wp14:editId="406C703A">
            <wp:extent cx="6228000" cy="2448000"/>
            <wp:effectExtent l="0" t="0" r="1905" b="0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812" r="1332" b="19990"/>
                    <a:stretch/>
                  </pic:blipFill>
                  <pic:spPr bwMode="auto">
                    <a:xfrm>
                      <a:off x="0" y="0"/>
                      <a:ext cx="6228000" cy="24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7AF" w:rsidRDefault="009A47AF" w:rsidP="009A47AF">
      <w:pPr>
        <w:widowControl w:val="0"/>
        <w:spacing w:before="40" w:after="0" w:line="240" w:lineRule="auto"/>
        <w:jc w:val="both"/>
        <w:rPr>
          <w:rStyle w:val="Hiperveza"/>
          <w:rFonts w:ascii="Arial" w:eastAsia="Times New Roman" w:hAnsi="Arial" w:cs="Times New Roman"/>
          <w:i/>
          <w:sz w:val="16"/>
          <w:szCs w:val="16"/>
          <w:lang w:eastAsia="hr-HR"/>
        </w:rPr>
      </w:pPr>
      <w:r w:rsidRPr="00212903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2" w:history="1"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41540F" w:rsidRDefault="0041540F" w:rsidP="00C85A01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Na rang listi gradova i općina RH poduzetnici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Dubrovnika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na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 mjestu po broju poduzetnika (2.341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poduzetnik),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. mjestu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po broju zaposlenih (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12.890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),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11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. mjestu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prema ukupn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>m prihod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ima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8,0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kuna) 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E119C4">
        <w:rPr>
          <w:rFonts w:ascii="Arial" w:hAnsi="Arial" w:cs="Arial"/>
          <w:color w:val="244061" w:themeColor="accent1" w:themeShade="80"/>
          <w:sz w:val="20"/>
          <w:szCs w:val="20"/>
        </w:rPr>
        <w:t>. mjestu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po neto dobiti (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597,6</w:t>
      </w:r>
      <w:r w:rsidRPr="0043601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</w:t>
      </w:r>
    </w:p>
    <w:p w:rsidR="0041540F" w:rsidRPr="006146B3" w:rsidRDefault="0041540F" w:rsidP="00C85A01">
      <w:pPr>
        <w:widowControl w:val="0"/>
        <w:tabs>
          <w:tab w:val="left" w:pos="567"/>
        </w:tabs>
        <w:spacing w:before="180" w:after="0" w:line="240" w:lineRule="auto"/>
        <w:ind w:left="1140" w:hanging="1140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C85A01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bookmarkStart w:id="1" w:name="_GoBack"/>
      <w:bookmarkEnd w:id="1"/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403C6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D43426">
        <w:rPr>
          <w:rFonts w:ascii="Arial" w:hAnsi="Arial" w:cs="Arial"/>
          <w:b/>
          <w:color w:val="244061" w:themeColor="accent1" w:themeShade="80"/>
          <w:sz w:val="18"/>
          <w:szCs w:val="18"/>
        </w:rPr>
        <w:t>Broj poduzetnika, zaposlenih, ukupni prihodi i neto dobit poduzetnika u Dubrovniku, u 2019. godini</w:t>
      </w:r>
      <w:r w:rsidRPr="00D43426">
        <w:t xml:space="preserve"> </w:t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Pr="006146B3">
        <w:rPr>
          <w:rFonts w:ascii="Arial" w:hAnsi="Arial" w:cs="Arial"/>
          <w:i/>
          <w:color w:val="244061" w:themeColor="accent1" w:themeShade="80"/>
          <w:sz w:val="16"/>
          <w:szCs w:val="16"/>
        </w:rPr>
        <w:t>(iznosi u tisućama kuna)</w:t>
      </w:r>
    </w:p>
    <w:tbl>
      <w:tblPr>
        <w:tblW w:w="9694" w:type="dxa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91"/>
        <w:gridCol w:w="964"/>
        <w:gridCol w:w="737"/>
        <w:gridCol w:w="1130"/>
        <w:gridCol w:w="964"/>
        <w:gridCol w:w="739"/>
        <w:gridCol w:w="1247"/>
        <w:gridCol w:w="737"/>
        <w:gridCol w:w="1247"/>
        <w:gridCol w:w="738"/>
      </w:tblGrid>
      <w:tr w:rsidR="00C260AD" w:rsidRPr="00C260AD" w:rsidTr="00C85A01">
        <w:trPr>
          <w:trHeight w:val="283"/>
        </w:trPr>
        <w:tc>
          <w:tcPr>
            <w:tcW w:w="1191" w:type="dxa"/>
            <w:vMerge w:val="restart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grada</w:t>
            </w:r>
          </w:p>
        </w:tc>
        <w:tc>
          <w:tcPr>
            <w:tcW w:w="2831" w:type="dxa"/>
            <w:gridSpan w:val="3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703" w:type="dxa"/>
            <w:gridSpan w:val="2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984" w:type="dxa"/>
            <w:gridSpan w:val="2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985" w:type="dxa"/>
            <w:gridSpan w:val="2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C260AD" w:rsidRPr="00C260AD" w:rsidTr="00C85A01">
        <w:trPr>
          <w:trHeight w:val="397"/>
        </w:trPr>
        <w:tc>
          <w:tcPr>
            <w:tcW w:w="1191" w:type="dxa"/>
            <w:vMerge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shd w:val="clear" w:color="000000" w:fill="244062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Broj</w:t>
            </w:r>
          </w:p>
        </w:tc>
        <w:tc>
          <w:tcPr>
            <w:tcW w:w="737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      u RH</w:t>
            </w:r>
          </w:p>
        </w:tc>
        <w:tc>
          <w:tcPr>
            <w:tcW w:w="1130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po žup. sjedištima</w:t>
            </w:r>
          </w:p>
        </w:tc>
        <w:tc>
          <w:tcPr>
            <w:tcW w:w="964" w:type="dxa"/>
            <w:shd w:val="clear" w:color="000000" w:fill="244062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Broj</w:t>
            </w:r>
          </w:p>
        </w:tc>
        <w:tc>
          <w:tcPr>
            <w:tcW w:w="739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      u RH</w:t>
            </w:r>
          </w:p>
        </w:tc>
        <w:tc>
          <w:tcPr>
            <w:tcW w:w="1247" w:type="dxa"/>
            <w:shd w:val="clear" w:color="000000" w:fill="244062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Iznos</w:t>
            </w:r>
          </w:p>
        </w:tc>
        <w:tc>
          <w:tcPr>
            <w:tcW w:w="737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      u RH</w:t>
            </w:r>
          </w:p>
        </w:tc>
        <w:tc>
          <w:tcPr>
            <w:tcW w:w="1247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Iznos</w:t>
            </w:r>
          </w:p>
        </w:tc>
        <w:tc>
          <w:tcPr>
            <w:tcW w:w="738" w:type="dxa"/>
            <w:shd w:val="clear" w:color="000000" w:fill="244062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      u RH</w:t>
            </w:r>
          </w:p>
        </w:tc>
      </w:tr>
      <w:tr w:rsidR="00C260AD" w:rsidRPr="00C260AD" w:rsidTr="00C85A01">
        <w:trPr>
          <w:trHeight w:val="283"/>
        </w:trPr>
        <w:tc>
          <w:tcPr>
            <w:tcW w:w="1191" w:type="dxa"/>
            <w:shd w:val="clear" w:color="000000" w:fill="DBE5F1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964" w:type="dxa"/>
            <w:shd w:val="clear" w:color="000000" w:fill="DBE5F1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2.341</w:t>
            </w:r>
          </w:p>
        </w:tc>
        <w:tc>
          <w:tcPr>
            <w:tcW w:w="737" w:type="dxa"/>
            <w:shd w:val="clear" w:color="000000" w:fill="D9D9D9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30" w:type="dxa"/>
            <w:shd w:val="clear" w:color="000000" w:fill="DBE5F1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64" w:type="dxa"/>
            <w:shd w:val="clear" w:color="000000" w:fill="DBE5F1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12.890</w:t>
            </w:r>
          </w:p>
        </w:tc>
        <w:tc>
          <w:tcPr>
            <w:tcW w:w="739" w:type="dxa"/>
            <w:shd w:val="clear" w:color="000000" w:fill="D9D9D9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247" w:type="dxa"/>
            <w:shd w:val="clear" w:color="000000" w:fill="DBE5F1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8.001.638</w:t>
            </w:r>
          </w:p>
        </w:tc>
        <w:tc>
          <w:tcPr>
            <w:tcW w:w="737" w:type="dxa"/>
            <w:shd w:val="clear" w:color="000000" w:fill="D9D9D9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247" w:type="dxa"/>
            <w:shd w:val="clear" w:color="000000" w:fill="DBE5F1"/>
            <w:noWrap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597.616</w:t>
            </w:r>
          </w:p>
        </w:tc>
        <w:tc>
          <w:tcPr>
            <w:tcW w:w="738" w:type="dxa"/>
            <w:shd w:val="clear" w:color="000000" w:fill="D9D9D9"/>
            <w:vAlign w:val="center"/>
            <w:hideMark/>
          </w:tcPr>
          <w:p w:rsidR="00C260AD" w:rsidRPr="00C260AD" w:rsidRDefault="00C260AD" w:rsidP="00C2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260AD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</w:t>
            </w:r>
          </w:p>
        </w:tc>
      </w:tr>
    </w:tbl>
    <w:p w:rsidR="0040216C" w:rsidRDefault="0041540F" w:rsidP="00C85A01">
      <w:pPr>
        <w:widowControl w:val="0"/>
        <w:spacing w:before="40" w:after="24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</w:t>
      </w:r>
      <w:r w:rsidR="00E119C4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FINA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tbl>
      <w:tblPr>
        <w:tblW w:w="977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891"/>
        <w:gridCol w:w="1879"/>
      </w:tblGrid>
      <w:tr w:rsidR="00C85A01" w:rsidRPr="00C85A01" w:rsidTr="002A39F5">
        <w:trPr>
          <w:trHeight w:val="1587"/>
          <w:jc w:val="center"/>
        </w:trPr>
        <w:tc>
          <w:tcPr>
            <w:tcW w:w="78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C85A01" w:rsidRPr="00C85A01" w:rsidRDefault="00C85A01" w:rsidP="00C85A01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13" w:history="1">
              <w:r w:rsidRPr="00C85A01">
                <w:rPr>
                  <w:rFonts w:ascii="Calibri" w:eastAsia="Times New Roman" w:hAnsi="Calibri" w:cs="Arial"/>
                  <w:bCs/>
                  <w:i/>
                  <w:color w:val="0000FF"/>
                  <w:sz w:val="19"/>
                  <w:szCs w:val="19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Pr="00C85A01">
              <w:rPr>
                <w:rFonts w:ascii="Calibri" w:eastAsia="Times New Roman" w:hAnsi="Calibri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Pr="00C85A01"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Pr="00C85A01">
              <w:rPr>
                <w:rFonts w:ascii="Calibri" w:eastAsia="Times New Roman" w:hAnsi="Calibri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825.000 poslovnih subjekata iz više od 30 izvora.</w:t>
            </w:r>
            <w:r w:rsidRPr="00C85A01"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C85A01" w:rsidRPr="00C85A01" w:rsidRDefault="00C85A01" w:rsidP="00C85A01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ascii="Calibri" w:eastAsia="Calibri" w:hAnsi="Calibri" w:cs="Arial"/>
                <w:i/>
                <w:color w:val="007AFF"/>
                <w:sz w:val="19"/>
                <w:szCs w:val="19"/>
              </w:rPr>
            </w:pPr>
            <w:r w:rsidRPr="00C85A01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14" w:history="1">
              <w:r w:rsidRPr="00C85A01">
                <w:rPr>
                  <w:rFonts w:ascii="Calibri" w:eastAsia="Calibri" w:hAnsi="Calibri" w:cs="Arial"/>
                  <w:i/>
                  <w:color w:val="0000FF"/>
                  <w:sz w:val="19"/>
                  <w:szCs w:val="19"/>
                  <w:u w:val="single"/>
                </w:rPr>
                <w:t>prodaja@</w:t>
              </w:r>
              <w:proofErr w:type="spellStart"/>
              <w:r w:rsidRPr="00C85A01">
                <w:rPr>
                  <w:rFonts w:ascii="Calibri" w:eastAsia="Calibri" w:hAnsi="Calibri" w:cs="Arial"/>
                  <w:i/>
                  <w:color w:val="0000FF"/>
                  <w:sz w:val="19"/>
                  <w:szCs w:val="19"/>
                  <w:u w:val="single"/>
                </w:rPr>
                <w:t>fina.hr</w:t>
              </w:r>
              <w:proofErr w:type="spellEnd"/>
            </w:hyperlink>
            <w:r w:rsidRPr="00C85A01">
              <w:rPr>
                <w:rFonts w:ascii="Calibri" w:eastAsia="Calibri" w:hAnsi="Calibri" w:cs="Arial"/>
                <w:i/>
                <w:color w:val="007AFF"/>
                <w:sz w:val="19"/>
                <w:szCs w:val="19"/>
              </w:rPr>
              <w:t xml:space="preserve">  </w:t>
            </w:r>
          </w:p>
          <w:p w:rsidR="00C85A01" w:rsidRPr="00C85A01" w:rsidRDefault="00C85A01" w:rsidP="00C85A01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Calibri" w:eastAsia="Calibri" w:hAnsi="Calibri"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C85A01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trebate korisničku podršku: </w:t>
            </w:r>
            <w:proofErr w:type="spellStart"/>
            <w:r w:rsidRPr="00C85A01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>0800</w:t>
            </w:r>
            <w:proofErr w:type="spellEnd"/>
            <w:r w:rsidRPr="00C85A01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 </w:t>
            </w:r>
            <w:proofErr w:type="spellStart"/>
            <w:r w:rsidRPr="00C85A01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>0080</w:t>
            </w:r>
            <w:proofErr w:type="spellEnd"/>
            <w:r w:rsidRPr="00C85A01">
              <w:rPr>
                <w:rFonts w:ascii="Calibri" w:eastAsia="Calibri" w:hAnsi="Calibri"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15" w:history="1">
              <w:proofErr w:type="spellStart"/>
              <w:r w:rsidRPr="00C85A01">
                <w:rPr>
                  <w:rFonts w:ascii="Calibri" w:eastAsia="Calibri" w:hAnsi="Calibri" w:cs="Arial"/>
                  <w:i/>
                  <w:color w:val="007AFF"/>
                  <w:sz w:val="19"/>
                  <w:szCs w:val="19"/>
                  <w:u w:val="single"/>
                </w:rPr>
                <w:t>info</w:t>
              </w:r>
              <w:proofErr w:type="spellEnd"/>
              <w:r w:rsidRPr="00C85A01">
                <w:rPr>
                  <w:rFonts w:ascii="Calibri" w:eastAsia="Calibri" w:hAnsi="Calibri" w:cs="Arial"/>
                  <w:i/>
                  <w:color w:val="007AFF"/>
                  <w:sz w:val="19"/>
                  <w:szCs w:val="19"/>
                  <w:u w:val="single"/>
                </w:rPr>
                <w:t>@</w:t>
              </w:r>
              <w:proofErr w:type="spellStart"/>
              <w:r w:rsidRPr="00C85A01">
                <w:rPr>
                  <w:rFonts w:ascii="Calibri" w:eastAsia="Calibri" w:hAnsi="Calibri" w:cs="Arial"/>
                  <w:i/>
                  <w:color w:val="007AFF"/>
                  <w:sz w:val="19"/>
                  <w:szCs w:val="19"/>
                  <w:u w:val="single"/>
                </w:rPr>
                <w:t>fina.hr</w:t>
              </w:r>
              <w:proofErr w:type="spellEnd"/>
            </w:hyperlink>
          </w:p>
        </w:tc>
        <w:tc>
          <w:tcPr>
            <w:tcW w:w="18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C85A01" w:rsidRPr="00C85A01" w:rsidRDefault="00C85A01" w:rsidP="00C85A01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</w:rPr>
            </w:pPr>
            <w:r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105535" cy="1008000"/>
                  <wp:effectExtent l="0" t="0" r="0" b="1905"/>
                  <wp:docPr id="4" name="Slik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A01" w:rsidRPr="00C85A01" w:rsidRDefault="00C85A01" w:rsidP="00C85A01">
      <w:pPr>
        <w:widowControl w:val="0"/>
        <w:spacing w:before="40" w:after="120" w:line="240" w:lineRule="auto"/>
        <w:jc w:val="both"/>
        <w:rPr>
          <w:rFonts w:ascii="Arial" w:eastAsia="Calibri" w:hAnsi="Arial" w:cs="Arial"/>
          <w:color w:val="244061"/>
          <w:sz w:val="16"/>
          <w:szCs w:val="16"/>
          <w:lang w:eastAsia="hr-HR"/>
        </w:rPr>
      </w:pPr>
    </w:p>
    <w:sectPr w:rsidR="00C85A01" w:rsidRPr="00C85A01" w:rsidSect="00366318">
      <w:headerReference w:type="default" r:id="rId17"/>
      <w:pgSz w:w="11906" w:h="16838"/>
      <w:pgMar w:top="907" w:right="1021" w:bottom="907" w:left="1021" w:header="567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1C" w:rsidRDefault="00D3191C" w:rsidP="008E7389">
      <w:pPr>
        <w:spacing w:after="0" w:line="240" w:lineRule="auto"/>
      </w:pPr>
      <w:r>
        <w:separator/>
      </w:r>
    </w:p>
  </w:endnote>
  <w:endnote w:type="continuationSeparator" w:id="0">
    <w:p w:rsidR="00D3191C" w:rsidRDefault="00D3191C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1C" w:rsidRDefault="00D3191C" w:rsidP="008E7389">
      <w:pPr>
        <w:spacing w:after="0" w:line="240" w:lineRule="auto"/>
      </w:pPr>
      <w:r>
        <w:separator/>
      </w:r>
    </w:p>
  </w:footnote>
  <w:footnote w:type="continuationSeparator" w:id="0">
    <w:p w:rsidR="00D3191C" w:rsidRDefault="00D3191C" w:rsidP="008E7389">
      <w:pPr>
        <w:spacing w:after="0" w:line="240" w:lineRule="auto"/>
      </w:pPr>
      <w:r>
        <w:continuationSeparator/>
      </w:r>
    </w:p>
  </w:footnote>
  <w:footnote w:id="1">
    <w:p w:rsidR="00EB7A3A" w:rsidRPr="000A765C" w:rsidRDefault="00EB7A3A" w:rsidP="006A1ED7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Serija podataka u tablici za sve godine prikazana je iz godišnjeg financijskog izvještaja iz kolone tekuće godine.</w:t>
      </w:r>
    </w:p>
  </w:footnote>
  <w:footnote w:id="2">
    <w:p w:rsidR="00FD1A47" w:rsidRPr="000A765C" w:rsidRDefault="00FD1A47" w:rsidP="00C260AD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Podaci i</w:t>
      </w:r>
      <w:r w:rsidR="002F1992">
        <w:rPr>
          <w:rFonts w:ascii="Arial" w:hAnsi="Arial" w:cs="Arial"/>
          <w:color w:val="244061" w:themeColor="accent1" w:themeShade="80"/>
          <w:sz w:val="16"/>
          <w:szCs w:val="16"/>
        </w:rPr>
        <w:t>z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GFI-</w:t>
      </w:r>
      <w:r w:rsidR="002F1992">
        <w:rPr>
          <w:rFonts w:ascii="Arial" w:hAnsi="Arial" w:cs="Arial"/>
          <w:color w:val="244061" w:themeColor="accent1" w:themeShade="80"/>
          <w:sz w:val="16"/>
          <w:szCs w:val="16"/>
        </w:rPr>
        <w:t>a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za 201</w:t>
      </w:r>
      <w:r w:rsidR="007F05A3">
        <w:rPr>
          <w:rFonts w:ascii="Arial" w:hAnsi="Arial" w:cs="Arial"/>
          <w:color w:val="244061" w:themeColor="accent1" w:themeShade="80"/>
          <w:sz w:val="16"/>
          <w:szCs w:val="16"/>
        </w:rPr>
        <w:t>9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. godinu, koji se odnose na prethodnu, 201</w:t>
      </w:r>
      <w:r w:rsidR="007F05A3">
        <w:rPr>
          <w:rFonts w:ascii="Arial" w:hAnsi="Arial" w:cs="Arial"/>
          <w:color w:val="244061" w:themeColor="accent1" w:themeShade="80"/>
          <w:sz w:val="16"/>
          <w:szCs w:val="16"/>
        </w:rPr>
        <w:t>8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. godinu.</w:t>
      </w:r>
    </w:p>
  </w:footnote>
  <w:footnote w:id="3">
    <w:p w:rsidR="0040216C" w:rsidRPr="00C85A01" w:rsidRDefault="0040216C">
      <w:pPr>
        <w:pStyle w:val="Tekstfusnote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C85A01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C85A0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 xml:space="preserve">Sveukupni pobjednik i dobitnik </w:t>
      </w:r>
      <w:r w:rsidRPr="00C85A01">
        <w:rPr>
          <w:rFonts w:ascii="Arial" w:hAnsi="Arial" w:cs="Arial"/>
          <w:b/>
          <w:color w:val="244061" w:themeColor="accent1" w:themeShade="80"/>
          <w:sz w:val="17"/>
          <w:szCs w:val="17"/>
          <w:shd w:val="clear" w:color="auto" w:fill="FFFFFF"/>
        </w:rPr>
        <w:t>Zlatne bilance</w:t>
      </w:r>
      <w:r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 xml:space="preserve"> za najuspješnijeg poduzetnika prema financijskom rejtingu u 2019. g</w:t>
      </w:r>
      <w:r w:rsidR="00C260AD"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>odini</w:t>
      </w:r>
      <w:r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 xml:space="preserve"> je </w:t>
      </w:r>
      <w:r w:rsidRPr="00C85A01">
        <w:rPr>
          <w:rStyle w:val="Naglaeno"/>
          <w:rFonts w:ascii="Arial" w:hAnsi="Arial" w:cs="Arial"/>
          <w:b w:val="0"/>
          <w:color w:val="244061" w:themeColor="accent1" w:themeShade="80"/>
          <w:sz w:val="17"/>
          <w:szCs w:val="17"/>
          <w:shd w:val="clear" w:color="auto" w:fill="FFFFFF"/>
        </w:rPr>
        <w:t>Importanne Resort d.o.o.</w:t>
      </w:r>
      <w:r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 xml:space="preserve">, ujedno i dobitnik Zlatne bilance za najuspješnije poduzeće u 2019. g. u djelatnosti pružanja smještaja te pripreme i usluživanja hrane. Izvor: FINA, </w:t>
      </w:r>
      <w:hyperlink r:id="rId1" w:history="1">
        <w:r w:rsidRPr="00C85A01">
          <w:rPr>
            <w:rStyle w:val="Hiperveza"/>
            <w:rFonts w:ascii="Arial" w:hAnsi="Arial" w:cs="Arial"/>
            <w:color w:val="000080" w:themeColor="hyperlink" w:themeShade="80"/>
            <w:sz w:val="17"/>
            <w:szCs w:val="17"/>
            <w:shd w:val="clear" w:color="auto" w:fill="FFFFFF"/>
          </w:rPr>
          <w:t>https://www.fina.hr/-/najuspjesnijim-poduzetnicima-u-2019.-godini-dodijeljene-nagrade-zlatna-bilanca</w:t>
        </w:r>
      </w:hyperlink>
      <w:r w:rsidRPr="00C85A01">
        <w:rPr>
          <w:rFonts w:ascii="Arial" w:hAnsi="Arial" w:cs="Arial"/>
          <w:color w:val="244061" w:themeColor="accent1" w:themeShade="80"/>
          <w:sz w:val="17"/>
          <w:szCs w:val="17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5AB8829" wp14:editId="7093568C">
          <wp:extent cx="996315" cy="218440"/>
          <wp:effectExtent l="0" t="0" r="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4DE9"/>
    <w:rsid w:val="00030D69"/>
    <w:rsid w:val="00032580"/>
    <w:rsid w:val="00032B44"/>
    <w:rsid w:val="000462BD"/>
    <w:rsid w:val="0005562A"/>
    <w:rsid w:val="000558B6"/>
    <w:rsid w:val="00056457"/>
    <w:rsid w:val="00056E81"/>
    <w:rsid w:val="0007246D"/>
    <w:rsid w:val="000773CF"/>
    <w:rsid w:val="000776CA"/>
    <w:rsid w:val="00086166"/>
    <w:rsid w:val="00091985"/>
    <w:rsid w:val="000942E9"/>
    <w:rsid w:val="000A080B"/>
    <w:rsid w:val="000A35EA"/>
    <w:rsid w:val="000A44B9"/>
    <w:rsid w:val="000A765C"/>
    <w:rsid w:val="000A76C4"/>
    <w:rsid w:val="000D5B06"/>
    <w:rsid w:val="000D7047"/>
    <w:rsid w:val="000D7687"/>
    <w:rsid w:val="000E01AD"/>
    <w:rsid w:val="000E2659"/>
    <w:rsid w:val="000F3063"/>
    <w:rsid w:val="000F3B4D"/>
    <w:rsid w:val="000F66C5"/>
    <w:rsid w:val="001037C7"/>
    <w:rsid w:val="001050D2"/>
    <w:rsid w:val="00105822"/>
    <w:rsid w:val="00106E72"/>
    <w:rsid w:val="0010723D"/>
    <w:rsid w:val="001206F3"/>
    <w:rsid w:val="00132FFE"/>
    <w:rsid w:val="00144F8C"/>
    <w:rsid w:val="0015263E"/>
    <w:rsid w:val="0015427A"/>
    <w:rsid w:val="001549FF"/>
    <w:rsid w:val="0015519D"/>
    <w:rsid w:val="001671FC"/>
    <w:rsid w:val="001711EE"/>
    <w:rsid w:val="00172F70"/>
    <w:rsid w:val="001754B1"/>
    <w:rsid w:val="00181BDD"/>
    <w:rsid w:val="00191E1B"/>
    <w:rsid w:val="001949D8"/>
    <w:rsid w:val="001A264F"/>
    <w:rsid w:val="001A4055"/>
    <w:rsid w:val="001A40C6"/>
    <w:rsid w:val="001B0B7F"/>
    <w:rsid w:val="001B0BF5"/>
    <w:rsid w:val="001B3261"/>
    <w:rsid w:val="001B450C"/>
    <w:rsid w:val="001B6F18"/>
    <w:rsid w:val="001C045D"/>
    <w:rsid w:val="001D1D5F"/>
    <w:rsid w:val="001D5EBA"/>
    <w:rsid w:val="001D7392"/>
    <w:rsid w:val="001E01F2"/>
    <w:rsid w:val="001E5718"/>
    <w:rsid w:val="001F0155"/>
    <w:rsid w:val="001F391F"/>
    <w:rsid w:val="001F7D1D"/>
    <w:rsid w:val="002072AF"/>
    <w:rsid w:val="00212903"/>
    <w:rsid w:val="00216C69"/>
    <w:rsid w:val="002208BC"/>
    <w:rsid w:val="00222883"/>
    <w:rsid w:val="00225BEC"/>
    <w:rsid w:val="0023271A"/>
    <w:rsid w:val="002366DF"/>
    <w:rsid w:val="002400C7"/>
    <w:rsid w:val="002452EF"/>
    <w:rsid w:val="00251B41"/>
    <w:rsid w:val="00260EF0"/>
    <w:rsid w:val="00264945"/>
    <w:rsid w:val="00270077"/>
    <w:rsid w:val="0027247E"/>
    <w:rsid w:val="00275A2F"/>
    <w:rsid w:val="00276D16"/>
    <w:rsid w:val="00282180"/>
    <w:rsid w:val="00285C48"/>
    <w:rsid w:val="0029285A"/>
    <w:rsid w:val="00292AFB"/>
    <w:rsid w:val="00293DD3"/>
    <w:rsid w:val="002942E4"/>
    <w:rsid w:val="002A20D7"/>
    <w:rsid w:val="002A2337"/>
    <w:rsid w:val="002A5C78"/>
    <w:rsid w:val="002B2772"/>
    <w:rsid w:val="002B27EE"/>
    <w:rsid w:val="002B3BED"/>
    <w:rsid w:val="002B453C"/>
    <w:rsid w:val="002B5CD4"/>
    <w:rsid w:val="002B6436"/>
    <w:rsid w:val="002C13DB"/>
    <w:rsid w:val="002C4E15"/>
    <w:rsid w:val="002C6F8C"/>
    <w:rsid w:val="002E05C8"/>
    <w:rsid w:val="002E489B"/>
    <w:rsid w:val="002E5E65"/>
    <w:rsid w:val="002F1992"/>
    <w:rsid w:val="002F2D18"/>
    <w:rsid w:val="002F78BF"/>
    <w:rsid w:val="003004CC"/>
    <w:rsid w:val="0030233D"/>
    <w:rsid w:val="00305F99"/>
    <w:rsid w:val="00310CE9"/>
    <w:rsid w:val="00315A2B"/>
    <w:rsid w:val="0031699B"/>
    <w:rsid w:val="00320F16"/>
    <w:rsid w:val="00321BE9"/>
    <w:rsid w:val="00322C28"/>
    <w:rsid w:val="003254DB"/>
    <w:rsid w:val="0032610D"/>
    <w:rsid w:val="00326B7B"/>
    <w:rsid w:val="00331EB8"/>
    <w:rsid w:val="003365CB"/>
    <w:rsid w:val="00337736"/>
    <w:rsid w:val="00337934"/>
    <w:rsid w:val="003403C6"/>
    <w:rsid w:val="00346B2A"/>
    <w:rsid w:val="00357653"/>
    <w:rsid w:val="0036105B"/>
    <w:rsid w:val="00364A39"/>
    <w:rsid w:val="00366318"/>
    <w:rsid w:val="00370213"/>
    <w:rsid w:val="00371B92"/>
    <w:rsid w:val="0037362D"/>
    <w:rsid w:val="00390572"/>
    <w:rsid w:val="00394D9B"/>
    <w:rsid w:val="00397D36"/>
    <w:rsid w:val="003A1AC7"/>
    <w:rsid w:val="003B4ADF"/>
    <w:rsid w:val="003B6344"/>
    <w:rsid w:val="003C0074"/>
    <w:rsid w:val="003C116E"/>
    <w:rsid w:val="003D2967"/>
    <w:rsid w:val="003D2FA0"/>
    <w:rsid w:val="003E0BB4"/>
    <w:rsid w:val="003E31F5"/>
    <w:rsid w:val="003E393A"/>
    <w:rsid w:val="003E6262"/>
    <w:rsid w:val="003E64C6"/>
    <w:rsid w:val="003E693C"/>
    <w:rsid w:val="003F4F7E"/>
    <w:rsid w:val="00401405"/>
    <w:rsid w:val="0040216C"/>
    <w:rsid w:val="0040439E"/>
    <w:rsid w:val="004075B5"/>
    <w:rsid w:val="00407929"/>
    <w:rsid w:val="0041540F"/>
    <w:rsid w:val="00431711"/>
    <w:rsid w:val="00431C82"/>
    <w:rsid w:val="00432185"/>
    <w:rsid w:val="0043302F"/>
    <w:rsid w:val="004344D3"/>
    <w:rsid w:val="00436018"/>
    <w:rsid w:val="004516C6"/>
    <w:rsid w:val="004565AD"/>
    <w:rsid w:val="0045692E"/>
    <w:rsid w:val="004664D4"/>
    <w:rsid w:val="004665CB"/>
    <w:rsid w:val="00466FEA"/>
    <w:rsid w:val="004727AD"/>
    <w:rsid w:val="004749CC"/>
    <w:rsid w:val="004762F8"/>
    <w:rsid w:val="00487B54"/>
    <w:rsid w:val="00491B27"/>
    <w:rsid w:val="004946AC"/>
    <w:rsid w:val="00497470"/>
    <w:rsid w:val="004A2C93"/>
    <w:rsid w:val="004B093C"/>
    <w:rsid w:val="004B3663"/>
    <w:rsid w:val="004B6887"/>
    <w:rsid w:val="004B7F34"/>
    <w:rsid w:val="004C11B6"/>
    <w:rsid w:val="004C6E94"/>
    <w:rsid w:val="004C7511"/>
    <w:rsid w:val="004D07C8"/>
    <w:rsid w:val="004D191D"/>
    <w:rsid w:val="004E1B0C"/>
    <w:rsid w:val="004E48C3"/>
    <w:rsid w:val="004F0191"/>
    <w:rsid w:val="004F3E69"/>
    <w:rsid w:val="004F4C96"/>
    <w:rsid w:val="004F6B5E"/>
    <w:rsid w:val="004F6F5D"/>
    <w:rsid w:val="004F7B3C"/>
    <w:rsid w:val="005011C9"/>
    <w:rsid w:val="00504E94"/>
    <w:rsid w:val="005059EA"/>
    <w:rsid w:val="0051465F"/>
    <w:rsid w:val="00521BFD"/>
    <w:rsid w:val="00523A67"/>
    <w:rsid w:val="0052517B"/>
    <w:rsid w:val="005257CD"/>
    <w:rsid w:val="00534953"/>
    <w:rsid w:val="00535869"/>
    <w:rsid w:val="005359D2"/>
    <w:rsid w:val="00541DE8"/>
    <w:rsid w:val="00544CF5"/>
    <w:rsid w:val="005517C3"/>
    <w:rsid w:val="00560DE5"/>
    <w:rsid w:val="00562DC6"/>
    <w:rsid w:val="00573D63"/>
    <w:rsid w:val="00581166"/>
    <w:rsid w:val="00583831"/>
    <w:rsid w:val="00591418"/>
    <w:rsid w:val="00593BD6"/>
    <w:rsid w:val="005A1915"/>
    <w:rsid w:val="005A4452"/>
    <w:rsid w:val="005A5935"/>
    <w:rsid w:val="005A6943"/>
    <w:rsid w:val="005A77D2"/>
    <w:rsid w:val="005B307B"/>
    <w:rsid w:val="005B7A47"/>
    <w:rsid w:val="005B7DE2"/>
    <w:rsid w:val="005C03C7"/>
    <w:rsid w:val="005C1DF2"/>
    <w:rsid w:val="005C5C47"/>
    <w:rsid w:val="005D29E9"/>
    <w:rsid w:val="005E1AA3"/>
    <w:rsid w:val="005E36A0"/>
    <w:rsid w:val="005F0065"/>
    <w:rsid w:val="005F4045"/>
    <w:rsid w:val="005F4CD2"/>
    <w:rsid w:val="005F730F"/>
    <w:rsid w:val="005F7AA8"/>
    <w:rsid w:val="006035BD"/>
    <w:rsid w:val="00605211"/>
    <w:rsid w:val="00605509"/>
    <w:rsid w:val="006146B3"/>
    <w:rsid w:val="00614F57"/>
    <w:rsid w:val="00617658"/>
    <w:rsid w:val="00617CB8"/>
    <w:rsid w:val="0062506B"/>
    <w:rsid w:val="00626B41"/>
    <w:rsid w:val="00632811"/>
    <w:rsid w:val="00634BA9"/>
    <w:rsid w:val="006405CA"/>
    <w:rsid w:val="006479EA"/>
    <w:rsid w:val="00652B3B"/>
    <w:rsid w:val="006600AF"/>
    <w:rsid w:val="00662EAE"/>
    <w:rsid w:val="00666090"/>
    <w:rsid w:val="00666461"/>
    <w:rsid w:val="00680232"/>
    <w:rsid w:val="00681F50"/>
    <w:rsid w:val="00691396"/>
    <w:rsid w:val="00692E66"/>
    <w:rsid w:val="006A043D"/>
    <w:rsid w:val="006A1ED7"/>
    <w:rsid w:val="006A763B"/>
    <w:rsid w:val="006B1195"/>
    <w:rsid w:val="006B15CE"/>
    <w:rsid w:val="006B17EF"/>
    <w:rsid w:val="006B6862"/>
    <w:rsid w:val="006B7677"/>
    <w:rsid w:val="006C2AE8"/>
    <w:rsid w:val="006C2C83"/>
    <w:rsid w:val="006C4C02"/>
    <w:rsid w:val="006D1748"/>
    <w:rsid w:val="006D542E"/>
    <w:rsid w:val="006D74E3"/>
    <w:rsid w:val="006F1556"/>
    <w:rsid w:val="006F6350"/>
    <w:rsid w:val="006F63EE"/>
    <w:rsid w:val="00700000"/>
    <w:rsid w:val="007033DF"/>
    <w:rsid w:val="007052DA"/>
    <w:rsid w:val="00711158"/>
    <w:rsid w:val="007136A7"/>
    <w:rsid w:val="00713C44"/>
    <w:rsid w:val="00713E71"/>
    <w:rsid w:val="00715308"/>
    <w:rsid w:val="007313DF"/>
    <w:rsid w:val="007317D6"/>
    <w:rsid w:val="00731DCF"/>
    <w:rsid w:val="00733A0F"/>
    <w:rsid w:val="0074134F"/>
    <w:rsid w:val="00753EAC"/>
    <w:rsid w:val="007540CA"/>
    <w:rsid w:val="0075454F"/>
    <w:rsid w:val="007575DE"/>
    <w:rsid w:val="00765899"/>
    <w:rsid w:val="00765B5C"/>
    <w:rsid w:val="007674C3"/>
    <w:rsid w:val="0077416B"/>
    <w:rsid w:val="00774DA1"/>
    <w:rsid w:val="00780141"/>
    <w:rsid w:val="00780E67"/>
    <w:rsid w:val="00787480"/>
    <w:rsid w:val="0079018E"/>
    <w:rsid w:val="00793E44"/>
    <w:rsid w:val="007A08C5"/>
    <w:rsid w:val="007A37F9"/>
    <w:rsid w:val="007A3E1D"/>
    <w:rsid w:val="007A6DA1"/>
    <w:rsid w:val="007B7A52"/>
    <w:rsid w:val="007B7E7E"/>
    <w:rsid w:val="007C0664"/>
    <w:rsid w:val="007C0BD7"/>
    <w:rsid w:val="007C257E"/>
    <w:rsid w:val="007C2D38"/>
    <w:rsid w:val="007D1BE1"/>
    <w:rsid w:val="007D37C4"/>
    <w:rsid w:val="007D72C1"/>
    <w:rsid w:val="007E31A6"/>
    <w:rsid w:val="007E718C"/>
    <w:rsid w:val="007E7194"/>
    <w:rsid w:val="007F05A3"/>
    <w:rsid w:val="007F25AD"/>
    <w:rsid w:val="007F341C"/>
    <w:rsid w:val="007F52DD"/>
    <w:rsid w:val="007F5C26"/>
    <w:rsid w:val="00810769"/>
    <w:rsid w:val="00812E69"/>
    <w:rsid w:val="008246F8"/>
    <w:rsid w:val="008365C1"/>
    <w:rsid w:val="00842599"/>
    <w:rsid w:val="008448C8"/>
    <w:rsid w:val="008579C0"/>
    <w:rsid w:val="008722B9"/>
    <w:rsid w:val="00877B38"/>
    <w:rsid w:val="00885B9B"/>
    <w:rsid w:val="00890B86"/>
    <w:rsid w:val="00892654"/>
    <w:rsid w:val="008A15B9"/>
    <w:rsid w:val="008A15D5"/>
    <w:rsid w:val="008B4E3D"/>
    <w:rsid w:val="008C22CF"/>
    <w:rsid w:val="008C342E"/>
    <w:rsid w:val="008C575E"/>
    <w:rsid w:val="008D0D8B"/>
    <w:rsid w:val="008D4E65"/>
    <w:rsid w:val="008D52D2"/>
    <w:rsid w:val="008E7389"/>
    <w:rsid w:val="008F1117"/>
    <w:rsid w:val="008F1E24"/>
    <w:rsid w:val="008F4D6E"/>
    <w:rsid w:val="00901679"/>
    <w:rsid w:val="00901842"/>
    <w:rsid w:val="00916ABD"/>
    <w:rsid w:val="009243B9"/>
    <w:rsid w:val="00925CB8"/>
    <w:rsid w:val="00934B2B"/>
    <w:rsid w:val="00934E6A"/>
    <w:rsid w:val="00936CEB"/>
    <w:rsid w:val="009410C5"/>
    <w:rsid w:val="009423D4"/>
    <w:rsid w:val="00944C9D"/>
    <w:rsid w:val="009456AA"/>
    <w:rsid w:val="009465D1"/>
    <w:rsid w:val="00950C65"/>
    <w:rsid w:val="009519D9"/>
    <w:rsid w:val="009550E4"/>
    <w:rsid w:val="00970C89"/>
    <w:rsid w:val="00972390"/>
    <w:rsid w:val="009774F2"/>
    <w:rsid w:val="00982F7B"/>
    <w:rsid w:val="00986E8F"/>
    <w:rsid w:val="009958C5"/>
    <w:rsid w:val="009962B2"/>
    <w:rsid w:val="00996E8B"/>
    <w:rsid w:val="009A346E"/>
    <w:rsid w:val="009A47AF"/>
    <w:rsid w:val="009A72EC"/>
    <w:rsid w:val="009B04AD"/>
    <w:rsid w:val="009B34F6"/>
    <w:rsid w:val="009B6B6A"/>
    <w:rsid w:val="009C29AF"/>
    <w:rsid w:val="009C2ABA"/>
    <w:rsid w:val="009C4557"/>
    <w:rsid w:val="009D5EA3"/>
    <w:rsid w:val="009D7609"/>
    <w:rsid w:val="009E16EC"/>
    <w:rsid w:val="009E584F"/>
    <w:rsid w:val="00A028A1"/>
    <w:rsid w:val="00A02A9D"/>
    <w:rsid w:val="00A02AB3"/>
    <w:rsid w:val="00A0700D"/>
    <w:rsid w:val="00A12699"/>
    <w:rsid w:val="00A2609C"/>
    <w:rsid w:val="00A30826"/>
    <w:rsid w:val="00A3114C"/>
    <w:rsid w:val="00A31C59"/>
    <w:rsid w:val="00A323DF"/>
    <w:rsid w:val="00A324E2"/>
    <w:rsid w:val="00A335CC"/>
    <w:rsid w:val="00A37DE7"/>
    <w:rsid w:val="00A437A5"/>
    <w:rsid w:val="00A51470"/>
    <w:rsid w:val="00A564B1"/>
    <w:rsid w:val="00A61112"/>
    <w:rsid w:val="00A61724"/>
    <w:rsid w:val="00A64A4A"/>
    <w:rsid w:val="00A66357"/>
    <w:rsid w:val="00A71B19"/>
    <w:rsid w:val="00A7394D"/>
    <w:rsid w:val="00A93124"/>
    <w:rsid w:val="00A9552D"/>
    <w:rsid w:val="00A95B34"/>
    <w:rsid w:val="00A95E07"/>
    <w:rsid w:val="00A97F26"/>
    <w:rsid w:val="00AA7B71"/>
    <w:rsid w:val="00AB577C"/>
    <w:rsid w:val="00AC4510"/>
    <w:rsid w:val="00AC66EB"/>
    <w:rsid w:val="00AD0A58"/>
    <w:rsid w:val="00AD60DF"/>
    <w:rsid w:val="00AE2795"/>
    <w:rsid w:val="00AE68CC"/>
    <w:rsid w:val="00AF07B9"/>
    <w:rsid w:val="00AF1B08"/>
    <w:rsid w:val="00AF4A88"/>
    <w:rsid w:val="00B00EE2"/>
    <w:rsid w:val="00B03B44"/>
    <w:rsid w:val="00B06217"/>
    <w:rsid w:val="00B11EC4"/>
    <w:rsid w:val="00B205FA"/>
    <w:rsid w:val="00B20D15"/>
    <w:rsid w:val="00B22FEA"/>
    <w:rsid w:val="00B3418F"/>
    <w:rsid w:val="00B3552D"/>
    <w:rsid w:val="00B45170"/>
    <w:rsid w:val="00B468B1"/>
    <w:rsid w:val="00B46D49"/>
    <w:rsid w:val="00B57116"/>
    <w:rsid w:val="00B6116B"/>
    <w:rsid w:val="00B658DC"/>
    <w:rsid w:val="00B74C1B"/>
    <w:rsid w:val="00B75150"/>
    <w:rsid w:val="00B81CA7"/>
    <w:rsid w:val="00B83E85"/>
    <w:rsid w:val="00B86BFB"/>
    <w:rsid w:val="00B94BAF"/>
    <w:rsid w:val="00B952AA"/>
    <w:rsid w:val="00BA0F3D"/>
    <w:rsid w:val="00BA5704"/>
    <w:rsid w:val="00BB09C6"/>
    <w:rsid w:val="00BC1F0C"/>
    <w:rsid w:val="00BC3BAF"/>
    <w:rsid w:val="00BE4D9C"/>
    <w:rsid w:val="00BE7AAE"/>
    <w:rsid w:val="00BF0F3D"/>
    <w:rsid w:val="00BF6698"/>
    <w:rsid w:val="00C001D3"/>
    <w:rsid w:val="00C009B4"/>
    <w:rsid w:val="00C0423D"/>
    <w:rsid w:val="00C06607"/>
    <w:rsid w:val="00C10538"/>
    <w:rsid w:val="00C116EC"/>
    <w:rsid w:val="00C123B9"/>
    <w:rsid w:val="00C13D72"/>
    <w:rsid w:val="00C1675D"/>
    <w:rsid w:val="00C24AC9"/>
    <w:rsid w:val="00C25264"/>
    <w:rsid w:val="00C25E25"/>
    <w:rsid w:val="00C260AD"/>
    <w:rsid w:val="00C343B3"/>
    <w:rsid w:val="00C35193"/>
    <w:rsid w:val="00C354E8"/>
    <w:rsid w:val="00C35D0E"/>
    <w:rsid w:val="00C360F8"/>
    <w:rsid w:val="00C51CF6"/>
    <w:rsid w:val="00C549F8"/>
    <w:rsid w:val="00C620CD"/>
    <w:rsid w:val="00C74919"/>
    <w:rsid w:val="00C768DB"/>
    <w:rsid w:val="00C8090C"/>
    <w:rsid w:val="00C8410D"/>
    <w:rsid w:val="00C85A01"/>
    <w:rsid w:val="00C905BF"/>
    <w:rsid w:val="00C96015"/>
    <w:rsid w:val="00CA53A9"/>
    <w:rsid w:val="00CA7CD9"/>
    <w:rsid w:val="00CB4EF6"/>
    <w:rsid w:val="00CB4F88"/>
    <w:rsid w:val="00CC266E"/>
    <w:rsid w:val="00CC3877"/>
    <w:rsid w:val="00CC6D8C"/>
    <w:rsid w:val="00CD212B"/>
    <w:rsid w:val="00CD509C"/>
    <w:rsid w:val="00CD535D"/>
    <w:rsid w:val="00CD664A"/>
    <w:rsid w:val="00CD78CC"/>
    <w:rsid w:val="00CE170A"/>
    <w:rsid w:val="00CE3F60"/>
    <w:rsid w:val="00CE4FEA"/>
    <w:rsid w:val="00CE759E"/>
    <w:rsid w:val="00CF1A71"/>
    <w:rsid w:val="00CF6ACA"/>
    <w:rsid w:val="00D116D7"/>
    <w:rsid w:val="00D11A71"/>
    <w:rsid w:val="00D13B47"/>
    <w:rsid w:val="00D1505F"/>
    <w:rsid w:val="00D15E6C"/>
    <w:rsid w:val="00D17AD0"/>
    <w:rsid w:val="00D200BD"/>
    <w:rsid w:val="00D203A6"/>
    <w:rsid w:val="00D22921"/>
    <w:rsid w:val="00D2730C"/>
    <w:rsid w:val="00D3121B"/>
    <w:rsid w:val="00D3191C"/>
    <w:rsid w:val="00D41792"/>
    <w:rsid w:val="00D43426"/>
    <w:rsid w:val="00D459C2"/>
    <w:rsid w:val="00D531B1"/>
    <w:rsid w:val="00D57160"/>
    <w:rsid w:val="00D65FE6"/>
    <w:rsid w:val="00D738EB"/>
    <w:rsid w:val="00D7402C"/>
    <w:rsid w:val="00D827B9"/>
    <w:rsid w:val="00D83B09"/>
    <w:rsid w:val="00D866BD"/>
    <w:rsid w:val="00D93FAE"/>
    <w:rsid w:val="00D94FF2"/>
    <w:rsid w:val="00D96C96"/>
    <w:rsid w:val="00D97683"/>
    <w:rsid w:val="00DB2EB7"/>
    <w:rsid w:val="00DB7933"/>
    <w:rsid w:val="00DC3CBF"/>
    <w:rsid w:val="00DC54BB"/>
    <w:rsid w:val="00DD2BE3"/>
    <w:rsid w:val="00DD6AA5"/>
    <w:rsid w:val="00DD75CF"/>
    <w:rsid w:val="00DD7687"/>
    <w:rsid w:val="00DE0AD3"/>
    <w:rsid w:val="00DE0F46"/>
    <w:rsid w:val="00DE222B"/>
    <w:rsid w:val="00DE739A"/>
    <w:rsid w:val="00DF03D6"/>
    <w:rsid w:val="00DF5133"/>
    <w:rsid w:val="00DF5A6F"/>
    <w:rsid w:val="00DF6ECF"/>
    <w:rsid w:val="00E06411"/>
    <w:rsid w:val="00E104E1"/>
    <w:rsid w:val="00E119C4"/>
    <w:rsid w:val="00E134A9"/>
    <w:rsid w:val="00E13BD2"/>
    <w:rsid w:val="00E1622B"/>
    <w:rsid w:val="00E1749D"/>
    <w:rsid w:val="00E2093B"/>
    <w:rsid w:val="00E224B8"/>
    <w:rsid w:val="00E2740E"/>
    <w:rsid w:val="00E2759F"/>
    <w:rsid w:val="00E3391A"/>
    <w:rsid w:val="00E34EEC"/>
    <w:rsid w:val="00E35D1E"/>
    <w:rsid w:val="00E3684B"/>
    <w:rsid w:val="00E447F3"/>
    <w:rsid w:val="00E50F2F"/>
    <w:rsid w:val="00E51EA3"/>
    <w:rsid w:val="00E55111"/>
    <w:rsid w:val="00E558BC"/>
    <w:rsid w:val="00E61FB9"/>
    <w:rsid w:val="00E62BB3"/>
    <w:rsid w:val="00E64CCD"/>
    <w:rsid w:val="00E64FF7"/>
    <w:rsid w:val="00E6539B"/>
    <w:rsid w:val="00E65E14"/>
    <w:rsid w:val="00E77C4B"/>
    <w:rsid w:val="00E86836"/>
    <w:rsid w:val="00E90A10"/>
    <w:rsid w:val="00E9171D"/>
    <w:rsid w:val="00E9486F"/>
    <w:rsid w:val="00EA2484"/>
    <w:rsid w:val="00EB2B50"/>
    <w:rsid w:val="00EB3712"/>
    <w:rsid w:val="00EB38BA"/>
    <w:rsid w:val="00EB5039"/>
    <w:rsid w:val="00EB5466"/>
    <w:rsid w:val="00EB7A3A"/>
    <w:rsid w:val="00EC0D92"/>
    <w:rsid w:val="00EC7766"/>
    <w:rsid w:val="00ED63EB"/>
    <w:rsid w:val="00ED6935"/>
    <w:rsid w:val="00EE07E9"/>
    <w:rsid w:val="00EF1B20"/>
    <w:rsid w:val="00EF49A4"/>
    <w:rsid w:val="00F01858"/>
    <w:rsid w:val="00F0434B"/>
    <w:rsid w:val="00F04687"/>
    <w:rsid w:val="00F102F3"/>
    <w:rsid w:val="00F20C13"/>
    <w:rsid w:val="00F2234A"/>
    <w:rsid w:val="00F2590D"/>
    <w:rsid w:val="00F3149E"/>
    <w:rsid w:val="00F3300F"/>
    <w:rsid w:val="00F33B5A"/>
    <w:rsid w:val="00F36406"/>
    <w:rsid w:val="00F36992"/>
    <w:rsid w:val="00F3719D"/>
    <w:rsid w:val="00F40E52"/>
    <w:rsid w:val="00F44AA0"/>
    <w:rsid w:val="00F56A6D"/>
    <w:rsid w:val="00F57CBD"/>
    <w:rsid w:val="00F676E7"/>
    <w:rsid w:val="00F70C0E"/>
    <w:rsid w:val="00F72860"/>
    <w:rsid w:val="00F7370E"/>
    <w:rsid w:val="00F74422"/>
    <w:rsid w:val="00F75967"/>
    <w:rsid w:val="00F858C0"/>
    <w:rsid w:val="00F92BF1"/>
    <w:rsid w:val="00F9383D"/>
    <w:rsid w:val="00F95045"/>
    <w:rsid w:val="00FC4D3F"/>
    <w:rsid w:val="00FC5CFD"/>
    <w:rsid w:val="00FC6D55"/>
    <w:rsid w:val="00FC7E50"/>
    <w:rsid w:val="00FD0598"/>
    <w:rsid w:val="00FD0D6C"/>
    <w:rsid w:val="00FD1A47"/>
    <w:rsid w:val="00FD3DCC"/>
    <w:rsid w:val="00FD4331"/>
    <w:rsid w:val="00FE212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02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02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ina.hr/info.bi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fina.h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prodaja@fina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.hr/-/najuspjesnijim-poduzetnicima-u-2019.-godini-dodijeljene-nagrade-zlatna-bilan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B1B2-94E8-4C9C-A32B-EBECF375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FINANCIJSKI REZULTATI POSLOVANJA PODUZETNIKA SA SJEDIŠTEM U DUBROVNIKU</vt:lpstr>
      <vt:lpstr>U razdoblju od 2008. godine, kada je kulminirala gospodarska kriza u Hrvatskoj, </vt:lpstr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7</cp:revision>
  <cp:lastPrinted>2018-01-24T11:32:00Z</cp:lastPrinted>
  <dcterms:created xsi:type="dcterms:W3CDTF">2021-01-28T16:16:00Z</dcterms:created>
  <dcterms:modified xsi:type="dcterms:W3CDTF">2021-01-30T18:16:00Z</dcterms:modified>
</cp:coreProperties>
</file>