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1F3AFC" w:rsidRDefault="00F0761A" w:rsidP="006F7E7C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KOD </w:t>
      </w:r>
      <w:r w:rsidR="00347AB3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PODUZETNI</w:t>
      </w:r>
      <w:r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KA U</w:t>
      </w:r>
      <w:r w:rsidR="00347AB3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RUDARSTV</w:t>
      </w:r>
      <w:r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U</w:t>
      </w:r>
      <w:r w:rsidR="00347AB3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I VAĐENJ</w:t>
      </w:r>
      <w:r w:rsidR="001F3AFC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U U 2019</w:t>
      </w:r>
      <w:r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. GODINI </w:t>
      </w:r>
      <w:r w:rsidR="001F3AFC">
        <w:rPr>
          <w:rFonts w:ascii="Arial" w:hAnsi="Arial" w:cs="Arial"/>
          <w:b/>
          <w:color w:val="17365D" w:themeColor="text2" w:themeShade="BF"/>
          <w:sz w:val="20"/>
          <w:szCs w:val="20"/>
        </w:rPr>
        <w:t>U ODNOSU NA 2009</w:t>
      </w:r>
      <w:r w:rsidR="007D30BF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., </w:t>
      </w:r>
      <w:r w:rsidR="001F3AFC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NETO DOBIT</w:t>
      </w:r>
      <w:r w:rsidR="007D30BF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MANJ</w:t>
      </w:r>
      <w:r w:rsidR="001F3AFC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A</w:t>
      </w:r>
      <w:r w:rsidR="007D30BF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ZA </w:t>
      </w:r>
      <w:r w:rsidR="001F3AFC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94,7</w:t>
      </w:r>
      <w:r w:rsidR="007D30BF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%, A BROJ ZAPOSLENIH ZA </w:t>
      </w:r>
      <w:r w:rsidR="001F3AFC"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47,5</w:t>
      </w:r>
      <w:r w:rsidRPr="001F3AFC">
        <w:rPr>
          <w:rFonts w:ascii="Arial" w:hAnsi="Arial" w:cs="Arial"/>
          <w:b/>
          <w:color w:val="17365D" w:themeColor="text2" w:themeShade="BF"/>
          <w:sz w:val="20"/>
          <w:szCs w:val="20"/>
        </w:rPr>
        <w:t>%</w:t>
      </w:r>
    </w:p>
    <w:p w:rsidR="0044344C" w:rsidRDefault="0044344C" w:rsidP="00882946">
      <w:pPr>
        <w:widowControl w:val="0"/>
        <w:tabs>
          <w:tab w:val="left" w:pos="7513"/>
          <w:tab w:val="right" w:pos="9781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Prema podacima iz obrađenih godišnjih financijskih izvještaja za statističke i druge potrebe, u </w:t>
      </w:r>
      <w:r w:rsidR="00887F22" w:rsidRPr="00AB0F73">
        <w:rPr>
          <w:rFonts w:ascii="Arial" w:hAnsi="Arial" w:cs="Arial"/>
          <w:color w:val="17365D" w:themeColor="text2" w:themeShade="BF"/>
          <w:sz w:val="20"/>
          <w:szCs w:val="20"/>
        </w:rPr>
        <w:t>području djelatnosti rudarstva i vađenja</w:t>
      </w: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AB0F73" w:rsidRPr="00AB0F73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poslovalo je </w:t>
      </w:r>
      <w:r w:rsidR="00AB0F73" w:rsidRPr="00AB0F73">
        <w:rPr>
          <w:rFonts w:ascii="Arial" w:hAnsi="Arial" w:cs="Arial"/>
          <w:color w:val="17365D" w:themeColor="text2" w:themeShade="BF"/>
          <w:sz w:val="20"/>
          <w:szCs w:val="20"/>
        </w:rPr>
        <w:t>21</w:t>
      </w:r>
      <w:r w:rsidR="00887F22" w:rsidRPr="00AB0F73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kod kojih je bilo </w:t>
      </w:r>
      <w:r w:rsidR="00887F22" w:rsidRPr="00AB0F73">
        <w:rPr>
          <w:rFonts w:ascii="Arial" w:hAnsi="Arial" w:cs="Arial"/>
          <w:color w:val="17365D" w:themeColor="text2" w:themeShade="BF"/>
          <w:sz w:val="20"/>
          <w:szCs w:val="20"/>
        </w:rPr>
        <w:t>3</w:t>
      </w:r>
      <w:r w:rsidR="00AB0F73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AB0F73" w:rsidRPr="00AB0F73">
        <w:rPr>
          <w:rFonts w:ascii="Arial" w:hAnsi="Arial" w:cs="Arial"/>
          <w:color w:val="17365D" w:themeColor="text2" w:themeShade="BF"/>
          <w:sz w:val="20"/>
          <w:szCs w:val="20"/>
        </w:rPr>
        <w:t>604</w:t>
      </w: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u odnosu na </w:t>
      </w:r>
      <w:r w:rsid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početno </w:t>
      </w:r>
      <w:r w:rsidR="00AB0F73" w:rsidRPr="00AB0F73">
        <w:rPr>
          <w:rFonts w:ascii="Arial" w:hAnsi="Arial" w:cs="Arial"/>
          <w:color w:val="17365D" w:themeColor="text2" w:themeShade="BF"/>
          <w:sz w:val="20"/>
          <w:szCs w:val="20"/>
        </w:rPr>
        <w:t>promatranu 2009</w:t>
      </w:r>
      <w:r w:rsidR="00416FDA"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. godinu </w:t>
      </w:r>
      <w:r w:rsidR="00AB0F73" w:rsidRPr="00AB0F73">
        <w:rPr>
          <w:rFonts w:ascii="Arial" w:hAnsi="Arial" w:cs="Arial"/>
          <w:color w:val="17365D" w:themeColor="text2" w:themeShade="BF"/>
          <w:sz w:val="20"/>
          <w:szCs w:val="20"/>
        </w:rPr>
        <w:t>47,5</w:t>
      </w:r>
      <w:r w:rsidR="00416FDA"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 % manje</w:t>
      </w:r>
      <w:r w:rsidR="000C6987"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B0F73">
        <w:rPr>
          <w:rFonts w:ascii="Arial" w:hAnsi="Arial" w:cs="Arial"/>
          <w:color w:val="17365D" w:themeColor="text2" w:themeShade="BF"/>
          <w:sz w:val="20"/>
          <w:szCs w:val="20"/>
        </w:rPr>
        <w:t>zaposlenih</w:t>
      </w:r>
      <w:r w:rsidR="00B10CD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C6987" w:rsidRPr="00AB0F73">
        <w:rPr>
          <w:rFonts w:ascii="Arial" w:hAnsi="Arial" w:cs="Arial"/>
          <w:color w:val="17365D" w:themeColor="text2" w:themeShade="BF"/>
          <w:sz w:val="20"/>
          <w:szCs w:val="20"/>
        </w:rPr>
        <w:t>(tablica 1)</w:t>
      </w: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3D1FC3" w:rsidRPr="00A8453A" w:rsidRDefault="003D1FC3" w:rsidP="003D1FC3">
      <w:pPr>
        <w:widowControl w:val="0"/>
        <w:tabs>
          <w:tab w:val="left" w:pos="7513"/>
          <w:tab w:val="right" w:pos="9781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>Ukupni prihodi u 2019. godini manji su u odnosu na 2009. godinu za gotovo 4,7 milijardi kuna (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smanjenje od </w:t>
      </w:r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 xml:space="preserve">55,9%). Vrijednost  izvoza u 2019. godini iznosila je </w:t>
      </w:r>
      <w:proofErr w:type="spellStart"/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>844</w:t>
      </w:r>
      <w:proofErr w:type="spellEnd"/>
      <w:r w:rsidRPr="00AB0F73">
        <w:rPr>
          <w:rFonts w:ascii="Arial" w:hAnsi="Arial" w:cs="Arial"/>
          <w:color w:val="17365D" w:themeColor="text2" w:themeShade="BF"/>
          <w:sz w:val="20"/>
          <w:szCs w:val="20"/>
        </w:rPr>
        <w:t>,6 milijuna kuna u odnosu na 2009. godinu kada je izvoz bio trostruko veći i iznosio je gotovo 2,8 milijardi kuna</w:t>
      </w:r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 xml:space="preserve">. Uvoz je također smanjen za </w:t>
      </w:r>
      <w:proofErr w:type="spellStart"/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>74</w:t>
      </w:r>
      <w:proofErr w:type="spellEnd"/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 xml:space="preserve">,7%, i u 2019. godini iznosio je </w:t>
      </w:r>
      <w:proofErr w:type="spellStart"/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>444</w:t>
      </w:r>
      <w:proofErr w:type="spellEnd"/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>,2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 xml:space="preserve">milijuna kuna, u odnosu na gotovo 1,8 milijardi kuna, koliko je iznosio 2009.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Pr="00A8453A">
        <w:rPr>
          <w:rFonts w:ascii="Arial" w:hAnsi="Arial" w:cs="Arial"/>
          <w:color w:val="17365D" w:themeColor="text2" w:themeShade="BF"/>
          <w:sz w:val="20"/>
          <w:szCs w:val="20"/>
        </w:rPr>
        <w:t>odine.</w:t>
      </w:r>
    </w:p>
    <w:p w:rsidR="00317143" w:rsidRDefault="007D2CBB" w:rsidP="00317143">
      <w:pPr>
        <w:widowControl w:val="0"/>
        <w:tabs>
          <w:tab w:val="left" w:pos="7513"/>
          <w:tab w:val="right" w:pos="9781"/>
        </w:tabs>
        <w:spacing w:before="180" w:after="20" w:line="240" w:lineRule="auto"/>
        <w:ind w:left="992" w:hanging="992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6170B2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poduzetnika, broj zaposlenih te osnovni financijski rezultati poslovanja poduzetnika u području djelatnosti B</w:t>
      </w:r>
      <w:r w:rsidR="00F8586B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</w:t>
      </w:r>
      <w:r w:rsidR="006170B2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 w:rsidR="008726C8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razdoblju od 2009</w:t>
      </w:r>
      <w:r w:rsidR="00416FDA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do </w:t>
      </w:r>
      <w:r w:rsidR="008726C8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2019</w:t>
      </w:r>
      <w:r w:rsidR="006170B2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</w:t>
      </w:r>
      <w:r w:rsidR="00416FDA" w:rsidRPr="008726C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</w:p>
    <w:p w:rsidR="007D2CBB" w:rsidRPr="008726C8" w:rsidRDefault="004E781A" w:rsidP="00882946">
      <w:pPr>
        <w:widowControl w:val="0"/>
        <w:tabs>
          <w:tab w:val="left" w:pos="7513"/>
          <w:tab w:val="right" w:pos="9781"/>
        </w:tabs>
        <w:spacing w:after="20" w:line="240" w:lineRule="auto"/>
        <w:ind w:left="992" w:hanging="992"/>
        <w:jc w:val="right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8726C8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Pr="008726C8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1048"/>
        <w:gridCol w:w="1048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50"/>
        <w:gridCol w:w="935"/>
      </w:tblGrid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AB4BC5" w:rsidRDefault="00B415BA" w:rsidP="00317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AB4BC5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153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Područje djelatnosti B – Rudarstvo i vađenje</w:t>
            </w:r>
          </w:p>
        </w:tc>
        <w:tc>
          <w:tcPr>
            <w:tcW w:w="93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AB4BC5" w:rsidRDefault="00B415BA" w:rsidP="00B41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Indeks 2019./09.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  <w:hideMark/>
          </w:tcPr>
          <w:p w:rsidR="00B415BA" w:rsidRPr="00AB4BC5" w:rsidRDefault="00B415BA" w:rsidP="00317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2009.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2015.</w:t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2016.</w:t>
            </w:r>
            <w:r w:rsidRPr="005A7E4E">
              <w:rPr>
                <w:rStyle w:val="Referencafusnote"/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footnoteReference w:id="1"/>
            </w:r>
          </w:p>
        </w:tc>
        <w:tc>
          <w:tcPr>
            <w:tcW w:w="1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2017.</w:t>
            </w: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vertAlign w:val="superscript"/>
                <w:lang w:eastAsia="hr-HR"/>
              </w:rPr>
              <w:t>1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1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5A7E4E" w:rsidRDefault="00B415BA" w:rsidP="0031714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5A7E4E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2019.</w:t>
            </w:r>
          </w:p>
        </w:tc>
        <w:tc>
          <w:tcPr>
            <w:tcW w:w="935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/>
            <w:vAlign w:val="center"/>
          </w:tcPr>
          <w:p w:rsidR="00B415BA" w:rsidRPr="00AB4BC5" w:rsidRDefault="00B415BA" w:rsidP="00317143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single" w:sz="2" w:space="0" w:color="FFFFFF" w:themeColor="background1"/>
              <w:left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shd w:val="clear" w:color="auto" w:fill="DBE5F1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Broj poduzetnika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248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257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244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221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209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218</w:t>
            </w:r>
          </w:p>
        </w:tc>
        <w:tc>
          <w:tcPr>
            <w:tcW w:w="1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219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88,3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 w:themeColor="background1"/>
            </w:tcBorders>
            <w:shd w:val="clear" w:color="auto" w:fill="DBE5F1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Broj dobitaša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127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127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118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122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133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115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121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130</w:t>
            </w:r>
          </w:p>
        </w:tc>
        <w:tc>
          <w:tcPr>
            <w:tcW w:w="1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125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98,4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single" w:sz="2" w:space="0" w:color="FFFFFF"/>
              <w:left w:val="single" w:sz="2" w:space="0" w:color="FFFFFF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Broj gubitaša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121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130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126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112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109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88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94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/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77,7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Broj zaposlenih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6.869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6.073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5.458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5.053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4.850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4.466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4.201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3.643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3.364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3.440</w:t>
            </w:r>
          </w:p>
        </w:tc>
        <w:tc>
          <w:tcPr>
            <w:tcW w:w="1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3.604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52,5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Ukupni prihodi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8.394.108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5.137.367</w:t>
            </w:r>
          </w:p>
        </w:tc>
        <w:tc>
          <w:tcPr>
            <w:tcW w:w="1048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4.306.857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4.145.627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5.466.565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5.537.829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4.132.227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3.054.192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3.245.802</w:t>
            </w:r>
          </w:p>
        </w:tc>
        <w:tc>
          <w:tcPr>
            <w:tcW w:w="1049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3.720.705</w:t>
            </w:r>
          </w:p>
        </w:tc>
        <w:tc>
          <w:tcPr>
            <w:tcW w:w="1050" w:type="dxa"/>
            <w:tcBorders>
              <w:top w:val="single" w:sz="2" w:space="0" w:color="FFFFFF" w:themeColor="background1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3.701.897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44,1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Ukupni rashodi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7.913.139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5.593.620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4.413.001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3.794.817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4.837.482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4.790.742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4.314.258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3.332.096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3.082.893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3.395.074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3.649.940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46,1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Dobit prije oporezivanja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983.100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122.833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278.756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473.117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780.221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836.306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267.551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235.459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271.924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386.968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237.971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24,2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Gubitak prije oporezivanja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502.131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579.086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384.900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122.307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151.138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89.219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449.583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513.363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109.014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61.337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186.014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37,0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Porez na dobit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181.065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-50.623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32.302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76.297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144.352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134.897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-12.094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54.180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-2.706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33.494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35.932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19,8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Dobit razdoblja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801.883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101.959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229.349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396.821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635.800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701.409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236.774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202.250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250.449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353.478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202.065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25,2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Gubitak razdoblja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501.979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507.588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367.794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122.308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151.070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89.219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406.712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534.334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84.834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61.342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186.040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37,1 </w:t>
            </w:r>
          </w:p>
        </w:tc>
      </w:tr>
      <w:tr w:rsidR="00B415BA" w:rsidRPr="00121EC4" w:rsidTr="00B415BA">
        <w:trPr>
          <w:trHeight w:val="425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Neto dobit razdoblja/ gubitak razdoblja 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21581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299.905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-405.630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-138.445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274.513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484.731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612.190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-169.938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-332.084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165.615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292.137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16.025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5,3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Izvoz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2.790.323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1.784.624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1.392.430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1.429.024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1.498.697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1.553.687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1.152.635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576.150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609.322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917.164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844.576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30,3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Uvoz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1.759.052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942.530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376.134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443.741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696.854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778.274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537.368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314.209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237.295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502.336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444.217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25,3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Trgovinski saldo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1.031.271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842.094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1.016.296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985.283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801.844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775.413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615.267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261.941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372.027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414.828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400.358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38,8 </w:t>
            </w:r>
          </w:p>
        </w:tc>
      </w:tr>
      <w:tr w:rsidR="00B415BA" w:rsidRPr="00121EC4" w:rsidTr="00B415BA">
        <w:trPr>
          <w:trHeight w:val="425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882946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Investicije u novu dugotrajnu imovinu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697.670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507.973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122.240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275.131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690.952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519.234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431.552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157.938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123.132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181.166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344.822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49,4 </w:t>
            </w:r>
          </w:p>
        </w:tc>
      </w:tr>
      <w:tr w:rsidR="00B415BA" w:rsidRPr="00121EC4" w:rsidTr="00B415BA">
        <w:trPr>
          <w:trHeight w:val="283"/>
          <w:tblHeader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415BA" w:rsidRDefault="00B415BA" w:rsidP="00317143">
            <w:pPr>
              <w:spacing w:after="0" w:line="240" w:lineRule="auto"/>
              <w:ind w:left="-57" w:right="-57"/>
              <w:rPr>
                <w:rFonts w:ascii="Arial" w:hAnsi="Arial" w:cs="Arial"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color w:val="17365D"/>
                <w:sz w:val="18"/>
                <w:szCs w:val="18"/>
              </w:rPr>
              <w:t>Prosj. mjesečna neto plaća</w:t>
            </w:r>
          </w:p>
        </w:tc>
        <w:tc>
          <w:tcPr>
            <w:tcW w:w="1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6.547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6.925</w:t>
            </w:r>
          </w:p>
        </w:tc>
        <w:tc>
          <w:tcPr>
            <w:tcW w:w="1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7.351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6.954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7.067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7.652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7.377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7.290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7.580</w:t>
            </w:r>
          </w:p>
        </w:tc>
        <w:tc>
          <w:tcPr>
            <w:tcW w:w="10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8.312</w:t>
            </w:r>
          </w:p>
        </w:tc>
        <w:tc>
          <w:tcPr>
            <w:tcW w:w="1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D9D9D9" w:themeColor="background1" w:themeShade="D9"/>
            </w:tcBorders>
            <w:vAlign w:val="center"/>
          </w:tcPr>
          <w:p w:rsidR="00B415BA" w:rsidRPr="00882946" w:rsidRDefault="00B415BA" w:rsidP="0031714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82946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8.485</w:t>
            </w:r>
          </w:p>
        </w:tc>
        <w:tc>
          <w:tcPr>
            <w:tcW w:w="935" w:type="dxa"/>
            <w:tcBorders>
              <w:top w:val="single" w:sz="4" w:space="0" w:color="BFBFBF"/>
              <w:left w:val="single" w:sz="2" w:space="0" w:color="D9D9D9" w:themeColor="background1" w:themeShade="D9"/>
              <w:bottom w:val="single" w:sz="4" w:space="0" w:color="BFBFBF"/>
              <w:right w:val="single" w:sz="4" w:space="0" w:color="BFBFBF"/>
            </w:tcBorders>
            <w:vAlign w:val="center"/>
          </w:tcPr>
          <w:p w:rsidR="00B415BA" w:rsidRPr="00B415BA" w:rsidRDefault="00B415BA" w:rsidP="00B415BA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B415BA">
              <w:rPr>
                <w:rFonts w:ascii="Arial" w:hAnsi="Arial" w:cs="Arial"/>
                <w:color w:val="16365C"/>
                <w:sz w:val="18"/>
                <w:szCs w:val="18"/>
              </w:rPr>
              <w:t xml:space="preserve">129,6 </w:t>
            </w:r>
          </w:p>
        </w:tc>
      </w:tr>
    </w:tbl>
    <w:p w:rsidR="00557C9C" w:rsidRPr="00121EC4" w:rsidRDefault="00557C9C" w:rsidP="00256606">
      <w:pPr>
        <w:spacing w:before="4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121EC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B415BA" w:rsidRPr="00121EC4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121EC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- Registar godišnjih financijskih izvještaja</w:t>
      </w:r>
    </w:p>
    <w:p w:rsidR="00EC62F6" w:rsidRDefault="00EC62F6" w:rsidP="00317143">
      <w:pPr>
        <w:pageBreakBefore/>
        <w:widowControl w:val="0"/>
        <w:tabs>
          <w:tab w:val="left" w:pos="1134"/>
        </w:tabs>
        <w:spacing w:after="40" w:line="240" w:lineRule="auto"/>
        <w:ind w:left="1134" w:hanging="1134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  <w:sectPr w:rsidR="00EC62F6" w:rsidSect="00DA01D3">
          <w:headerReference w:type="default" r:id="rId9"/>
          <w:footerReference w:type="default" r:id="rId10"/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410885" w:rsidRPr="0083095C" w:rsidRDefault="003D1FC3" w:rsidP="00B71E18">
      <w:pPr>
        <w:pageBreakBefore/>
        <w:shd w:val="clear" w:color="auto" w:fill="FFFFFF"/>
        <w:spacing w:after="0"/>
        <w:jc w:val="both"/>
        <w:rPr>
          <w:rFonts w:ascii="Arial" w:eastAsia="Times New Roman" w:hAnsi="Arial" w:cs="Arial"/>
          <w:color w:val="104160"/>
          <w:sz w:val="20"/>
          <w:szCs w:val="20"/>
          <w:lang w:eastAsia="hr-HR"/>
        </w:rPr>
      </w:pPr>
      <w:r w:rsidRPr="008E2E19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 xml:space="preserve">U razdoblju od 2009. do 2019. godine, četiri godine iskazan je neto gubitak (2010., 2011., 2015. i 2016.), 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sedam godina</w:t>
      </w:r>
      <w:r w:rsidRPr="008E2E19">
        <w:rPr>
          <w:rFonts w:ascii="Arial" w:hAnsi="Arial" w:cs="Arial"/>
          <w:color w:val="17365D" w:themeColor="text2" w:themeShade="BF"/>
          <w:sz w:val="20"/>
          <w:szCs w:val="20"/>
        </w:rPr>
        <w:t xml:space="preserve"> neto dobit (2009., 2012.-2014. te 2017.- 2019.). </w:t>
      </w:r>
      <w:r w:rsidR="00410885"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Najveći neto gubitak u rudarstvu i vađenju ostvaren je u 2010. godini i iznosio je 405,6 milijuna kuna, čemu je najviše doprinijela</w:t>
      </w:r>
      <w:r w:rsidR="00410885" w:rsidRPr="0083095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10885" w:rsidRPr="0083095C">
        <w:rPr>
          <w:rFonts w:ascii="Arial" w:hAnsi="Arial" w:cs="Arial"/>
          <w:b/>
          <w:color w:val="17365D" w:themeColor="text2" w:themeShade="BF"/>
          <w:sz w:val="20"/>
          <w:szCs w:val="20"/>
        </w:rPr>
        <w:t>INA Adria B.V. - Hrvatska podružnica</w:t>
      </w:r>
      <w:r w:rsidR="00410885" w:rsidRPr="0083095C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2"/>
      </w:r>
      <w:r w:rsidR="00410885" w:rsidRPr="0083095C">
        <w:rPr>
          <w:rStyle w:val="Hiperveza"/>
          <w:rFonts w:ascii="Arial" w:hAnsi="Arial" w:cs="Arial"/>
          <w:color w:val="17365D" w:themeColor="text2" w:themeShade="BF"/>
          <w:sz w:val="20"/>
          <w:szCs w:val="20"/>
          <w:u w:val="none"/>
        </w:rPr>
        <w:t>, s gubitkom od 125,7 milijuna kuna.</w:t>
      </w:r>
      <w:r w:rsidR="00410885"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U 2014. godini ostvarena je najveća neto dobit u iznosu od 612,2 milijuna kuna, </w:t>
      </w:r>
      <w:r w:rsidR="00410885" w:rsidRP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što je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38</w:t>
      </w:r>
      <w:r w:rsidR="00410885" w:rsidRP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puta više u odnosu na 2019. godinu (16,0 milijuna kuna)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, a tome je </w:t>
      </w:r>
      <w:r w:rsidR="00410885"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također najviše doprinijela </w:t>
      </w:r>
      <w:r w:rsidR="00410885" w:rsidRPr="0083095C">
        <w:rPr>
          <w:rFonts w:ascii="Arial" w:eastAsia="Times New Roman" w:hAnsi="Arial" w:cs="Arial"/>
          <w:b/>
          <w:color w:val="104160"/>
          <w:sz w:val="20"/>
          <w:szCs w:val="20"/>
          <w:lang w:eastAsia="hr-HR"/>
        </w:rPr>
        <w:t>INA Adria B.V. - Hrvatska podružnica</w:t>
      </w:r>
      <w:r w:rsidR="00410885" w:rsidRP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,</w:t>
      </w:r>
      <w:r w:rsidR="00410885"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s dobiti razdoblja od 311,2 milijuna kuna. </w:t>
      </w:r>
    </w:p>
    <w:p w:rsidR="00416FDA" w:rsidRPr="00921817" w:rsidRDefault="00416FDA" w:rsidP="00B71E18">
      <w:pPr>
        <w:widowControl w:val="0"/>
        <w:tabs>
          <w:tab w:val="left" w:pos="1134"/>
        </w:tabs>
        <w:spacing w:before="180" w:after="40" w:line="240" w:lineRule="auto"/>
        <w:ind w:left="1134" w:hanging="1134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921817"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 w:rsidRPr="00921817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>Neto dobit/gubitak poduzetnika u području</w:t>
      </w:r>
      <w:r w:rsidR="00921817" w:rsidRPr="00921817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djelatnosti B, u razdoblju 2009.-2019</w:t>
      </w:r>
      <w:r w:rsidRPr="00921817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557C9C" w:rsidRPr="00921817">
        <w:rPr>
          <w:rFonts w:ascii="Arial" w:hAnsi="Arial" w:cs="Arial"/>
          <w:b/>
          <w:color w:val="17365D" w:themeColor="text2" w:themeShade="BF"/>
          <w:sz w:val="18"/>
          <w:szCs w:val="18"/>
        </w:rPr>
        <w:t>g.</w:t>
      </w:r>
      <w:r w:rsidR="00557C9C" w:rsidRPr="00921817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  <w:r w:rsidRPr="00921817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</w:t>
      </w:r>
      <w:r w:rsidR="00557C9C" w:rsidRPr="00921817">
        <w:rPr>
          <w:rFonts w:ascii="Arial" w:hAnsi="Arial" w:cs="Arial"/>
          <w:i/>
          <w:color w:val="17365D" w:themeColor="text2" w:themeShade="BF"/>
          <w:sz w:val="16"/>
          <w:szCs w:val="16"/>
        </w:rPr>
        <w:t>.</w:t>
      </w:r>
      <w:r w:rsidRPr="00921817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kn)</w:t>
      </w:r>
    </w:p>
    <w:p w:rsidR="00416FDA" w:rsidRPr="00A8453A" w:rsidRDefault="00A8453A" w:rsidP="008B49E4">
      <w:pPr>
        <w:widowControl w:val="0"/>
        <w:spacing w:after="0" w:line="240" w:lineRule="auto"/>
        <w:rPr>
          <w:rFonts w:ascii="Arial" w:hAnsi="Arial" w:cs="Arial"/>
          <w:noProof/>
          <w:color w:val="17365D" w:themeColor="text2" w:themeShade="BF"/>
          <w:sz w:val="19"/>
          <w:szCs w:val="19"/>
          <w:lang w:eastAsia="hr-HR"/>
        </w:rPr>
      </w:pPr>
      <w:r>
        <w:rPr>
          <w:rFonts w:ascii="Arial" w:hAnsi="Arial" w:cs="Arial"/>
          <w:noProof/>
          <w:color w:val="FF0000"/>
          <w:sz w:val="19"/>
          <w:szCs w:val="19"/>
          <w:lang w:eastAsia="hr-HR"/>
        </w:rPr>
        <w:drawing>
          <wp:inline distT="0" distB="0" distL="0" distR="0" wp14:anchorId="3FB691AB" wp14:editId="59FF1D98">
            <wp:extent cx="6264000" cy="2304000"/>
            <wp:effectExtent l="0" t="0" r="3810" b="127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DA" w:rsidRPr="00C661D4" w:rsidRDefault="00416FDA" w:rsidP="00256606">
      <w:pPr>
        <w:spacing w:before="4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C661D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B415BA" w:rsidRPr="00C661D4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C661D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- Registar godišnjih financijskih izvještaja</w:t>
      </w:r>
    </w:p>
    <w:p w:rsidR="00193401" w:rsidRDefault="00410885" w:rsidP="00B71E18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Prva</w:t>
      </w:r>
      <w:r w:rsidR="00193401" w:rsidRPr="005661A6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193401" w:rsidRPr="005661A6">
        <w:rPr>
          <w:rFonts w:ascii="Arial" w:eastAsia="Times New Roman" w:hAnsi="Arial"/>
          <w:color w:val="17365D" w:themeColor="text2" w:themeShade="BF"/>
          <w:sz w:val="20"/>
          <w:szCs w:val="20"/>
          <w:u w:val="single"/>
          <w:lang w:eastAsia="hr-HR"/>
        </w:rPr>
        <w:t>po dobiti razdoblja</w:t>
      </w:r>
      <w:r w:rsidR="00193401" w:rsidRPr="005661A6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području djelatnosti rudarstva i vađenja u 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2009. godini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bila je </w:t>
      </w:r>
      <w:r w:rsidR="00193401" w:rsidRPr="007E7D0E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INA ADRIA B.V. - Hrvatska podružnica</w:t>
      </w:r>
      <w:r w:rsidR="007E7D0E" w:rsidRPr="007E7D0E">
        <w:rPr>
          <w:rFonts w:ascii="Arial" w:eastAsia="Times New Roman" w:hAnsi="Arial"/>
          <w:color w:val="17365D" w:themeColor="text2" w:themeShade="BF"/>
          <w:sz w:val="20"/>
          <w:szCs w:val="20"/>
          <w:vertAlign w:val="superscript"/>
          <w:lang w:eastAsia="hr-HR"/>
        </w:rPr>
        <w:t>2</w:t>
      </w:r>
      <w:r w:rsidR="00193401" w:rsidRPr="005661A6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Zagreba, s 587,3 milijuna kuna što 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7E7D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udio od 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73,2% </w:t>
      </w:r>
      <w:r w:rsidR="007E7D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ukupno</w:t>
      </w:r>
      <w:r w:rsidR="007E7D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j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dobiti razdoblja </w:t>
      </w:r>
      <w:r w:rsidR="007E7D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poduzetnika u području 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djelatnosti rudarstv</w:t>
      </w:r>
      <w:r w:rsidR="007E7D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 vađenj</w:t>
      </w:r>
      <w:r w:rsidR="007E7D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 (B)</w:t>
      </w:r>
      <w:r w:rsidR="00193401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. </w:t>
      </w:r>
    </w:p>
    <w:p w:rsidR="00DA01D3" w:rsidRPr="00DD4127" w:rsidRDefault="00DA01D3" w:rsidP="00612811">
      <w:pPr>
        <w:widowControl w:val="0"/>
        <w:tabs>
          <w:tab w:val="left" w:pos="567"/>
          <w:tab w:val="left" w:pos="1134"/>
          <w:tab w:val="left" w:pos="8080"/>
        </w:tabs>
        <w:spacing w:before="180" w:after="2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2.</w:t>
      </w:r>
      <w:r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Top pet poduzetnika u području djel</w:t>
      </w:r>
      <w:r w:rsidR="006128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rudarstva i vađenja (B), </w:t>
      </w:r>
      <w:r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prema dobiti razdoblja u 2009. i 2019. g</w:t>
      </w:r>
      <w:r w:rsidR="0061281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</w:t>
      </w:r>
      <w:r w:rsidRPr="00DD4127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  <w:t>(</w:t>
      </w:r>
      <w:r w:rsidRPr="00DD412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kuna)</w:t>
      </w: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575"/>
        <w:gridCol w:w="3402"/>
        <w:gridCol w:w="965"/>
        <w:gridCol w:w="575"/>
        <w:gridCol w:w="3402"/>
        <w:gridCol w:w="965"/>
      </w:tblGrid>
      <w:tr w:rsidR="00EC62F6" w:rsidRPr="00804B2F" w:rsidTr="00B71E18">
        <w:trPr>
          <w:trHeight w:val="454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C62F6" w:rsidRPr="00DA01D3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</w:pPr>
            <w:r w:rsidRPr="00804B2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Rang</w:t>
            </w:r>
            <w:r w:rsidRPr="00DA01D3"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  <w:t xml:space="preserve"> </w:t>
            </w:r>
            <w:r w:rsidRPr="00804B2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2009</w:t>
            </w:r>
            <w:proofErr w:type="gramStart"/>
            <w:r w:rsidR="00804B2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.</w:t>
            </w:r>
            <w:r w:rsidRPr="00DA01D3"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</w:tcPr>
          <w:p w:rsidR="00EC62F6" w:rsidRPr="00DA01D3" w:rsidRDefault="00EC62F6" w:rsidP="009A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DA01D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Naziv</w:t>
            </w:r>
          </w:p>
        </w:tc>
        <w:tc>
          <w:tcPr>
            <w:tcW w:w="9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EC62F6" w:rsidRPr="00DA01D3" w:rsidRDefault="00EC62F6" w:rsidP="009A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DA01D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Dobit razdoblja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C62F6" w:rsidRPr="00DA01D3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</w:pPr>
            <w:r w:rsidRPr="00804B2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Rang</w:t>
            </w:r>
            <w:r w:rsidRPr="00DA01D3"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  <w:t xml:space="preserve"> </w:t>
            </w:r>
            <w:r w:rsidRPr="00804B2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2019</w:t>
            </w:r>
            <w:proofErr w:type="gramStart"/>
            <w:r w:rsidR="00804B2F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.</w:t>
            </w:r>
            <w:r w:rsidRPr="00DA01D3"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</w:tcPr>
          <w:p w:rsidR="00EC62F6" w:rsidRPr="00DA01D3" w:rsidRDefault="00EC62F6" w:rsidP="009A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DA01D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Naziv</w:t>
            </w:r>
          </w:p>
        </w:tc>
        <w:tc>
          <w:tcPr>
            <w:tcW w:w="9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EC62F6" w:rsidRPr="00DA01D3" w:rsidRDefault="00EC62F6" w:rsidP="009A1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DA01D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Dobit razdoblja</w:t>
            </w:r>
          </w:p>
        </w:tc>
      </w:tr>
      <w:tr w:rsidR="00EC62F6" w:rsidRPr="00804B2F" w:rsidTr="00B71E1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INA ADRIA B.V. - Hrvatska podružnica</w:t>
            </w:r>
            <w:r w:rsidR="00857A41"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587.266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CALCIT LIKA d.o.o.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23.493</w:t>
            </w:r>
          </w:p>
        </w:tc>
      </w:tr>
      <w:tr w:rsidR="00EC62F6" w:rsidRPr="00804B2F" w:rsidTr="00B71E1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CROSCO, d.o.o.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80.708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CROSCO, naftni servisi d.o.o.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21.427</w:t>
            </w:r>
          </w:p>
        </w:tc>
      </w:tr>
      <w:tr w:rsidR="00EC62F6" w:rsidRPr="00804B2F" w:rsidTr="00B71E1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MICOPERI d.o.o.</w:t>
            </w:r>
            <w:r w:rsidRPr="005A7E4E">
              <w:rPr>
                <w:rStyle w:val="Referencafusnote"/>
                <w:rFonts w:ascii="Arial" w:hAnsi="Arial" w:cs="Arial"/>
                <w:color w:val="244061" w:themeColor="accent1" w:themeShade="80"/>
                <w:sz w:val="18"/>
                <w:szCs w:val="18"/>
              </w:rPr>
              <w:footnoteReference w:id="3"/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20.861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PODZEMNO SKLADIŠTE PLINA d.o.o.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13.022</w:t>
            </w:r>
          </w:p>
        </w:tc>
      </w:tr>
      <w:tr w:rsidR="00EC62F6" w:rsidRPr="00804B2F" w:rsidTr="00B71E1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KAMING d.d.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13.368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RADLOVAC d.d.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11.572</w:t>
            </w:r>
          </w:p>
        </w:tc>
      </w:tr>
      <w:tr w:rsidR="00EC62F6" w:rsidRPr="00804B2F" w:rsidTr="00B71E1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MAŠKUN d.o.o.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STSI d.o.o.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EC62F6" w:rsidRPr="005A7E4E" w:rsidRDefault="00EC62F6" w:rsidP="009A154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A7E4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11.334</w:t>
            </w:r>
          </w:p>
        </w:tc>
      </w:tr>
      <w:tr w:rsidR="00EC62F6" w:rsidRPr="00804B2F" w:rsidTr="00B71E18">
        <w:trPr>
          <w:trHeight w:val="283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910E1" w:rsidRPr="00791B0C" w:rsidRDefault="00C910E1" w:rsidP="009A1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Ukupno top 5 poduzetnika po dobiti razdoblja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C910E1" w:rsidRPr="00791B0C" w:rsidRDefault="00C910E1" w:rsidP="009A15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709.715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910E1" w:rsidRPr="00791B0C" w:rsidRDefault="00C910E1" w:rsidP="009A1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Ukupno top </w:t>
            </w:r>
            <w:r w:rsidR="00EC62F6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5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poduzetnika po dobiti razdoblja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C910E1" w:rsidRPr="00791B0C" w:rsidRDefault="00C910E1" w:rsidP="009A15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80.848</w:t>
            </w:r>
          </w:p>
        </w:tc>
      </w:tr>
      <w:tr w:rsidR="00EC62F6" w:rsidRPr="00804B2F" w:rsidTr="00B71E18">
        <w:trPr>
          <w:trHeight w:val="283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910E1" w:rsidRPr="00791B0C" w:rsidRDefault="00C910E1" w:rsidP="009A1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Ukupno svi poduzetnici u djelatnosti 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C910E1" w:rsidRPr="00791B0C" w:rsidRDefault="00C910E1" w:rsidP="009A15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801.883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910E1" w:rsidRPr="00791B0C" w:rsidRDefault="00C910E1" w:rsidP="009A1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Ukupno svi poduzetnici u djelatnosti 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C910E1" w:rsidRPr="00791B0C" w:rsidRDefault="00C910E1" w:rsidP="009A15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202.065</w:t>
            </w:r>
          </w:p>
        </w:tc>
      </w:tr>
      <w:tr w:rsidR="00EC62F6" w:rsidRPr="00804B2F" w:rsidTr="00B71E18">
        <w:trPr>
          <w:trHeight w:val="283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910E1" w:rsidRPr="00791B0C" w:rsidRDefault="00C910E1" w:rsidP="009A1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Udio top 5 poduzetnika u djelatnosti 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C910E1" w:rsidRPr="00791B0C" w:rsidRDefault="00C910E1" w:rsidP="009A15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88,5%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C910E1" w:rsidRPr="00791B0C" w:rsidRDefault="00C910E1" w:rsidP="009A1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Udio top 5 poduzetnika u djelatnosti 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C910E1" w:rsidRPr="00791B0C" w:rsidRDefault="00C910E1" w:rsidP="009A15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40,0%</w:t>
            </w:r>
          </w:p>
        </w:tc>
      </w:tr>
    </w:tbl>
    <w:p w:rsidR="00423CB4" w:rsidRPr="00410885" w:rsidRDefault="00423CB4" w:rsidP="00F234CD">
      <w:pPr>
        <w:spacing w:before="20" w:after="0" w:line="240" w:lineRule="auto"/>
        <w:jc w:val="both"/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</w:pPr>
      <w:r w:rsidRPr="00410885"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  <w:t xml:space="preserve">Izvor: </w:t>
      </w:r>
      <w:r w:rsidR="00857A41" w:rsidRPr="00410885"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  <w:t>FINA</w:t>
      </w:r>
      <w:r w:rsidRPr="00410885"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  <w:t>, Registar godišnjih financijskih izvještaja, obrada GFI-a</w:t>
      </w:r>
      <w:r w:rsidR="00857A41" w:rsidRPr="00410885"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  <w:t xml:space="preserve"> 2009. </w:t>
      </w:r>
      <w:proofErr w:type="gramStart"/>
      <w:r w:rsidR="00857A41" w:rsidRPr="00410885"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  <w:t>i</w:t>
      </w:r>
      <w:proofErr w:type="gramEnd"/>
      <w:r w:rsidR="00857A41" w:rsidRPr="00410885">
        <w:rPr>
          <w:rFonts w:ascii="Arial" w:eastAsia="Times New Roman" w:hAnsi="Arial" w:cs="Arial"/>
          <w:i/>
          <w:color w:val="16365C"/>
          <w:sz w:val="17"/>
          <w:szCs w:val="17"/>
          <w:lang w:val="en-US"/>
        </w:rPr>
        <w:t xml:space="preserve"> 2019.</w:t>
      </w:r>
    </w:p>
    <w:p w:rsidR="0083095C" w:rsidRPr="0083095C" w:rsidRDefault="0083095C" w:rsidP="00B71E18">
      <w:pPr>
        <w:shd w:val="clear" w:color="auto" w:fill="FFFFFF"/>
        <w:spacing w:before="180"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Najveću dobit razdoblja u 2019. godini </w:t>
      </w:r>
      <w:r w:rsidR="00791B0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ostvarila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je </w:t>
      </w:r>
      <w:r w:rsidRPr="0083095C">
        <w:rPr>
          <w:rFonts w:ascii="Arial" w:eastAsia="Times New Roman" w:hAnsi="Arial" w:cs="Arial"/>
          <w:b/>
          <w:color w:val="104160"/>
          <w:sz w:val="20"/>
          <w:szCs w:val="20"/>
          <w:lang w:eastAsia="hr-HR"/>
        </w:rPr>
        <w:t>CALCIT LIKA d.o.o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., u iznosu od 23,5 milijuna kuna (udio od 11,6% u dobiti razdoblja u području B). Na drugom mjestu po ostvarenoj dobiti razdoblja i ukupnim prihodima je </w:t>
      </w:r>
      <w:r w:rsidRPr="0083095C">
        <w:rPr>
          <w:rFonts w:ascii="Arial" w:eastAsia="Times New Roman" w:hAnsi="Arial" w:cs="Arial"/>
          <w:b/>
          <w:color w:val="104160"/>
          <w:sz w:val="20"/>
          <w:szCs w:val="20"/>
          <w:lang w:eastAsia="hr-HR"/>
        </w:rPr>
        <w:t>CROSCO, naftni servisi d.o.o.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s 21,4 milijuna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kuna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(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udio od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10,6%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dobiti razdoblja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 području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djelatnosti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B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) i 621,3 milijuna kuna (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udio od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16,8%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ukupn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im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prihod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im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a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 području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djelatnosti </w:t>
      </w:r>
      <w:r w:rsidR="00410885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B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).</w:t>
      </w:r>
    </w:p>
    <w:p w:rsidR="00791B0C" w:rsidRDefault="0083095C" w:rsidP="00B71E18">
      <w:pPr>
        <w:widowControl w:val="0"/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3047E4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Prvi po ukupnim prihodima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je </w:t>
      </w:r>
      <w:r w:rsidRPr="009A1542">
        <w:rPr>
          <w:rFonts w:ascii="Arial" w:eastAsia="Times New Roman" w:hAnsi="Arial" w:cs="Arial"/>
          <w:b/>
          <w:color w:val="104160"/>
          <w:sz w:val="20"/>
          <w:szCs w:val="20"/>
          <w:lang w:eastAsia="hr-HR"/>
        </w:rPr>
        <w:t>STSI d.o.o.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iz Zagreba </w:t>
      </w:r>
      <w:r w:rsidRPr="003047E4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s gotovo 945 milijuna kuna (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udio od </w:t>
      </w:r>
      <w:r w:rsidRPr="003047E4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25,5% 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u </w:t>
      </w:r>
      <w:r w:rsidRPr="003047E4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ukupn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im</w:t>
      </w:r>
      <w:r w:rsidRPr="003047E4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prihod</w:t>
      </w:r>
      <w:r w:rsidRPr="0083095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ima u području djelatnosti B</w:t>
      </w:r>
      <w:r w:rsidRPr="003047E4">
        <w:rPr>
          <w:rFonts w:ascii="Arial" w:eastAsia="Times New Roman" w:hAnsi="Arial" w:cs="Arial"/>
          <w:color w:val="104160"/>
          <w:sz w:val="20"/>
          <w:szCs w:val="20"/>
          <w:lang w:eastAsia="hr-HR"/>
        </w:rPr>
        <w:t>).</w:t>
      </w:r>
      <w:r w:rsidR="00244B3C">
        <w:rPr>
          <w:rFonts w:ascii="Arial" w:eastAsia="Times New Roman" w:hAnsi="Arial" w:cs="Arial"/>
          <w:color w:val="104160"/>
          <w:sz w:val="20"/>
          <w:szCs w:val="20"/>
          <w:lang w:eastAsia="hr-HR"/>
        </w:rPr>
        <w:t xml:space="preserve"> </w:t>
      </w:r>
      <w:r w:rsidR="00791B0C" w:rsidRPr="004A3DA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Prvi po broju zaposlenih u 2019. </w:t>
      </w:r>
      <w:r w:rsidR="00791B0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godini </w:t>
      </w:r>
      <w:r w:rsidR="00791B0C" w:rsidRPr="004A3DA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bio je veliki poduzetnik </w:t>
      </w:r>
      <w:r w:rsidR="00791B0C" w:rsidRPr="007A49AC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CROSCO, naftni servisi d.o.o.</w:t>
      </w:r>
      <w:r w:rsidR="00791B0C" w:rsidRPr="004A3DA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Zagreba, s 877 zaposlenih, u odnosu na 2.118 za</w:t>
      </w:r>
      <w:r w:rsidR="00791B0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poslenih koliko ih je bilo u 2009</w:t>
      </w:r>
      <w:r w:rsidR="00791B0C" w:rsidRPr="004A3DA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. godini. Na drugom mjestu </w:t>
      </w:r>
      <w:r w:rsidR="00791B0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 broju zaposlenih je </w:t>
      </w:r>
      <w:r w:rsidR="00791B0C" w:rsidRPr="007A49AC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STSI d.o.o.</w:t>
      </w:r>
      <w:r w:rsidR="00791B0C" w:rsidRPr="004A3DA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</w:t>
      </w:r>
      <w:r w:rsidR="00410885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</w:t>
      </w:r>
      <w:r w:rsidR="00791B0C" w:rsidRPr="004A3DAC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koji je u 2019. godini imao 699 zaposlenih u odnosu na 1.303, koliko ih je bilo u 2009. godini.</w:t>
      </w:r>
    </w:p>
    <w:p w:rsidR="00792FCF" w:rsidRPr="00857A41" w:rsidRDefault="00260AC2" w:rsidP="003D06EC">
      <w:pPr>
        <w:pageBreakBefore/>
        <w:widowControl w:val="0"/>
        <w:tabs>
          <w:tab w:val="left" w:pos="567"/>
          <w:tab w:val="left" w:pos="1134"/>
          <w:tab w:val="left" w:pos="8080"/>
        </w:tabs>
        <w:spacing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Tablica 3</w:t>
      </w:r>
      <w:r w:rsidR="00792FCF"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92FCF"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4A2DF7"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Top pet poduzetnika u području djel</w:t>
      </w:r>
      <w:r w:rsidR="00F234C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4A2DF7" w:rsidRPr="00DD412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rudarstva i vađenja (B), </w:t>
      </w:r>
      <w:r w:rsidR="004A2DF7"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prema ukupn</w:t>
      </w:r>
      <w:r w:rsidR="00F234C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i</w:t>
      </w:r>
      <w:r w:rsidR="004A2DF7"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m prihod</w:t>
      </w:r>
      <w:r w:rsidR="00F234C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ima</w:t>
      </w:r>
      <w:r w:rsidR="00141DC1"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u</w:t>
      </w:r>
      <w:r w:rsidR="00C910E1"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2009. i</w:t>
      </w:r>
      <w:r w:rsidR="00141DC1"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2019</w:t>
      </w:r>
      <w:r w:rsidR="004A2DF7" w:rsidRPr="00D30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</w:t>
      </w:r>
      <w:r w:rsidR="00F234C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</w:t>
      </w:r>
      <w:r w:rsidR="00792FCF" w:rsidRPr="00DD4127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="00865E7B" w:rsidRPr="00857A4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</w:t>
      </w:r>
      <w:r w:rsidR="00792FCF" w:rsidRPr="00857A4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</w:t>
      </w:r>
      <w:r w:rsidR="00865E7B" w:rsidRPr="00857A4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567"/>
        <w:gridCol w:w="3402"/>
        <w:gridCol w:w="1023"/>
        <w:gridCol w:w="567"/>
        <w:gridCol w:w="3402"/>
        <w:gridCol w:w="964"/>
      </w:tblGrid>
      <w:tr w:rsidR="00987D98" w:rsidRPr="00EC62F6" w:rsidTr="00244B3C">
        <w:trPr>
          <w:trHeight w:val="425"/>
          <w:tblHeader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B49E4" w:rsidRPr="00857A41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</w:pPr>
            <w:r w:rsidRPr="00857A4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Rang</w:t>
            </w:r>
            <w:r w:rsidRPr="00857A41"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  <w:t xml:space="preserve"> </w:t>
            </w:r>
            <w:r w:rsidRPr="00857A4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2009</w:t>
            </w:r>
            <w:r w:rsidR="00804B2F" w:rsidRPr="00857A4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</w:tcPr>
          <w:p w:rsidR="008B49E4" w:rsidRPr="00857A41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857A4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Naziv</w:t>
            </w:r>
          </w:p>
        </w:tc>
        <w:tc>
          <w:tcPr>
            <w:tcW w:w="10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8B49E4" w:rsidRPr="00857A41" w:rsidRDefault="00882946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857A4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Ukupni prihodi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B49E4" w:rsidRPr="00857A41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</w:pPr>
            <w:r w:rsidRPr="00857A4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Rang</w:t>
            </w:r>
            <w:r w:rsidRPr="00857A41">
              <w:rPr>
                <w:rFonts w:ascii="Arial" w:eastAsia="Times New Roman" w:hAnsi="Arial" w:cs="Arial"/>
                <w:b/>
                <w:bCs/>
                <w:color w:val="244062"/>
                <w:sz w:val="17"/>
                <w:szCs w:val="17"/>
                <w:lang w:val="en-US"/>
              </w:rPr>
              <w:t xml:space="preserve"> </w:t>
            </w:r>
            <w:r w:rsidRPr="00857A4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2019</w:t>
            </w:r>
            <w:r w:rsidR="00804B2F" w:rsidRPr="00857A41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</w:tcPr>
          <w:p w:rsidR="008B49E4" w:rsidRPr="00857A41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857A4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Naziv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8B49E4" w:rsidRPr="00857A41" w:rsidRDefault="00882946" w:rsidP="009A15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857A4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Ukupni prihodi</w:t>
            </w:r>
          </w:p>
        </w:tc>
      </w:tr>
      <w:tr w:rsidR="00987D98" w:rsidRPr="00EC62F6" w:rsidTr="00244B3C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color w:val="16365C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INA ADRIA B.V. - Hrvatska podružnica</w:t>
            </w:r>
            <w:r w:rsidRPr="00EC62F6">
              <w:rPr>
                <w:rFonts w:ascii="Arial" w:hAnsi="Arial" w:cs="Arial"/>
                <w:color w:val="16365C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1.739.085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STSI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944.986</w:t>
            </w:r>
          </w:p>
        </w:tc>
      </w:tr>
      <w:tr w:rsidR="00987D98" w:rsidRPr="00EC62F6" w:rsidTr="00244B3C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color w:val="16365C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CROSCO, d.o.o.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1.415.022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CROSCO, naftni servisi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621.313</w:t>
            </w:r>
          </w:p>
        </w:tc>
      </w:tr>
      <w:tr w:rsidR="00987D98" w:rsidRPr="00EC62F6" w:rsidTr="00244B3C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color w:val="16365C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INA Jadran d.o.o.</w:t>
            </w:r>
            <w:r w:rsidRPr="00EC62F6">
              <w:rPr>
                <w:rStyle w:val="Referencafusnote"/>
                <w:rFonts w:ascii="Arial" w:hAnsi="Arial" w:cs="Arial"/>
                <w:color w:val="16365C"/>
                <w:sz w:val="18"/>
                <w:szCs w:val="18"/>
              </w:rPr>
              <w:footnoteReference w:id="4"/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1.306.812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CALCIT LIKA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317.601</w:t>
            </w:r>
          </w:p>
        </w:tc>
      </w:tr>
      <w:tr w:rsidR="00987D98" w:rsidRPr="00EC62F6" w:rsidTr="00244B3C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color w:val="16365C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STSI d.o.o.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823.447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PODZEMNO SKLADIŠTE PLINA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134.558</w:t>
            </w:r>
          </w:p>
        </w:tc>
      </w:tr>
      <w:tr w:rsidR="00987D98" w:rsidRPr="00EC62F6" w:rsidTr="00244B3C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16365C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color w:val="16365C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ED-INA d.o.o.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656.915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B49E4" w:rsidRPr="005A7E4E" w:rsidRDefault="008B49E4" w:rsidP="009A154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5A7E4E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INA Jadran d.o.o.</w:t>
            </w:r>
            <w:r w:rsidR="005A7E4E" w:rsidRPr="005A7E4E">
              <w:rPr>
                <w:rFonts w:ascii="Arial" w:hAnsi="Arial" w:cs="Arial"/>
                <w:color w:val="16365C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</w:tcPr>
          <w:p w:rsidR="008B49E4" w:rsidRPr="00EC62F6" w:rsidRDefault="008B49E4" w:rsidP="009A1542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EC62F6">
              <w:rPr>
                <w:rFonts w:ascii="Arial" w:hAnsi="Arial" w:cs="Arial"/>
                <w:color w:val="16365C"/>
                <w:sz w:val="18"/>
                <w:szCs w:val="18"/>
              </w:rPr>
              <w:t>133.828</w:t>
            </w:r>
          </w:p>
        </w:tc>
      </w:tr>
      <w:tr w:rsidR="00804B2F" w:rsidRPr="00EC62F6" w:rsidTr="00244B3C">
        <w:trPr>
          <w:trHeight w:val="278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Ukupno top 5 poduz</w:t>
            </w:r>
            <w:r w:rsidR="008B49E4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.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po ukupn</w:t>
            </w:r>
            <w:r w:rsidR="00193401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im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prihod</w:t>
            </w:r>
            <w:r w:rsidR="00193401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ima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5.941.281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Ukupno top </w:t>
            </w:r>
            <w:r w:rsidR="008B49E4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5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poduz</w:t>
            </w:r>
            <w:r w:rsidR="008B49E4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.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po ukupn</w:t>
            </w:r>
            <w:r w:rsidR="00193401"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im prihodima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2.152.285</w:t>
            </w:r>
          </w:p>
        </w:tc>
      </w:tr>
      <w:tr w:rsidR="00804B2F" w:rsidRPr="00EC62F6" w:rsidTr="00244B3C">
        <w:trPr>
          <w:trHeight w:val="278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Ukupno svi poduzetnici u </w:t>
            </w:r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podr. 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djelatnosti 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8.394.108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Ukupno svi poduzetnici u </w:t>
            </w:r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podr. 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djelatnosti 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3.701.897</w:t>
            </w:r>
          </w:p>
        </w:tc>
      </w:tr>
      <w:tr w:rsidR="00804B2F" w:rsidRPr="00EC62F6" w:rsidTr="00244B3C">
        <w:trPr>
          <w:trHeight w:val="278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632E2" w:rsidRPr="00791B0C" w:rsidRDefault="004632E2" w:rsidP="00244B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Udio top 5 poduzetnika u UP </w:t>
            </w:r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podr. </w:t>
            </w:r>
            <w:proofErr w:type="gramStart"/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djelat</w:t>
            </w:r>
            <w:proofErr w:type="gramEnd"/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.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70,8%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632E2" w:rsidRPr="00791B0C" w:rsidRDefault="004632E2" w:rsidP="00244B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</w:pP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Udio top 5 poduzetnika u UP</w:t>
            </w:r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u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podr. </w:t>
            </w:r>
            <w:proofErr w:type="gramStart"/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djelat</w:t>
            </w:r>
            <w:proofErr w:type="gramEnd"/>
            <w:r w:rsidR="00244B3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>.</w:t>
            </w:r>
            <w:r w:rsidRPr="00791B0C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val="en-US"/>
              </w:rPr>
              <w:t xml:space="preserve"> 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4632E2" w:rsidRPr="00791B0C" w:rsidRDefault="004632E2" w:rsidP="009A1542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791B0C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58,1%</w:t>
            </w:r>
          </w:p>
        </w:tc>
      </w:tr>
    </w:tbl>
    <w:p w:rsidR="00792FCF" w:rsidRPr="00052698" w:rsidRDefault="00792FCF" w:rsidP="00792FCF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05269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244B3C" w:rsidRPr="00052698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05269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- Registar godišnjih financijskih izvještaja</w:t>
      </w:r>
    </w:p>
    <w:p w:rsidR="00F234CD" w:rsidRDefault="0083095C" w:rsidP="00791B0C">
      <w:pPr>
        <w:widowControl w:val="0"/>
        <w:spacing w:before="180" w:after="0" w:line="274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8E2E19">
        <w:rPr>
          <w:rFonts w:ascii="Arial" w:hAnsi="Arial" w:cs="Arial"/>
          <w:color w:val="17365D" w:themeColor="text2" w:themeShade="BF"/>
          <w:sz w:val="20"/>
          <w:szCs w:val="20"/>
        </w:rPr>
        <w:t>Prosječna mjesečna neto plaća zaposlenih kod poduzetnika u 2009. godini u području djelatnosti ruda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rstva i vađenja, iznosila je 6.5</w:t>
      </w:r>
      <w:r w:rsidRPr="008E2E19">
        <w:rPr>
          <w:rFonts w:ascii="Arial" w:hAnsi="Arial" w:cs="Arial"/>
          <w:color w:val="17365D" w:themeColor="text2" w:themeShade="BF"/>
          <w:sz w:val="20"/>
          <w:szCs w:val="20"/>
        </w:rPr>
        <w:t>47 kuna, a u 2019.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godini 8.485 kuna, što je 29,6</w:t>
      </w:r>
      <w:r w:rsidRPr="008E2E19">
        <w:rPr>
          <w:rFonts w:ascii="Arial" w:hAnsi="Arial" w:cs="Arial"/>
          <w:color w:val="17365D" w:themeColor="text2" w:themeShade="BF"/>
          <w:sz w:val="20"/>
          <w:szCs w:val="20"/>
        </w:rPr>
        <w:t>% više</w:t>
      </w:r>
      <w:r w:rsidRPr="00AA1ED0">
        <w:rPr>
          <w:rFonts w:ascii="Arial" w:hAnsi="Arial" w:cs="Arial"/>
          <w:color w:val="17365D" w:themeColor="text2" w:themeShade="BF"/>
          <w:sz w:val="20"/>
          <w:szCs w:val="20"/>
        </w:rPr>
        <w:t xml:space="preserve">. Za usporedbu, prosječna mjesečna neto plaća zaposlenih kod poduzetnika na razini RH u 2009. godini iznosila je </w:t>
      </w:r>
      <w:proofErr w:type="spellStart"/>
      <w:r w:rsidRPr="00AA1ED0">
        <w:rPr>
          <w:rFonts w:ascii="Arial" w:hAnsi="Arial" w:cs="Arial"/>
          <w:color w:val="17365D" w:themeColor="text2" w:themeShade="BF"/>
          <w:sz w:val="20"/>
          <w:szCs w:val="20"/>
        </w:rPr>
        <w:t>4.634</w:t>
      </w:r>
      <w:proofErr w:type="spellEnd"/>
      <w:r w:rsidRPr="00AA1ED0">
        <w:rPr>
          <w:rFonts w:ascii="Arial" w:hAnsi="Arial" w:cs="Arial"/>
          <w:color w:val="17365D" w:themeColor="text2" w:themeShade="BF"/>
          <w:sz w:val="20"/>
          <w:szCs w:val="20"/>
        </w:rPr>
        <w:t xml:space="preserve"> kuna, a u 2019.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godini 5.815 kuna, što je 25,5</w:t>
      </w:r>
      <w:r w:rsidRPr="00AA1ED0">
        <w:rPr>
          <w:rFonts w:ascii="Arial" w:hAnsi="Arial" w:cs="Arial"/>
          <w:color w:val="17365D" w:themeColor="text2" w:themeShade="BF"/>
          <w:sz w:val="20"/>
          <w:szCs w:val="20"/>
        </w:rPr>
        <w:t>% više.</w:t>
      </w:r>
      <w:r w:rsidRPr="00612811">
        <w:t xml:space="preserve"> </w:t>
      </w:r>
      <w:r w:rsidRPr="00612811">
        <w:rPr>
          <w:rFonts w:ascii="Arial" w:hAnsi="Arial" w:cs="Arial"/>
          <w:color w:val="17365D" w:themeColor="text2" w:themeShade="BF"/>
          <w:sz w:val="20"/>
          <w:szCs w:val="20"/>
        </w:rPr>
        <w:t xml:space="preserve">To je promatrano na razini područja djelatnosti najveća prosječna mjesečna plaća zaposlenih kod poduzetnika </w:t>
      </w:r>
      <w:r w:rsidR="009A1542">
        <w:rPr>
          <w:rFonts w:ascii="Arial" w:hAnsi="Arial" w:cs="Arial"/>
          <w:color w:val="17365D" w:themeColor="text2" w:themeShade="BF"/>
          <w:sz w:val="20"/>
          <w:szCs w:val="20"/>
        </w:rPr>
        <w:t xml:space="preserve">u 2019. godini </w:t>
      </w:r>
      <w:r w:rsidRPr="00612811">
        <w:rPr>
          <w:rFonts w:ascii="Arial" w:hAnsi="Arial" w:cs="Arial"/>
          <w:color w:val="17365D" w:themeColor="text2" w:themeShade="BF"/>
          <w:sz w:val="20"/>
          <w:szCs w:val="20"/>
        </w:rPr>
        <w:t>(8.485 kuna), što je 45,9% više od prosječne plaće zaposlenih na razini svih poduzetnika u RH (5.815 kuna).</w:t>
      </w:r>
    </w:p>
    <w:p w:rsidR="00244B3C" w:rsidRPr="00244B3C" w:rsidRDefault="00244B3C" w:rsidP="00244B3C">
      <w:pPr>
        <w:tabs>
          <w:tab w:val="left" w:pos="851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Slika 1.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244B3C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Osnovne informacije </w:t>
      </w:r>
      <w:r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(sažetak) </w:t>
      </w:r>
      <w:r w:rsidRPr="00244B3C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>prezentirane u servisu info.BIZ</w:t>
      </w:r>
      <w:r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 </w:t>
      </w:r>
      <w:r w:rsidR="00D719E0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- </w:t>
      </w:r>
      <w:r w:rsidRPr="00244B3C">
        <w:rPr>
          <w:rFonts w:ascii="Arial" w:hAnsi="Arial" w:cs="Arial"/>
          <w:b/>
          <w:color w:val="16365C"/>
          <w:sz w:val="18"/>
          <w:szCs w:val="18"/>
        </w:rPr>
        <w:t>INA ADRIA B.V. - Hrvatska podružnica</w:t>
      </w:r>
      <w:bookmarkStart w:id="0" w:name="_GoBack"/>
      <w:bookmarkEnd w:id="0"/>
    </w:p>
    <w:p w:rsidR="0017711F" w:rsidRDefault="00410885" w:rsidP="00EC35E1">
      <w:pPr>
        <w:widowControl w:val="0"/>
        <w:spacing w:after="0" w:line="24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DD8A866" wp14:editId="0D74A683">
            <wp:extent cx="6012000" cy="2772000"/>
            <wp:effectExtent l="0" t="0" r="8255" b="9525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8279" r="1223" b="10022"/>
                    <a:stretch/>
                  </pic:blipFill>
                  <pic:spPr bwMode="auto">
                    <a:xfrm>
                      <a:off x="0" y="0"/>
                      <a:ext cx="6012000" cy="27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711F">
        <w:rPr>
          <w:rFonts w:ascii="Arial" w:hAnsi="Arial" w:cs="Arial"/>
          <w:color w:val="17365D" w:themeColor="text2" w:themeShade="BF"/>
          <w:sz w:val="20"/>
          <w:szCs w:val="20"/>
          <w:highlight w:val="yellow"/>
        </w:rPr>
        <w:t xml:space="preserve"> </w:t>
      </w:r>
    </w:p>
    <w:p w:rsidR="00EC35E1" w:rsidRPr="00244B3C" w:rsidRDefault="00EC35E1" w:rsidP="00EC35E1">
      <w:pPr>
        <w:widowControl w:val="0"/>
        <w:spacing w:after="120" w:line="24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478BE316" wp14:editId="00C4A31C">
            <wp:extent cx="6012000" cy="9720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6776" r="1100" b="54248"/>
                    <a:stretch/>
                  </pic:blipFill>
                  <pic:spPr bwMode="auto">
                    <a:xfrm>
                      <a:off x="0" y="0"/>
                      <a:ext cx="6012000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964" w:type="dxa"/>
        <w:jc w:val="center"/>
        <w:tblInd w:w="-35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884"/>
      </w:tblGrid>
      <w:tr w:rsidR="00244B3C" w:rsidTr="00244B3C">
        <w:trPr>
          <w:trHeight w:val="1723"/>
          <w:jc w:val="center"/>
        </w:trPr>
        <w:tc>
          <w:tcPr>
            <w:tcW w:w="8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44B3C" w:rsidRDefault="00244B3C" w:rsidP="00D2247A">
            <w:pPr>
              <w:widowControl w:val="0"/>
              <w:tabs>
                <w:tab w:val="left" w:pos="343"/>
              </w:tabs>
              <w:spacing w:before="60" w:after="0" w:line="240" w:lineRule="auto"/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</w:pPr>
            <w:hyperlink r:id="rId14" w:history="1">
              <w:r>
                <w:rPr>
                  <w:rStyle w:val="Hiperveza"/>
                  <w:rFonts w:eastAsia="Times New Roman" w:cs="Arial"/>
                  <w:bCs/>
                  <w:i/>
                  <w:sz w:val="19"/>
                  <w:szCs w:val="19"/>
                  <w:shd w:val="clear" w:color="auto" w:fill="FFFFFF"/>
                  <w:lang w:eastAsia="hr-HR"/>
                </w:rPr>
                <w:t>Info.BIZ</w:t>
              </w:r>
            </w:hyperlink>
            <w:r>
              <w:rPr>
                <w:rFonts w:eastAsia="Times New Roman" w:cs="Arial"/>
                <w:i/>
                <w:color w:val="0000FF"/>
                <w:sz w:val="19"/>
                <w:szCs w:val="19"/>
                <w:u w:val="single"/>
                <w:shd w:val="clear" w:color="auto" w:fill="FFFFFF"/>
                <w:lang w:eastAsia="hr-HR"/>
              </w:rPr>
              <w:t xml:space="preserve"> </w:t>
            </w:r>
            <w:r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>
              <w:rPr>
                <w:rFonts w:eastAsia="Times New Roman" w:cs="Arial"/>
                <w:b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>830.000 poslovnih subjekata iz više od 30 izvora.</w:t>
            </w:r>
            <w:r>
              <w:rPr>
                <w:rFonts w:eastAsia="Times New Roman" w:cs="Arial"/>
                <w:i/>
                <w:color w:val="244061"/>
                <w:sz w:val="19"/>
                <w:szCs w:val="19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244B3C" w:rsidRDefault="00244B3C" w:rsidP="00D2247A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cs="Arial"/>
                <w:i/>
                <w:color w:val="007AFF"/>
                <w:sz w:val="19"/>
                <w:szCs w:val="19"/>
              </w:rPr>
            </w:pPr>
            <w:r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 xml:space="preserve">Ako ste zainteresirani i želite ugovoriti uslugu ili kupiti veći broj paketa: </w:t>
            </w:r>
            <w:hyperlink r:id="rId15" w:history="1">
              <w:r>
                <w:rPr>
                  <w:rStyle w:val="Hiperveza"/>
                  <w:rFonts w:cs="Arial"/>
                  <w:i/>
                  <w:sz w:val="19"/>
                  <w:szCs w:val="19"/>
                </w:rPr>
                <w:t>prodaja@</w:t>
              </w:r>
              <w:proofErr w:type="spellStart"/>
              <w:r>
                <w:rPr>
                  <w:rStyle w:val="Hiperveza"/>
                  <w:rFonts w:cs="Arial"/>
                  <w:i/>
                  <w:sz w:val="19"/>
                  <w:szCs w:val="19"/>
                </w:rPr>
                <w:t>fina.hr</w:t>
              </w:r>
              <w:proofErr w:type="spellEnd"/>
            </w:hyperlink>
            <w:r>
              <w:rPr>
                <w:rFonts w:cs="Arial"/>
                <w:i/>
                <w:color w:val="007AFF"/>
                <w:sz w:val="19"/>
                <w:szCs w:val="19"/>
              </w:rPr>
              <w:t xml:space="preserve"> </w:t>
            </w:r>
          </w:p>
          <w:p w:rsidR="00244B3C" w:rsidRDefault="00244B3C" w:rsidP="00D2247A">
            <w:pPr>
              <w:widowControl w:val="0"/>
              <w:tabs>
                <w:tab w:val="left" w:pos="343"/>
              </w:tabs>
              <w:spacing w:after="0" w:line="240" w:lineRule="auto"/>
              <w:rPr>
                <w:rFonts w:cs="Arial"/>
                <w:i/>
                <w:color w:val="0000FF"/>
                <w:sz w:val="19"/>
                <w:szCs w:val="19"/>
                <w:u w:val="single"/>
                <w:lang w:eastAsia="hr-HR"/>
              </w:rPr>
            </w:pPr>
            <w:r>
              <w:rPr>
                <w:rFonts w:cs="Arial"/>
                <w:i/>
                <w:color w:val="244061"/>
                <w:sz w:val="19"/>
                <w:szCs w:val="19"/>
                <w:shd w:val="clear" w:color="auto" w:fill="F5F6F8"/>
              </w:rPr>
              <w:t>Ako trebate korisničku podršku: 0800 0080</w:t>
            </w:r>
            <w:r>
              <w:rPr>
                <w:rFonts w:cs="Arial"/>
                <w:i/>
                <w:color w:val="33343A"/>
                <w:sz w:val="19"/>
                <w:szCs w:val="19"/>
                <w:shd w:val="clear" w:color="auto" w:fill="F5F6F8"/>
              </w:rPr>
              <w:t xml:space="preserve">, </w:t>
            </w:r>
            <w:hyperlink r:id="rId16" w:history="1">
              <w:proofErr w:type="spellStart"/>
              <w:r>
                <w:rPr>
                  <w:rStyle w:val="Hiperveza"/>
                  <w:rFonts w:cs="Arial"/>
                  <w:i/>
                  <w:color w:val="007AFF"/>
                  <w:sz w:val="19"/>
                  <w:szCs w:val="19"/>
                </w:rPr>
                <w:t>info</w:t>
              </w:r>
              <w:proofErr w:type="spellEnd"/>
              <w:r>
                <w:rPr>
                  <w:rStyle w:val="Hiperveza"/>
                  <w:rFonts w:cs="Arial"/>
                  <w:i/>
                  <w:color w:val="007AFF"/>
                  <w:sz w:val="19"/>
                  <w:szCs w:val="19"/>
                </w:rPr>
                <w:t>@</w:t>
              </w:r>
              <w:proofErr w:type="spellStart"/>
              <w:r>
                <w:rPr>
                  <w:rStyle w:val="Hiperveza"/>
                  <w:rFonts w:cs="Arial"/>
                  <w:i/>
                  <w:color w:val="007AFF"/>
                  <w:sz w:val="19"/>
                  <w:szCs w:val="19"/>
                </w:rPr>
                <w:t>fina.hr</w:t>
              </w:r>
              <w:proofErr w:type="spellEnd"/>
            </w:hyperlink>
          </w:p>
        </w:tc>
        <w:tc>
          <w:tcPr>
            <w:tcW w:w="18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44B3C" w:rsidRDefault="00244B3C" w:rsidP="00D2247A">
            <w:pPr>
              <w:spacing w:after="0" w:line="240" w:lineRule="auto"/>
              <w:jc w:val="center"/>
              <w:rPr>
                <w:rFonts w:cs="Arial"/>
                <w:bCs/>
                <w:color w:val="17365D"/>
                <w:sz w:val="17"/>
                <w:szCs w:val="17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311CDF8" wp14:editId="2D176389">
                  <wp:extent cx="1119225" cy="1111911"/>
                  <wp:effectExtent l="0" t="0" r="5080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25" cy="11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78B" w:rsidRPr="00244B3C" w:rsidRDefault="0024778B" w:rsidP="00244B3C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4"/>
          <w:szCs w:val="4"/>
          <w:lang w:eastAsia="hr-HR"/>
        </w:rPr>
      </w:pPr>
    </w:p>
    <w:sectPr w:rsidR="0024778B" w:rsidRPr="00244B3C" w:rsidSect="00F234C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F8" w:rsidRDefault="001F4DF8" w:rsidP="007B2A8F">
      <w:pPr>
        <w:spacing w:after="0" w:line="240" w:lineRule="auto"/>
      </w:pPr>
      <w:r>
        <w:separator/>
      </w:r>
    </w:p>
  </w:endnote>
  <w:endnote w:type="continuationSeparator" w:id="0">
    <w:p w:rsidR="001F4DF8" w:rsidRDefault="001F4DF8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85" w:rsidRPr="009F49CF" w:rsidRDefault="00410885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F8" w:rsidRDefault="001F4DF8" w:rsidP="007B2A8F">
      <w:pPr>
        <w:spacing w:after="0" w:line="240" w:lineRule="auto"/>
      </w:pPr>
      <w:r>
        <w:separator/>
      </w:r>
    </w:p>
  </w:footnote>
  <w:footnote w:type="continuationSeparator" w:id="0">
    <w:p w:rsidR="001F4DF8" w:rsidRDefault="001F4DF8" w:rsidP="007B2A8F">
      <w:pPr>
        <w:spacing w:after="0" w:line="240" w:lineRule="auto"/>
      </w:pPr>
      <w:r>
        <w:continuationSeparator/>
      </w:r>
    </w:p>
  </w:footnote>
  <w:footnote w:id="1">
    <w:p w:rsidR="00410885" w:rsidRPr="00256606" w:rsidRDefault="00410885">
      <w:pPr>
        <w:pStyle w:val="Tekstfusnote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256606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256606">
        <w:rPr>
          <w:rFonts w:ascii="Arial" w:hAnsi="Arial" w:cs="Arial"/>
          <w:color w:val="244061" w:themeColor="accent1" w:themeShade="80"/>
          <w:sz w:val="17"/>
          <w:szCs w:val="17"/>
        </w:rPr>
        <w:t xml:space="preserve"> U navedene rezultate poduzetnika nisu uključeni rezultati </w:t>
      </w:r>
      <w:r w:rsidRPr="00A41480">
        <w:rPr>
          <w:rFonts w:ascii="Arial" w:hAnsi="Arial" w:cs="Arial"/>
          <w:color w:val="244061" w:themeColor="accent1" w:themeShade="80"/>
          <w:sz w:val="17"/>
          <w:szCs w:val="17"/>
        </w:rPr>
        <w:t xml:space="preserve">društva </w:t>
      </w:r>
      <w:hyperlink r:id="rId1" w:tgtFrame="_blank" w:history="1">
        <w:r w:rsidRPr="00A41480">
          <w:rPr>
            <w:rFonts w:ascii="Arial" w:hAnsi="Arial" w:cs="Arial"/>
            <w:color w:val="0000FF"/>
            <w:sz w:val="17"/>
            <w:szCs w:val="17"/>
            <w:u w:val="single"/>
          </w:rPr>
          <w:t>SOLANA PAG d.d.</w:t>
        </w:r>
      </w:hyperlink>
      <w:r w:rsidRPr="00A41480">
        <w:rPr>
          <w:rFonts w:ascii="Arial" w:hAnsi="Arial" w:cs="Arial"/>
          <w:color w:val="244061" w:themeColor="accent1" w:themeShade="80"/>
          <w:sz w:val="17"/>
          <w:szCs w:val="17"/>
        </w:rPr>
        <w:t>, jer isto</w:t>
      </w:r>
      <w:r w:rsidRPr="00256606">
        <w:rPr>
          <w:rFonts w:ascii="Arial" w:hAnsi="Arial" w:cs="Arial"/>
          <w:color w:val="244061" w:themeColor="accent1" w:themeShade="80"/>
          <w:sz w:val="17"/>
          <w:szCs w:val="17"/>
        </w:rPr>
        <w:t xml:space="preserve"> nije podnijelo godišnji financijski izvještaj za statističke i dr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  <w:r w:rsidRPr="00256606">
        <w:rPr>
          <w:rFonts w:ascii="Arial" w:hAnsi="Arial" w:cs="Arial"/>
          <w:color w:val="244061" w:themeColor="accent1" w:themeShade="80"/>
          <w:sz w:val="17"/>
          <w:szCs w:val="17"/>
        </w:rPr>
        <w:t xml:space="preserve"> potrebe 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za 2016. i 2017. godinu </w:t>
      </w:r>
      <w:r w:rsidRPr="00256606">
        <w:rPr>
          <w:rFonts w:ascii="Arial" w:hAnsi="Arial" w:cs="Arial"/>
          <w:color w:val="244061" w:themeColor="accent1" w:themeShade="80"/>
          <w:sz w:val="17"/>
          <w:szCs w:val="17"/>
        </w:rPr>
        <w:t>na osnovi kojih je izrađena ova analiza. Izvor: FINA, RGFI.</w:t>
      </w:r>
    </w:p>
  </w:footnote>
  <w:footnote w:id="2">
    <w:p w:rsidR="00410885" w:rsidRPr="0038496F" w:rsidRDefault="00410885" w:rsidP="00410885">
      <w:pPr>
        <w:pStyle w:val="Tekstfusnote"/>
        <w:rPr>
          <w:rFonts w:ascii="Arial" w:hAnsi="Arial" w:cs="Arial"/>
          <w:color w:val="17365D" w:themeColor="text2" w:themeShade="BF"/>
          <w:sz w:val="17"/>
          <w:szCs w:val="17"/>
        </w:rPr>
      </w:pPr>
      <w:r w:rsidRPr="0038496F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38496F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38496F">
        <w:rPr>
          <w:rFonts w:ascii="Arial" w:hAnsi="Arial" w:cs="Arial"/>
          <w:color w:val="17365D" w:themeColor="text2" w:themeShade="BF"/>
          <w:sz w:val="17"/>
          <w:szCs w:val="17"/>
        </w:rPr>
        <w:t>Trgovački sud u Zagrebu brisao je INA Adria B.V.</w:t>
      </w:r>
      <w:r w:rsidRPr="0038496F">
        <w:rPr>
          <w:sz w:val="17"/>
          <w:szCs w:val="17"/>
        </w:rPr>
        <w:t xml:space="preserve"> </w:t>
      </w:r>
      <w:r w:rsidRPr="0038496F">
        <w:rPr>
          <w:rFonts w:ascii="Arial" w:hAnsi="Arial" w:cs="Arial"/>
          <w:color w:val="17365D" w:themeColor="text2" w:themeShade="BF"/>
          <w:sz w:val="17"/>
          <w:szCs w:val="17"/>
        </w:rPr>
        <w:t>- Hrvatska podružnica, 13.10.2020 rješenjem Tt-20/32886-1. Izvor: Sudski registar, preuzeto 22. veljače 2021. godine.</w:t>
      </w:r>
    </w:p>
  </w:footnote>
  <w:footnote w:id="3">
    <w:p w:rsidR="00410885" w:rsidRPr="008B49E4" w:rsidRDefault="00410885" w:rsidP="00255E0F">
      <w:pPr>
        <w:pStyle w:val="Tekstfusnote"/>
        <w:spacing w:before="20"/>
        <w:rPr>
          <w:rFonts w:ascii="Arial" w:hAnsi="Arial" w:cs="Arial"/>
          <w:sz w:val="17"/>
          <w:szCs w:val="17"/>
        </w:rPr>
      </w:pPr>
      <w:r w:rsidRPr="008B49E4">
        <w:rPr>
          <w:rStyle w:val="Referencafusnote"/>
          <w:rFonts w:ascii="Arial" w:hAnsi="Arial" w:cs="Arial"/>
          <w:sz w:val="17"/>
          <w:szCs w:val="17"/>
        </w:rPr>
        <w:footnoteRef/>
      </w:r>
      <w:r w:rsidRPr="008B49E4">
        <w:rPr>
          <w:rFonts w:ascii="Arial" w:hAnsi="Arial" w:cs="Arial"/>
          <w:sz w:val="17"/>
          <w:szCs w:val="17"/>
        </w:rPr>
        <w:t xml:space="preserve"> </w:t>
      </w:r>
      <w:r w:rsidRPr="008B49E4">
        <w:rPr>
          <w:rFonts w:ascii="Arial" w:hAnsi="Arial" w:cs="Arial"/>
          <w:color w:val="17365D" w:themeColor="text2" w:themeShade="BF"/>
          <w:sz w:val="17"/>
          <w:szCs w:val="17"/>
        </w:rPr>
        <w:t>Trgovački sud u Rijeci brisao je MICOPERI d.o.o. u likvidaciji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,</w:t>
      </w:r>
      <w:r w:rsidRPr="008B49E4">
        <w:rPr>
          <w:rFonts w:ascii="Arial" w:hAnsi="Arial" w:cs="Arial"/>
          <w:color w:val="17365D" w:themeColor="text2" w:themeShade="BF"/>
          <w:sz w:val="17"/>
          <w:szCs w:val="17"/>
        </w:rPr>
        <w:t xml:space="preserve"> 20.05.2019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.</w:t>
      </w:r>
      <w:r w:rsidRPr="008B49E4">
        <w:rPr>
          <w:rFonts w:ascii="Arial" w:hAnsi="Arial" w:cs="Arial"/>
          <w:color w:val="17365D" w:themeColor="text2" w:themeShade="BF"/>
          <w:sz w:val="17"/>
          <w:szCs w:val="17"/>
        </w:rPr>
        <w:t xml:space="preserve"> rješenjem Tt-19/2313-8. Izvor: Sudski registar, preuzeto 22. veljače 2021. godine.</w:t>
      </w:r>
    </w:p>
  </w:footnote>
  <w:footnote w:id="4">
    <w:p w:rsidR="00410885" w:rsidRPr="008B49E4" w:rsidRDefault="00410885" w:rsidP="00244B3C">
      <w:pPr>
        <w:pStyle w:val="Tekstfusnote"/>
        <w:rPr>
          <w:rFonts w:ascii="Arial" w:hAnsi="Arial" w:cs="Arial"/>
          <w:sz w:val="17"/>
          <w:szCs w:val="17"/>
        </w:rPr>
      </w:pPr>
      <w:r w:rsidRPr="008B49E4">
        <w:rPr>
          <w:rStyle w:val="Referencafusnote"/>
          <w:rFonts w:ascii="Arial" w:hAnsi="Arial" w:cs="Arial"/>
          <w:sz w:val="17"/>
          <w:szCs w:val="17"/>
        </w:rPr>
        <w:footnoteRef/>
      </w:r>
      <w:r w:rsidRPr="008B49E4">
        <w:rPr>
          <w:rFonts w:ascii="Arial" w:hAnsi="Arial" w:cs="Arial"/>
          <w:sz w:val="17"/>
          <w:szCs w:val="17"/>
        </w:rPr>
        <w:t xml:space="preserve"> </w:t>
      </w:r>
      <w:r w:rsidRPr="008B49E4">
        <w:rPr>
          <w:rFonts w:ascii="Arial" w:hAnsi="Arial" w:cs="Arial"/>
          <w:color w:val="17365D" w:themeColor="text2" w:themeShade="BF"/>
          <w:sz w:val="17"/>
          <w:szCs w:val="17"/>
        </w:rPr>
        <w:t xml:space="preserve">Trgovački sud u Zagrebu 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objavio je 3.1.2020.</w:t>
      </w:r>
      <w:r w:rsidRPr="00612811">
        <w:rPr>
          <w:rFonts w:ascii="Arial" w:hAnsi="Arial" w:cs="Arial"/>
          <w:color w:val="17365D" w:themeColor="text2" w:themeShade="BF"/>
          <w:sz w:val="17"/>
          <w:szCs w:val="17"/>
        </w:rPr>
        <w:t xml:space="preserve"> prip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ajanje</w:t>
      </w:r>
      <w:r w:rsidRPr="00612811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t</w:t>
      </w:r>
      <w:r w:rsidRPr="00612811">
        <w:rPr>
          <w:rFonts w:ascii="Arial" w:hAnsi="Arial" w:cs="Arial"/>
          <w:color w:val="17365D" w:themeColor="text2" w:themeShade="BF"/>
          <w:sz w:val="17"/>
          <w:szCs w:val="17"/>
        </w:rPr>
        <w:t>rgovačko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g</w:t>
      </w:r>
      <w:r w:rsidRPr="00612811">
        <w:rPr>
          <w:rFonts w:ascii="Arial" w:hAnsi="Arial" w:cs="Arial"/>
          <w:color w:val="17365D" w:themeColor="text2" w:themeShade="BF"/>
          <w:sz w:val="17"/>
          <w:szCs w:val="17"/>
        </w:rPr>
        <w:t xml:space="preserve"> društv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a</w:t>
      </w:r>
      <w:r w:rsidRPr="00612811">
        <w:rPr>
          <w:rFonts w:ascii="Arial" w:hAnsi="Arial" w:cs="Arial"/>
          <w:color w:val="17365D" w:themeColor="text2" w:themeShade="BF"/>
          <w:sz w:val="17"/>
          <w:szCs w:val="17"/>
        </w:rPr>
        <w:t xml:space="preserve"> INA Jadran d.o.o. sa sjedištem u Zagrebu, Lovinčićeva ulica 6/B, OIB 83237708701 društvu INA-INDUSTRIJA NAFTE, d.d., sa sjedištem u Zagrebu, Avenija V. Holjevca 10, OIB 27759560625, temeljem Ugovora o pripajanju od 10.10.201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9., slijedom čega je isti Sud </w:t>
      </w:r>
      <w:r w:rsidRPr="008B49E4">
        <w:rPr>
          <w:rFonts w:ascii="Arial" w:hAnsi="Arial" w:cs="Arial"/>
          <w:color w:val="17365D" w:themeColor="text2" w:themeShade="BF"/>
          <w:sz w:val="17"/>
          <w:szCs w:val="17"/>
        </w:rPr>
        <w:t>brisao INA Jadran d.o.o. 1.02.2020 rješenjem Tt-20/1164-1. Izvor: Sudski registar, preuzeto 22. veljače 2021.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85" w:rsidRPr="006F7E7C" w:rsidRDefault="00410885" w:rsidP="006F7E7C">
    <w:pPr>
      <w:pStyle w:val="Zaglavlje"/>
      <w:spacing w:after="0" w:line="240" w:lineRule="auto"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480A3413" wp14:editId="4A7C93AB">
          <wp:extent cx="1009650" cy="2286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885" w:rsidRPr="009F49CF" w:rsidRDefault="00410885" w:rsidP="009F49CF">
    <w:pPr>
      <w:pStyle w:val="Zaglavlje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11F81"/>
    <w:rsid w:val="00013BB5"/>
    <w:rsid w:val="00017B61"/>
    <w:rsid w:val="000240C0"/>
    <w:rsid w:val="000313C3"/>
    <w:rsid w:val="00034238"/>
    <w:rsid w:val="00034B9B"/>
    <w:rsid w:val="00052698"/>
    <w:rsid w:val="00056953"/>
    <w:rsid w:val="0006358C"/>
    <w:rsid w:val="00063EA3"/>
    <w:rsid w:val="00064844"/>
    <w:rsid w:val="000648CD"/>
    <w:rsid w:val="00065681"/>
    <w:rsid w:val="000739F9"/>
    <w:rsid w:val="00081E45"/>
    <w:rsid w:val="00085065"/>
    <w:rsid w:val="00087C3C"/>
    <w:rsid w:val="00090A6E"/>
    <w:rsid w:val="000B0B82"/>
    <w:rsid w:val="000B0D14"/>
    <w:rsid w:val="000B60F4"/>
    <w:rsid w:val="000C1F17"/>
    <w:rsid w:val="000C2DF4"/>
    <w:rsid w:val="000C3C47"/>
    <w:rsid w:val="000C6987"/>
    <w:rsid w:val="000C79BE"/>
    <w:rsid w:val="000D080F"/>
    <w:rsid w:val="000D0839"/>
    <w:rsid w:val="000D1CEC"/>
    <w:rsid w:val="000E6B95"/>
    <w:rsid w:val="000F2FAE"/>
    <w:rsid w:val="000F38A7"/>
    <w:rsid w:val="001007B4"/>
    <w:rsid w:val="0010755E"/>
    <w:rsid w:val="001127DD"/>
    <w:rsid w:val="0011415D"/>
    <w:rsid w:val="00121EC4"/>
    <w:rsid w:val="00135A7C"/>
    <w:rsid w:val="00141DC1"/>
    <w:rsid w:val="0015427A"/>
    <w:rsid w:val="001546C1"/>
    <w:rsid w:val="00160A5F"/>
    <w:rsid w:val="0017711F"/>
    <w:rsid w:val="00180F7D"/>
    <w:rsid w:val="001922C3"/>
    <w:rsid w:val="00193401"/>
    <w:rsid w:val="0019506D"/>
    <w:rsid w:val="001A0294"/>
    <w:rsid w:val="001A05E1"/>
    <w:rsid w:val="001A5AAD"/>
    <w:rsid w:val="001A789B"/>
    <w:rsid w:val="001B0B1F"/>
    <w:rsid w:val="001C1CFE"/>
    <w:rsid w:val="001C2559"/>
    <w:rsid w:val="001C2B82"/>
    <w:rsid w:val="001C5E37"/>
    <w:rsid w:val="001C7206"/>
    <w:rsid w:val="001C75B5"/>
    <w:rsid w:val="001D06D1"/>
    <w:rsid w:val="001D1411"/>
    <w:rsid w:val="001D280B"/>
    <w:rsid w:val="001D2968"/>
    <w:rsid w:val="001E44C5"/>
    <w:rsid w:val="001E4F8E"/>
    <w:rsid w:val="001E7BA4"/>
    <w:rsid w:val="001F3AFC"/>
    <w:rsid w:val="001F4DF8"/>
    <w:rsid w:val="001F6DDA"/>
    <w:rsid w:val="001F7095"/>
    <w:rsid w:val="001F77FC"/>
    <w:rsid w:val="0020281F"/>
    <w:rsid w:val="002166AA"/>
    <w:rsid w:val="00232CF7"/>
    <w:rsid w:val="00233236"/>
    <w:rsid w:val="0023713A"/>
    <w:rsid w:val="002418FA"/>
    <w:rsid w:val="00244B3C"/>
    <w:rsid w:val="00244DD0"/>
    <w:rsid w:val="00247467"/>
    <w:rsid w:val="0024778B"/>
    <w:rsid w:val="002545AE"/>
    <w:rsid w:val="00255E0F"/>
    <w:rsid w:val="002560B7"/>
    <w:rsid w:val="00256606"/>
    <w:rsid w:val="00260AC2"/>
    <w:rsid w:val="00263FEA"/>
    <w:rsid w:val="00271095"/>
    <w:rsid w:val="00275DFF"/>
    <w:rsid w:val="00281CF2"/>
    <w:rsid w:val="002836B5"/>
    <w:rsid w:val="0028522D"/>
    <w:rsid w:val="002929B2"/>
    <w:rsid w:val="00294302"/>
    <w:rsid w:val="002968EE"/>
    <w:rsid w:val="00297A85"/>
    <w:rsid w:val="002A03D0"/>
    <w:rsid w:val="002A3FB1"/>
    <w:rsid w:val="002B248F"/>
    <w:rsid w:val="002C06CC"/>
    <w:rsid w:val="002C5919"/>
    <w:rsid w:val="002C7623"/>
    <w:rsid w:val="002D3059"/>
    <w:rsid w:val="002E1D32"/>
    <w:rsid w:val="002F350C"/>
    <w:rsid w:val="003008CF"/>
    <w:rsid w:val="00301CFD"/>
    <w:rsid w:val="0031062C"/>
    <w:rsid w:val="00314165"/>
    <w:rsid w:val="00317143"/>
    <w:rsid w:val="00321A4C"/>
    <w:rsid w:val="00323DF6"/>
    <w:rsid w:val="00330A51"/>
    <w:rsid w:val="003445A6"/>
    <w:rsid w:val="00347AB3"/>
    <w:rsid w:val="00355FA9"/>
    <w:rsid w:val="0036101E"/>
    <w:rsid w:val="00361CAA"/>
    <w:rsid w:val="0036540B"/>
    <w:rsid w:val="00367A3F"/>
    <w:rsid w:val="00370D2D"/>
    <w:rsid w:val="00372222"/>
    <w:rsid w:val="0038496F"/>
    <w:rsid w:val="0039264D"/>
    <w:rsid w:val="003926C6"/>
    <w:rsid w:val="00394702"/>
    <w:rsid w:val="00394F26"/>
    <w:rsid w:val="003A6042"/>
    <w:rsid w:val="003B3B70"/>
    <w:rsid w:val="003B4B86"/>
    <w:rsid w:val="003B6B3B"/>
    <w:rsid w:val="003B7CDB"/>
    <w:rsid w:val="003D06EC"/>
    <w:rsid w:val="003D1FC3"/>
    <w:rsid w:val="003E2FFF"/>
    <w:rsid w:val="003E3416"/>
    <w:rsid w:val="003F12CA"/>
    <w:rsid w:val="003F4092"/>
    <w:rsid w:val="0040392F"/>
    <w:rsid w:val="004041E5"/>
    <w:rsid w:val="00405E61"/>
    <w:rsid w:val="00410885"/>
    <w:rsid w:val="00413019"/>
    <w:rsid w:val="004143C5"/>
    <w:rsid w:val="00416FDA"/>
    <w:rsid w:val="00423049"/>
    <w:rsid w:val="00423CB4"/>
    <w:rsid w:val="004357DA"/>
    <w:rsid w:val="00436AC7"/>
    <w:rsid w:val="0044344C"/>
    <w:rsid w:val="00444DDD"/>
    <w:rsid w:val="004516AB"/>
    <w:rsid w:val="0045171D"/>
    <w:rsid w:val="0046080A"/>
    <w:rsid w:val="004632E2"/>
    <w:rsid w:val="00463564"/>
    <w:rsid w:val="00477A89"/>
    <w:rsid w:val="00481684"/>
    <w:rsid w:val="004A2DF7"/>
    <w:rsid w:val="004A3DAC"/>
    <w:rsid w:val="004A57ED"/>
    <w:rsid w:val="004A676A"/>
    <w:rsid w:val="004B3C40"/>
    <w:rsid w:val="004C184C"/>
    <w:rsid w:val="004C1D78"/>
    <w:rsid w:val="004C3BD2"/>
    <w:rsid w:val="004E781A"/>
    <w:rsid w:val="004F3076"/>
    <w:rsid w:val="004F47D0"/>
    <w:rsid w:val="00501AA4"/>
    <w:rsid w:val="005254B0"/>
    <w:rsid w:val="00530294"/>
    <w:rsid w:val="00534B63"/>
    <w:rsid w:val="00544C59"/>
    <w:rsid w:val="0055326B"/>
    <w:rsid w:val="00554F1F"/>
    <w:rsid w:val="00556C3B"/>
    <w:rsid w:val="00557C9C"/>
    <w:rsid w:val="00562F16"/>
    <w:rsid w:val="005661A6"/>
    <w:rsid w:val="00576B37"/>
    <w:rsid w:val="0059353B"/>
    <w:rsid w:val="00593C83"/>
    <w:rsid w:val="005A3554"/>
    <w:rsid w:val="005A3BA3"/>
    <w:rsid w:val="005A7266"/>
    <w:rsid w:val="005A7E4E"/>
    <w:rsid w:val="005B320E"/>
    <w:rsid w:val="005B474F"/>
    <w:rsid w:val="005B6796"/>
    <w:rsid w:val="005B71D4"/>
    <w:rsid w:val="005E352F"/>
    <w:rsid w:val="005F4B64"/>
    <w:rsid w:val="00610E3B"/>
    <w:rsid w:val="00612811"/>
    <w:rsid w:val="006144A9"/>
    <w:rsid w:val="0061499D"/>
    <w:rsid w:val="006155E6"/>
    <w:rsid w:val="006170B2"/>
    <w:rsid w:val="006215DB"/>
    <w:rsid w:val="006217FC"/>
    <w:rsid w:val="00623241"/>
    <w:rsid w:val="006332AC"/>
    <w:rsid w:val="00654A99"/>
    <w:rsid w:val="006553EB"/>
    <w:rsid w:val="00663BC2"/>
    <w:rsid w:val="0067226A"/>
    <w:rsid w:val="00684EA1"/>
    <w:rsid w:val="0069673D"/>
    <w:rsid w:val="006A01B7"/>
    <w:rsid w:val="006A44D2"/>
    <w:rsid w:val="006A57F1"/>
    <w:rsid w:val="006A711E"/>
    <w:rsid w:val="006B3D4C"/>
    <w:rsid w:val="006C118C"/>
    <w:rsid w:val="006C1C6A"/>
    <w:rsid w:val="006C4DFA"/>
    <w:rsid w:val="006C5936"/>
    <w:rsid w:val="006C5A01"/>
    <w:rsid w:val="006D0A19"/>
    <w:rsid w:val="006D0DC6"/>
    <w:rsid w:val="006E322B"/>
    <w:rsid w:val="006E52F6"/>
    <w:rsid w:val="006F3355"/>
    <w:rsid w:val="006F6B0B"/>
    <w:rsid w:val="006F7E7C"/>
    <w:rsid w:val="007013DC"/>
    <w:rsid w:val="007062FC"/>
    <w:rsid w:val="007176E8"/>
    <w:rsid w:val="00720E23"/>
    <w:rsid w:val="0072704E"/>
    <w:rsid w:val="0073037A"/>
    <w:rsid w:val="00732E81"/>
    <w:rsid w:val="00733E46"/>
    <w:rsid w:val="007342E3"/>
    <w:rsid w:val="00740F8C"/>
    <w:rsid w:val="00741BBE"/>
    <w:rsid w:val="00743C01"/>
    <w:rsid w:val="007522B4"/>
    <w:rsid w:val="007570F2"/>
    <w:rsid w:val="0076344D"/>
    <w:rsid w:val="0076621C"/>
    <w:rsid w:val="00772242"/>
    <w:rsid w:val="00791B0C"/>
    <w:rsid w:val="00792FCF"/>
    <w:rsid w:val="007A49AC"/>
    <w:rsid w:val="007B2A8F"/>
    <w:rsid w:val="007B2BFC"/>
    <w:rsid w:val="007B67C6"/>
    <w:rsid w:val="007C49CE"/>
    <w:rsid w:val="007D2CBB"/>
    <w:rsid w:val="007D30BF"/>
    <w:rsid w:val="007D3402"/>
    <w:rsid w:val="007D4227"/>
    <w:rsid w:val="007D5569"/>
    <w:rsid w:val="007D5FEC"/>
    <w:rsid w:val="007E0B92"/>
    <w:rsid w:val="007E1F51"/>
    <w:rsid w:val="007E3D1A"/>
    <w:rsid w:val="007E7D0E"/>
    <w:rsid w:val="007F2B70"/>
    <w:rsid w:val="007F6DE5"/>
    <w:rsid w:val="008031AA"/>
    <w:rsid w:val="00804B2F"/>
    <w:rsid w:val="00821945"/>
    <w:rsid w:val="0083095C"/>
    <w:rsid w:val="00830F75"/>
    <w:rsid w:val="00833BC6"/>
    <w:rsid w:val="00835D8C"/>
    <w:rsid w:val="00843F11"/>
    <w:rsid w:val="0084593A"/>
    <w:rsid w:val="008460DB"/>
    <w:rsid w:val="0085519D"/>
    <w:rsid w:val="00857A41"/>
    <w:rsid w:val="00865E7B"/>
    <w:rsid w:val="008726C8"/>
    <w:rsid w:val="00881574"/>
    <w:rsid w:val="00882946"/>
    <w:rsid w:val="0088550D"/>
    <w:rsid w:val="0088622B"/>
    <w:rsid w:val="00887F22"/>
    <w:rsid w:val="008944AD"/>
    <w:rsid w:val="0089657E"/>
    <w:rsid w:val="008A4DD6"/>
    <w:rsid w:val="008A7112"/>
    <w:rsid w:val="008B49E4"/>
    <w:rsid w:val="008B5D33"/>
    <w:rsid w:val="008B6E1A"/>
    <w:rsid w:val="008C3B0C"/>
    <w:rsid w:val="008D288E"/>
    <w:rsid w:val="008D6E46"/>
    <w:rsid w:val="008D7E10"/>
    <w:rsid w:val="008E2A94"/>
    <w:rsid w:val="008E2E19"/>
    <w:rsid w:val="008E4EF5"/>
    <w:rsid w:val="008E545C"/>
    <w:rsid w:val="008E6FFE"/>
    <w:rsid w:val="008F2973"/>
    <w:rsid w:val="008F2F49"/>
    <w:rsid w:val="008F6D6D"/>
    <w:rsid w:val="00905FA9"/>
    <w:rsid w:val="00906688"/>
    <w:rsid w:val="00913A67"/>
    <w:rsid w:val="009146A0"/>
    <w:rsid w:val="00916385"/>
    <w:rsid w:val="00921817"/>
    <w:rsid w:val="0093010F"/>
    <w:rsid w:val="0093110C"/>
    <w:rsid w:val="00934D4D"/>
    <w:rsid w:val="00940325"/>
    <w:rsid w:val="00947AF0"/>
    <w:rsid w:val="00951FCE"/>
    <w:rsid w:val="00953954"/>
    <w:rsid w:val="009568D1"/>
    <w:rsid w:val="00962227"/>
    <w:rsid w:val="00967157"/>
    <w:rsid w:val="00971ACB"/>
    <w:rsid w:val="0097291F"/>
    <w:rsid w:val="00974186"/>
    <w:rsid w:val="009767F0"/>
    <w:rsid w:val="00976A8A"/>
    <w:rsid w:val="00976D31"/>
    <w:rsid w:val="0098063C"/>
    <w:rsid w:val="00987D98"/>
    <w:rsid w:val="00992E73"/>
    <w:rsid w:val="00996089"/>
    <w:rsid w:val="009A0A59"/>
    <w:rsid w:val="009A1542"/>
    <w:rsid w:val="009B23CA"/>
    <w:rsid w:val="009B35C6"/>
    <w:rsid w:val="009D139C"/>
    <w:rsid w:val="009D2693"/>
    <w:rsid w:val="009D321A"/>
    <w:rsid w:val="009D77C2"/>
    <w:rsid w:val="009D7C3E"/>
    <w:rsid w:val="009F3895"/>
    <w:rsid w:val="009F49CF"/>
    <w:rsid w:val="009F4E4F"/>
    <w:rsid w:val="009F71BE"/>
    <w:rsid w:val="00A048EB"/>
    <w:rsid w:val="00A075C3"/>
    <w:rsid w:val="00A11600"/>
    <w:rsid w:val="00A14692"/>
    <w:rsid w:val="00A1471E"/>
    <w:rsid w:val="00A1497D"/>
    <w:rsid w:val="00A15C06"/>
    <w:rsid w:val="00A16A6B"/>
    <w:rsid w:val="00A1775E"/>
    <w:rsid w:val="00A226B0"/>
    <w:rsid w:val="00A2284E"/>
    <w:rsid w:val="00A246B1"/>
    <w:rsid w:val="00A30FA3"/>
    <w:rsid w:val="00A318E0"/>
    <w:rsid w:val="00A32737"/>
    <w:rsid w:val="00A41480"/>
    <w:rsid w:val="00A42CE3"/>
    <w:rsid w:val="00A4542C"/>
    <w:rsid w:val="00A52076"/>
    <w:rsid w:val="00A6727D"/>
    <w:rsid w:val="00A8453A"/>
    <w:rsid w:val="00A84EA1"/>
    <w:rsid w:val="00A87C05"/>
    <w:rsid w:val="00A92BDB"/>
    <w:rsid w:val="00A933F1"/>
    <w:rsid w:val="00AA1ED0"/>
    <w:rsid w:val="00AB0F73"/>
    <w:rsid w:val="00AB29A2"/>
    <w:rsid w:val="00AB4BC5"/>
    <w:rsid w:val="00AB4FC1"/>
    <w:rsid w:val="00AB6470"/>
    <w:rsid w:val="00AC049D"/>
    <w:rsid w:val="00AC1F2F"/>
    <w:rsid w:val="00AC26DF"/>
    <w:rsid w:val="00AC53DA"/>
    <w:rsid w:val="00AC5AAB"/>
    <w:rsid w:val="00AE0CB3"/>
    <w:rsid w:val="00AE7AD3"/>
    <w:rsid w:val="00AF4958"/>
    <w:rsid w:val="00B0024E"/>
    <w:rsid w:val="00B03524"/>
    <w:rsid w:val="00B10CDE"/>
    <w:rsid w:val="00B134BD"/>
    <w:rsid w:val="00B21581"/>
    <w:rsid w:val="00B2244F"/>
    <w:rsid w:val="00B24A79"/>
    <w:rsid w:val="00B317A2"/>
    <w:rsid w:val="00B36701"/>
    <w:rsid w:val="00B415BA"/>
    <w:rsid w:val="00B426AF"/>
    <w:rsid w:val="00B55360"/>
    <w:rsid w:val="00B60881"/>
    <w:rsid w:val="00B71E18"/>
    <w:rsid w:val="00B72741"/>
    <w:rsid w:val="00B7334F"/>
    <w:rsid w:val="00B74475"/>
    <w:rsid w:val="00B80899"/>
    <w:rsid w:val="00B830D2"/>
    <w:rsid w:val="00B830FF"/>
    <w:rsid w:val="00B856D6"/>
    <w:rsid w:val="00B861B9"/>
    <w:rsid w:val="00B90138"/>
    <w:rsid w:val="00BA1CD9"/>
    <w:rsid w:val="00BA202B"/>
    <w:rsid w:val="00BA3B09"/>
    <w:rsid w:val="00BB0137"/>
    <w:rsid w:val="00BB13FF"/>
    <w:rsid w:val="00BB55C1"/>
    <w:rsid w:val="00BB5DA4"/>
    <w:rsid w:val="00BB67B0"/>
    <w:rsid w:val="00BC46A5"/>
    <w:rsid w:val="00BD2C5B"/>
    <w:rsid w:val="00BD4029"/>
    <w:rsid w:val="00BD6CCA"/>
    <w:rsid w:val="00BE1B67"/>
    <w:rsid w:val="00BE4F82"/>
    <w:rsid w:val="00BE5A27"/>
    <w:rsid w:val="00BE5E8E"/>
    <w:rsid w:val="00BF3EDF"/>
    <w:rsid w:val="00BF4098"/>
    <w:rsid w:val="00BF75B7"/>
    <w:rsid w:val="00C0278C"/>
    <w:rsid w:val="00C07914"/>
    <w:rsid w:val="00C1307E"/>
    <w:rsid w:val="00C22A45"/>
    <w:rsid w:val="00C27689"/>
    <w:rsid w:val="00C36C29"/>
    <w:rsid w:val="00C40592"/>
    <w:rsid w:val="00C556E7"/>
    <w:rsid w:val="00C55A94"/>
    <w:rsid w:val="00C60F43"/>
    <w:rsid w:val="00C61B24"/>
    <w:rsid w:val="00C653AC"/>
    <w:rsid w:val="00C661D4"/>
    <w:rsid w:val="00C67615"/>
    <w:rsid w:val="00C72C6B"/>
    <w:rsid w:val="00C76540"/>
    <w:rsid w:val="00C81293"/>
    <w:rsid w:val="00C82919"/>
    <w:rsid w:val="00C85395"/>
    <w:rsid w:val="00C90461"/>
    <w:rsid w:val="00C910E1"/>
    <w:rsid w:val="00C96896"/>
    <w:rsid w:val="00CA2837"/>
    <w:rsid w:val="00CA7926"/>
    <w:rsid w:val="00CC3B18"/>
    <w:rsid w:val="00CD0788"/>
    <w:rsid w:val="00CD4A00"/>
    <w:rsid w:val="00CE740F"/>
    <w:rsid w:val="00CF106D"/>
    <w:rsid w:val="00D01C9D"/>
    <w:rsid w:val="00D040BF"/>
    <w:rsid w:val="00D075AC"/>
    <w:rsid w:val="00D120D9"/>
    <w:rsid w:val="00D1531D"/>
    <w:rsid w:val="00D17A4F"/>
    <w:rsid w:val="00D220DC"/>
    <w:rsid w:val="00D22C88"/>
    <w:rsid w:val="00D25B0D"/>
    <w:rsid w:val="00D272A9"/>
    <w:rsid w:val="00D300B6"/>
    <w:rsid w:val="00D30983"/>
    <w:rsid w:val="00D45A79"/>
    <w:rsid w:val="00D47DD8"/>
    <w:rsid w:val="00D57FEE"/>
    <w:rsid w:val="00D64B46"/>
    <w:rsid w:val="00D71103"/>
    <w:rsid w:val="00D719E0"/>
    <w:rsid w:val="00D77488"/>
    <w:rsid w:val="00D80DDA"/>
    <w:rsid w:val="00D839D3"/>
    <w:rsid w:val="00D86E25"/>
    <w:rsid w:val="00D921BF"/>
    <w:rsid w:val="00D93A1A"/>
    <w:rsid w:val="00D94721"/>
    <w:rsid w:val="00DA01D3"/>
    <w:rsid w:val="00DA3E57"/>
    <w:rsid w:val="00DB0C47"/>
    <w:rsid w:val="00DB370D"/>
    <w:rsid w:val="00DB690B"/>
    <w:rsid w:val="00DC1AD4"/>
    <w:rsid w:val="00DD4127"/>
    <w:rsid w:val="00DE62F5"/>
    <w:rsid w:val="00DF149A"/>
    <w:rsid w:val="00DF2B42"/>
    <w:rsid w:val="00DF476F"/>
    <w:rsid w:val="00E024AE"/>
    <w:rsid w:val="00E11594"/>
    <w:rsid w:val="00E1236B"/>
    <w:rsid w:val="00E12716"/>
    <w:rsid w:val="00E14884"/>
    <w:rsid w:val="00E15648"/>
    <w:rsid w:val="00E25CB7"/>
    <w:rsid w:val="00E26A5E"/>
    <w:rsid w:val="00E328B3"/>
    <w:rsid w:val="00E347B0"/>
    <w:rsid w:val="00E42ADD"/>
    <w:rsid w:val="00E4438D"/>
    <w:rsid w:val="00E51614"/>
    <w:rsid w:val="00E53085"/>
    <w:rsid w:val="00E60490"/>
    <w:rsid w:val="00E71BBF"/>
    <w:rsid w:val="00E8292F"/>
    <w:rsid w:val="00E83CFB"/>
    <w:rsid w:val="00E847F3"/>
    <w:rsid w:val="00E906D5"/>
    <w:rsid w:val="00E96412"/>
    <w:rsid w:val="00E9723D"/>
    <w:rsid w:val="00EA6276"/>
    <w:rsid w:val="00EB712C"/>
    <w:rsid w:val="00EC35E1"/>
    <w:rsid w:val="00EC4929"/>
    <w:rsid w:val="00EC62F6"/>
    <w:rsid w:val="00ED0312"/>
    <w:rsid w:val="00ED056C"/>
    <w:rsid w:val="00ED4D3F"/>
    <w:rsid w:val="00EE2312"/>
    <w:rsid w:val="00EE62B4"/>
    <w:rsid w:val="00EF2BC9"/>
    <w:rsid w:val="00EF71B8"/>
    <w:rsid w:val="00F052E0"/>
    <w:rsid w:val="00F05BC8"/>
    <w:rsid w:val="00F062AF"/>
    <w:rsid w:val="00F0761A"/>
    <w:rsid w:val="00F17EB7"/>
    <w:rsid w:val="00F21CC8"/>
    <w:rsid w:val="00F234CD"/>
    <w:rsid w:val="00F32CEA"/>
    <w:rsid w:val="00F338B3"/>
    <w:rsid w:val="00F41C63"/>
    <w:rsid w:val="00F51CF9"/>
    <w:rsid w:val="00F53EE3"/>
    <w:rsid w:val="00F60A90"/>
    <w:rsid w:val="00F638E9"/>
    <w:rsid w:val="00F644C9"/>
    <w:rsid w:val="00F8586B"/>
    <w:rsid w:val="00F94DD1"/>
    <w:rsid w:val="00F957A5"/>
    <w:rsid w:val="00FA120F"/>
    <w:rsid w:val="00FA2A1D"/>
    <w:rsid w:val="00FB0AC3"/>
    <w:rsid w:val="00FB4E8E"/>
    <w:rsid w:val="00FB7C6A"/>
    <w:rsid w:val="00FD2F28"/>
    <w:rsid w:val="00FE1CB5"/>
    <w:rsid w:val="00FE3B1C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info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prodaja@fina.h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fina.hr/info.bi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pregled/34949147151/bd76d57fc897deb8fe11158a8b5df8f13f6afa001eb6bc14667690b3a443ea897c85d78ff9d9a056f5b6afe35d4311d9c3e65b947be6f61c3330f398d262c4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67E7-9A89-4EE1-9A23-1A826201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8324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Vesna Kavur</cp:lastModifiedBy>
  <cp:revision>15</cp:revision>
  <cp:lastPrinted>2014-09-19T12:18:00Z</cp:lastPrinted>
  <dcterms:created xsi:type="dcterms:W3CDTF">2021-02-23T19:33:00Z</dcterms:created>
  <dcterms:modified xsi:type="dcterms:W3CDTF">2021-02-24T21:06:00Z</dcterms:modified>
</cp:coreProperties>
</file>