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342" w:rsidRDefault="00594342" w:rsidP="004003B8">
      <w:pPr>
        <w:tabs>
          <w:tab w:val="left" w:pos="567"/>
        </w:tabs>
        <w:spacing w:before="60" w:after="0"/>
        <w:rPr>
          <w:rFonts w:cs="Arial"/>
          <w:b/>
          <w:i/>
          <w:color w:val="244061"/>
          <w:sz w:val="20"/>
        </w:rPr>
      </w:pPr>
      <w:r w:rsidRPr="001930A2">
        <w:rPr>
          <w:rFonts w:cs="Arial"/>
          <w:b/>
          <w:color w:val="244061"/>
          <w:sz w:val="20"/>
        </w:rPr>
        <w:t>REZULTATI PODUZETNIKA NA PODRUČJU URBANE AGLOMERACIJE RIJEKA U 2019. GODINI</w:t>
      </w:r>
    </w:p>
    <w:p w:rsidR="00D30907" w:rsidRPr="004003B8" w:rsidRDefault="00E65163" w:rsidP="004003B8">
      <w:pPr>
        <w:tabs>
          <w:tab w:val="left" w:pos="567"/>
        </w:tabs>
        <w:spacing w:after="180"/>
        <w:rPr>
          <w:rFonts w:cs="Arial"/>
          <w:b/>
          <w:color w:val="244061"/>
          <w:sz w:val="18"/>
          <w:szCs w:val="18"/>
        </w:rPr>
      </w:pPr>
      <w:r w:rsidRPr="00B94544">
        <w:rPr>
          <w:rFonts w:cs="Arial"/>
          <w:color w:val="17365D" w:themeColor="text2" w:themeShade="BF"/>
          <w:sz w:val="20"/>
        </w:rPr>
        <w:t>Odlukom Ministarstva regionalnoga razvoja i fondova Europske unije</w:t>
      </w:r>
      <w:r w:rsidR="00381C7C" w:rsidRPr="00B94544">
        <w:rPr>
          <w:rFonts w:cs="Arial"/>
          <w:color w:val="17365D" w:themeColor="text2" w:themeShade="BF"/>
          <w:sz w:val="20"/>
        </w:rPr>
        <w:t xml:space="preserve"> </w:t>
      </w:r>
      <w:r w:rsidR="00BF6934" w:rsidRPr="00B94544">
        <w:rPr>
          <w:rFonts w:cs="Arial"/>
          <w:color w:val="17365D" w:themeColor="text2" w:themeShade="BF"/>
          <w:sz w:val="20"/>
        </w:rPr>
        <w:t xml:space="preserve">21. </w:t>
      </w:r>
      <w:r w:rsidR="00554483" w:rsidRPr="00B94544">
        <w:rPr>
          <w:rFonts w:cs="Arial"/>
          <w:color w:val="17365D" w:themeColor="text2" w:themeShade="BF"/>
          <w:sz w:val="20"/>
        </w:rPr>
        <w:t>r</w:t>
      </w:r>
      <w:r w:rsidR="00BF6934" w:rsidRPr="00B94544">
        <w:rPr>
          <w:rFonts w:cs="Arial"/>
          <w:color w:val="17365D" w:themeColor="text2" w:themeShade="BF"/>
          <w:sz w:val="20"/>
        </w:rPr>
        <w:t xml:space="preserve">ujna 2015. </w:t>
      </w:r>
      <w:r w:rsidR="00554483" w:rsidRPr="00B94544">
        <w:rPr>
          <w:rFonts w:cs="Arial"/>
          <w:color w:val="17365D" w:themeColor="text2" w:themeShade="BF"/>
          <w:sz w:val="20"/>
        </w:rPr>
        <w:t>g</w:t>
      </w:r>
      <w:r w:rsidR="00BF6934" w:rsidRPr="00B94544">
        <w:rPr>
          <w:rFonts w:cs="Arial"/>
          <w:color w:val="17365D" w:themeColor="text2" w:themeShade="BF"/>
          <w:sz w:val="20"/>
        </w:rPr>
        <w:t xml:space="preserve">odine ustrojena je </w:t>
      </w:r>
      <w:r w:rsidRPr="00B94544">
        <w:rPr>
          <w:rFonts w:cs="Arial"/>
          <w:color w:val="17365D" w:themeColor="text2" w:themeShade="BF"/>
          <w:sz w:val="20"/>
        </w:rPr>
        <w:t xml:space="preserve">Urbana aglomeracija </w:t>
      </w:r>
      <w:r w:rsidR="00CD4ED8" w:rsidRPr="00B94544">
        <w:rPr>
          <w:rFonts w:cs="Arial"/>
          <w:color w:val="17365D" w:themeColor="text2" w:themeShade="BF"/>
          <w:sz w:val="20"/>
        </w:rPr>
        <w:t>Rijeka</w:t>
      </w:r>
      <w:r w:rsidR="006310AC" w:rsidRPr="00B94544">
        <w:rPr>
          <w:rFonts w:cs="Arial"/>
          <w:color w:val="17365D" w:themeColor="text2" w:themeShade="BF"/>
          <w:sz w:val="20"/>
        </w:rPr>
        <w:t xml:space="preserve"> (UAR)</w:t>
      </w:r>
      <w:r w:rsidRPr="00B94544">
        <w:rPr>
          <w:rFonts w:cs="Arial"/>
          <w:color w:val="17365D" w:themeColor="text2" w:themeShade="BF"/>
          <w:sz w:val="20"/>
        </w:rPr>
        <w:t xml:space="preserve"> koja obuhvaća </w:t>
      </w:r>
      <w:r w:rsidR="00CD4ED8" w:rsidRPr="00B94544">
        <w:rPr>
          <w:rFonts w:cs="Arial"/>
          <w:color w:val="17365D" w:themeColor="text2" w:themeShade="BF"/>
          <w:sz w:val="20"/>
        </w:rPr>
        <w:t>10</w:t>
      </w:r>
      <w:r w:rsidRPr="00B94544">
        <w:rPr>
          <w:rFonts w:cs="Arial"/>
          <w:color w:val="17365D" w:themeColor="text2" w:themeShade="BF"/>
          <w:sz w:val="20"/>
        </w:rPr>
        <w:t xml:space="preserve"> jedinica</w:t>
      </w:r>
      <w:r w:rsidR="00105FCF" w:rsidRPr="00B94544">
        <w:rPr>
          <w:rFonts w:cs="Arial"/>
          <w:color w:val="17365D" w:themeColor="text2" w:themeShade="BF"/>
          <w:sz w:val="20"/>
        </w:rPr>
        <w:t>:</w:t>
      </w:r>
      <w:r w:rsidRPr="00B94544">
        <w:rPr>
          <w:rFonts w:cs="Arial"/>
          <w:color w:val="17365D" w:themeColor="text2" w:themeShade="BF"/>
          <w:sz w:val="20"/>
        </w:rPr>
        <w:t xml:space="preserve"> </w:t>
      </w:r>
      <w:r w:rsidR="00CD4ED8" w:rsidRPr="00B94544">
        <w:rPr>
          <w:rFonts w:cs="Arial"/>
          <w:b/>
          <w:color w:val="17365D" w:themeColor="text2" w:themeShade="BF"/>
          <w:sz w:val="20"/>
        </w:rPr>
        <w:t>gradove</w:t>
      </w:r>
      <w:r w:rsidR="00CD4ED8" w:rsidRPr="00B94544">
        <w:rPr>
          <w:rFonts w:cs="Arial"/>
          <w:color w:val="17365D" w:themeColor="text2" w:themeShade="BF"/>
          <w:sz w:val="20"/>
        </w:rPr>
        <w:t xml:space="preserve"> Rijek</w:t>
      </w:r>
      <w:r w:rsidR="000E56E2" w:rsidRPr="00B94544">
        <w:rPr>
          <w:rFonts w:cs="Arial"/>
          <w:color w:val="17365D" w:themeColor="text2" w:themeShade="BF"/>
          <w:sz w:val="20"/>
        </w:rPr>
        <w:t>u</w:t>
      </w:r>
      <w:r w:rsidR="00CD4ED8" w:rsidRPr="00B94544">
        <w:rPr>
          <w:rFonts w:cs="Arial"/>
          <w:color w:val="17365D" w:themeColor="text2" w:themeShade="BF"/>
          <w:sz w:val="20"/>
        </w:rPr>
        <w:t>, Kastav, Kraljevic</w:t>
      </w:r>
      <w:r w:rsidR="000E56E2" w:rsidRPr="00B94544">
        <w:rPr>
          <w:rFonts w:cs="Arial"/>
          <w:color w:val="17365D" w:themeColor="text2" w:themeShade="BF"/>
          <w:sz w:val="20"/>
        </w:rPr>
        <w:t>u</w:t>
      </w:r>
      <w:r w:rsidR="00D30907" w:rsidRPr="00B94544">
        <w:rPr>
          <w:rFonts w:cs="Arial"/>
          <w:color w:val="17365D" w:themeColor="text2" w:themeShade="BF"/>
          <w:sz w:val="20"/>
        </w:rPr>
        <w:t xml:space="preserve"> i </w:t>
      </w:r>
      <w:r w:rsidR="00CD4ED8" w:rsidRPr="00B94544">
        <w:rPr>
          <w:rFonts w:cs="Arial"/>
          <w:color w:val="17365D" w:themeColor="text2" w:themeShade="BF"/>
          <w:sz w:val="20"/>
        </w:rPr>
        <w:t>Opatij</w:t>
      </w:r>
      <w:r w:rsidR="000E56E2" w:rsidRPr="00B94544">
        <w:rPr>
          <w:rFonts w:cs="Arial"/>
          <w:color w:val="17365D" w:themeColor="text2" w:themeShade="BF"/>
          <w:sz w:val="20"/>
        </w:rPr>
        <w:t>u</w:t>
      </w:r>
      <w:r w:rsidR="00CD4ED8" w:rsidRPr="00B94544">
        <w:rPr>
          <w:rFonts w:cs="Arial"/>
          <w:color w:val="17365D" w:themeColor="text2" w:themeShade="BF"/>
          <w:sz w:val="20"/>
        </w:rPr>
        <w:t xml:space="preserve"> </w:t>
      </w:r>
      <w:r w:rsidR="000E56E2" w:rsidRPr="00B94544">
        <w:rPr>
          <w:rFonts w:cs="Arial"/>
          <w:color w:val="17365D" w:themeColor="text2" w:themeShade="BF"/>
          <w:sz w:val="20"/>
        </w:rPr>
        <w:t>te</w:t>
      </w:r>
      <w:r w:rsidR="00CD4ED8" w:rsidRPr="00B94544">
        <w:rPr>
          <w:rFonts w:cs="Arial"/>
          <w:color w:val="17365D" w:themeColor="text2" w:themeShade="BF"/>
          <w:sz w:val="20"/>
        </w:rPr>
        <w:t xml:space="preserve"> </w:t>
      </w:r>
      <w:r w:rsidR="00CD4ED8" w:rsidRPr="00B94544">
        <w:rPr>
          <w:rFonts w:cs="Arial"/>
          <w:b/>
          <w:color w:val="17365D" w:themeColor="text2" w:themeShade="BF"/>
          <w:sz w:val="20"/>
        </w:rPr>
        <w:t>općine</w:t>
      </w:r>
      <w:r w:rsidR="00CD4ED8" w:rsidRPr="00B94544">
        <w:rPr>
          <w:rFonts w:cs="Arial"/>
          <w:color w:val="17365D" w:themeColor="text2" w:themeShade="BF"/>
          <w:sz w:val="20"/>
        </w:rPr>
        <w:t xml:space="preserve"> Čavle, Klan</w:t>
      </w:r>
      <w:r w:rsidR="000E56E2" w:rsidRPr="00B94544">
        <w:rPr>
          <w:rFonts w:cs="Arial"/>
          <w:color w:val="17365D" w:themeColor="text2" w:themeShade="BF"/>
          <w:sz w:val="20"/>
        </w:rPr>
        <w:t>u</w:t>
      </w:r>
      <w:r w:rsidR="00CD4ED8" w:rsidRPr="00B94544">
        <w:rPr>
          <w:rFonts w:cs="Arial"/>
          <w:color w:val="17365D" w:themeColor="text2" w:themeShade="BF"/>
          <w:sz w:val="20"/>
        </w:rPr>
        <w:t xml:space="preserve">, </w:t>
      </w:r>
      <w:proofErr w:type="spellStart"/>
      <w:r w:rsidR="00CD4ED8" w:rsidRPr="00B94544">
        <w:rPr>
          <w:rFonts w:cs="Arial"/>
          <w:color w:val="17365D" w:themeColor="text2" w:themeShade="BF"/>
          <w:sz w:val="20"/>
        </w:rPr>
        <w:t>Kostren</w:t>
      </w:r>
      <w:r w:rsidR="000E56E2" w:rsidRPr="00B94544">
        <w:rPr>
          <w:rFonts w:cs="Arial"/>
          <w:color w:val="17365D" w:themeColor="text2" w:themeShade="BF"/>
          <w:sz w:val="20"/>
        </w:rPr>
        <w:t>u</w:t>
      </w:r>
      <w:proofErr w:type="spellEnd"/>
      <w:r w:rsidR="00CD4ED8" w:rsidRPr="00B94544">
        <w:rPr>
          <w:rFonts w:cs="Arial"/>
          <w:color w:val="17365D" w:themeColor="text2" w:themeShade="BF"/>
          <w:sz w:val="20"/>
        </w:rPr>
        <w:t xml:space="preserve">, Lovran, </w:t>
      </w:r>
      <w:proofErr w:type="spellStart"/>
      <w:r w:rsidR="00CD4ED8" w:rsidRPr="00B94544">
        <w:rPr>
          <w:rFonts w:cs="Arial"/>
          <w:color w:val="17365D" w:themeColor="text2" w:themeShade="BF"/>
          <w:sz w:val="20"/>
        </w:rPr>
        <w:t>Mošćeničk</w:t>
      </w:r>
      <w:r w:rsidR="000E56E2" w:rsidRPr="00B94544">
        <w:rPr>
          <w:rFonts w:cs="Arial"/>
          <w:color w:val="17365D" w:themeColor="text2" w:themeShade="BF"/>
          <w:sz w:val="20"/>
        </w:rPr>
        <w:t>u</w:t>
      </w:r>
      <w:proofErr w:type="spellEnd"/>
      <w:r w:rsidR="00CD4ED8" w:rsidRPr="00B94544">
        <w:rPr>
          <w:rFonts w:cs="Arial"/>
          <w:color w:val="17365D" w:themeColor="text2" w:themeShade="BF"/>
          <w:sz w:val="20"/>
        </w:rPr>
        <w:t xml:space="preserve"> Drag</w:t>
      </w:r>
      <w:r w:rsidR="000E56E2" w:rsidRPr="00B94544">
        <w:rPr>
          <w:rFonts w:cs="Arial"/>
          <w:color w:val="17365D" w:themeColor="text2" w:themeShade="BF"/>
          <w:sz w:val="20"/>
        </w:rPr>
        <w:t>u</w:t>
      </w:r>
      <w:r w:rsidR="00CD4ED8" w:rsidRPr="00B94544">
        <w:rPr>
          <w:rFonts w:cs="Arial"/>
          <w:color w:val="17365D" w:themeColor="text2" w:themeShade="BF"/>
          <w:sz w:val="20"/>
        </w:rPr>
        <w:t xml:space="preserve"> </w:t>
      </w:r>
      <w:r w:rsidR="000E56E2" w:rsidRPr="00B94544">
        <w:rPr>
          <w:rFonts w:cs="Arial"/>
          <w:color w:val="17365D" w:themeColor="text2" w:themeShade="BF"/>
          <w:sz w:val="20"/>
        </w:rPr>
        <w:t>i</w:t>
      </w:r>
      <w:r w:rsidR="00CD4ED8" w:rsidRPr="00B94544">
        <w:rPr>
          <w:rFonts w:cs="Arial"/>
          <w:color w:val="17365D" w:themeColor="text2" w:themeShade="BF"/>
          <w:sz w:val="20"/>
        </w:rPr>
        <w:t xml:space="preserve"> </w:t>
      </w:r>
      <w:proofErr w:type="spellStart"/>
      <w:r w:rsidR="00CD4ED8" w:rsidRPr="00B94544">
        <w:rPr>
          <w:rFonts w:cs="Arial"/>
          <w:color w:val="17365D" w:themeColor="text2" w:themeShade="BF"/>
          <w:sz w:val="20"/>
        </w:rPr>
        <w:t>Viškovo</w:t>
      </w:r>
      <w:proofErr w:type="spellEnd"/>
      <w:r w:rsidR="001A777A">
        <w:rPr>
          <w:rStyle w:val="Referencafusnote"/>
          <w:color w:val="244061"/>
          <w:sz w:val="20"/>
        </w:rPr>
        <w:footnoteReference w:id="1"/>
      </w:r>
      <w:r w:rsidR="00CD4ED8" w:rsidRPr="00E67B25">
        <w:rPr>
          <w:rFonts w:cs="Arial"/>
          <w:color w:val="244061"/>
          <w:sz w:val="20"/>
        </w:rPr>
        <w:t>.</w:t>
      </w:r>
      <w:r w:rsidR="004003B8" w:rsidRPr="004003B8">
        <w:t xml:space="preserve"> </w:t>
      </w:r>
      <w:r w:rsidR="004003B8" w:rsidRPr="004003B8">
        <w:rPr>
          <w:rFonts w:cs="Arial"/>
          <w:color w:val="244061"/>
          <w:sz w:val="20"/>
        </w:rPr>
        <w:t>Na području obuhvaćenom Urbanom aglomeracijom Rijeka, u 2019. godini bio je 7.691 poduzetnik što je povećanje za 9,5% u odnosu na 2018. godinu (7.021 poduzetnik).</w:t>
      </w:r>
      <w:r w:rsidR="004003B8" w:rsidRPr="004003B8">
        <w:t xml:space="preserve"> </w:t>
      </w:r>
    </w:p>
    <w:tbl>
      <w:tblPr>
        <w:tblStyle w:val="TableGrid1"/>
        <w:tblW w:w="9639" w:type="dxa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819"/>
      </w:tblGrid>
      <w:tr w:rsidR="00E65163" w:rsidRPr="00CA6C5F" w:rsidTr="004003B8">
        <w:trPr>
          <w:trHeight w:val="3268"/>
          <w:jc w:val="center"/>
        </w:trPr>
        <w:tc>
          <w:tcPr>
            <w:tcW w:w="4820" w:type="dxa"/>
          </w:tcPr>
          <w:p w:rsidR="004003B8" w:rsidRDefault="004003B8" w:rsidP="004003B8">
            <w:pPr>
              <w:tabs>
                <w:tab w:val="left" w:pos="567"/>
              </w:tabs>
              <w:spacing w:before="0"/>
              <w:jc w:val="left"/>
              <w:rPr>
                <w:rFonts w:cs="Arial"/>
                <w:b/>
                <w:color w:val="244061"/>
                <w:sz w:val="18"/>
                <w:szCs w:val="18"/>
              </w:rPr>
            </w:pPr>
            <w:r w:rsidRPr="004003B8">
              <w:rPr>
                <w:rFonts w:cs="Arial"/>
                <w:b/>
                <w:color w:val="244061"/>
                <w:sz w:val="18"/>
                <w:szCs w:val="18"/>
              </w:rPr>
              <w:t>Shema 1.   Područje Urbane aglomeracije Rijeka</w:t>
            </w:r>
          </w:p>
          <w:p w:rsidR="004003B8" w:rsidRPr="004003B8" w:rsidRDefault="004003B8" w:rsidP="004003B8">
            <w:pPr>
              <w:tabs>
                <w:tab w:val="left" w:pos="567"/>
              </w:tabs>
              <w:jc w:val="left"/>
              <w:rPr>
                <w:rFonts w:cs="Arial"/>
                <w:b/>
                <w:color w:val="244061"/>
                <w:sz w:val="18"/>
                <w:szCs w:val="18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65482FA4" wp14:editId="1D588A16">
                  <wp:extent cx="2751151" cy="1828800"/>
                  <wp:effectExtent l="0" t="0" r="0" b="0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4801" t="2663" r="2933" b="29290"/>
                          <a:stretch/>
                        </pic:blipFill>
                        <pic:spPr bwMode="auto">
                          <a:xfrm>
                            <a:off x="0" y="0"/>
                            <a:ext cx="2751152" cy="1828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</w:tcPr>
          <w:p w:rsidR="00E65163" w:rsidRPr="008C1434" w:rsidRDefault="00374044" w:rsidP="004003B8">
            <w:pPr>
              <w:tabs>
                <w:tab w:val="left" w:pos="567"/>
              </w:tabs>
              <w:spacing w:before="0" w:line="276" w:lineRule="auto"/>
              <w:rPr>
                <w:rFonts w:eastAsia="Calibri" w:cs="Arial"/>
                <w:color w:val="17365D" w:themeColor="text2" w:themeShade="BF"/>
                <w:sz w:val="20"/>
                <w:lang w:eastAsia="en-US"/>
              </w:rPr>
            </w:pPr>
            <w:r w:rsidRPr="008C1434">
              <w:rPr>
                <w:rFonts w:eastAsia="Calibri" w:cs="Arial"/>
                <w:color w:val="17365D" w:themeColor="text2" w:themeShade="BF"/>
                <w:sz w:val="20"/>
                <w:lang w:eastAsia="en-US"/>
              </w:rPr>
              <w:t>Riječ je o poduzetnicima čije je sjedište u jednom od spomenutih gradova i općina, koji su sastavili i u Registar godišnjih financijskih izvještaja podnijeli točan i potpun godišnji financijski izvještaj za 201</w:t>
            </w:r>
            <w:r w:rsidR="006310AC" w:rsidRPr="008C1434">
              <w:rPr>
                <w:rFonts w:eastAsia="Calibri" w:cs="Arial"/>
                <w:color w:val="17365D" w:themeColor="text2" w:themeShade="BF"/>
                <w:sz w:val="20"/>
                <w:lang w:eastAsia="en-US"/>
              </w:rPr>
              <w:t>9</w:t>
            </w:r>
            <w:r w:rsidRPr="008C1434">
              <w:rPr>
                <w:rFonts w:eastAsia="Calibri" w:cs="Arial"/>
                <w:color w:val="17365D" w:themeColor="text2" w:themeShade="BF"/>
                <w:sz w:val="20"/>
                <w:lang w:eastAsia="en-US"/>
              </w:rPr>
              <w:t>. godinu.</w:t>
            </w:r>
          </w:p>
          <w:p w:rsidR="004003B8" w:rsidRDefault="00374044" w:rsidP="000E4B2A">
            <w:pPr>
              <w:tabs>
                <w:tab w:val="left" w:pos="567"/>
              </w:tabs>
              <w:spacing w:line="276" w:lineRule="auto"/>
              <w:rPr>
                <w:rFonts w:eastAsia="Calibri" w:cs="Arial"/>
                <w:color w:val="17365D" w:themeColor="text2" w:themeShade="BF"/>
                <w:sz w:val="20"/>
                <w:lang w:eastAsia="en-US"/>
              </w:rPr>
            </w:pPr>
            <w:r w:rsidRPr="008C1434">
              <w:rPr>
                <w:rFonts w:eastAsia="Calibri" w:cs="Arial"/>
                <w:color w:val="17365D" w:themeColor="text2" w:themeShade="BF"/>
                <w:sz w:val="20"/>
                <w:lang w:eastAsia="en-US"/>
              </w:rPr>
              <w:t>Od navedenoga broja (</w:t>
            </w:r>
            <w:r w:rsidR="000E4B2A" w:rsidRPr="008C1434">
              <w:rPr>
                <w:rFonts w:eastAsia="Calibri" w:cs="Arial"/>
                <w:color w:val="17365D" w:themeColor="text2" w:themeShade="BF"/>
                <w:sz w:val="20"/>
                <w:lang w:eastAsia="en-US"/>
              </w:rPr>
              <w:t>7.691</w:t>
            </w:r>
            <w:r w:rsidRPr="008C1434">
              <w:rPr>
                <w:rFonts w:eastAsia="Calibri" w:cs="Arial"/>
                <w:color w:val="17365D" w:themeColor="text2" w:themeShade="BF"/>
                <w:sz w:val="20"/>
                <w:lang w:eastAsia="en-US"/>
              </w:rPr>
              <w:t>), najviše je poduzetnika sa područja grada Rijeke (</w:t>
            </w:r>
            <w:r w:rsidR="000E4B2A" w:rsidRPr="008C1434">
              <w:rPr>
                <w:rFonts w:eastAsia="Calibri" w:cs="Arial"/>
                <w:color w:val="17365D" w:themeColor="text2" w:themeShade="BF"/>
                <w:sz w:val="20"/>
                <w:lang w:eastAsia="en-US"/>
              </w:rPr>
              <w:t>5.020</w:t>
            </w:r>
            <w:r w:rsidRPr="008C1434">
              <w:rPr>
                <w:rFonts w:eastAsia="Calibri" w:cs="Arial"/>
                <w:color w:val="17365D" w:themeColor="text2" w:themeShade="BF"/>
                <w:sz w:val="20"/>
                <w:lang w:eastAsia="en-US"/>
              </w:rPr>
              <w:t xml:space="preserve"> ili 65,</w:t>
            </w:r>
            <w:r w:rsidR="000E4B2A" w:rsidRPr="008C1434">
              <w:rPr>
                <w:rFonts w:eastAsia="Calibri" w:cs="Arial"/>
                <w:color w:val="17365D" w:themeColor="text2" w:themeShade="BF"/>
                <w:sz w:val="20"/>
                <w:lang w:eastAsia="en-US"/>
              </w:rPr>
              <w:t>3</w:t>
            </w:r>
            <w:r w:rsidRPr="008C1434">
              <w:rPr>
                <w:rFonts w:eastAsia="Calibri" w:cs="Arial"/>
                <w:color w:val="17365D" w:themeColor="text2" w:themeShade="BF"/>
                <w:sz w:val="20"/>
                <w:lang w:eastAsia="en-US"/>
              </w:rPr>
              <w:t>%), a najmanji je broj poduzetnika u općini Klana (</w:t>
            </w:r>
            <w:r w:rsidR="000E4B2A" w:rsidRPr="008C1434">
              <w:rPr>
                <w:rFonts w:eastAsia="Calibri" w:cs="Arial"/>
                <w:color w:val="17365D" w:themeColor="text2" w:themeShade="BF"/>
                <w:sz w:val="20"/>
                <w:lang w:eastAsia="en-US"/>
              </w:rPr>
              <w:t>45</w:t>
            </w:r>
            <w:r w:rsidRPr="008C1434">
              <w:rPr>
                <w:rFonts w:eastAsia="Calibri" w:cs="Arial"/>
                <w:color w:val="17365D" w:themeColor="text2" w:themeShade="BF"/>
                <w:sz w:val="20"/>
                <w:lang w:eastAsia="en-US"/>
              </w:rPr>
              <w:t xml:space="preserve"> ili 0,6%). </w:t>
            </w:r>
          </w:p>
          <w:p w:rsidR="00374044" w:rsidRPr="006310AC" w:rsidRDefault="00374044" w:rsidP="000E4B2A">
            <w:pPr>
              <w:tabs>
                <w:tab w:val="left" w:pos="567"/>
              </w:tabs>
              <w:spacing w:line="276" w:lineRule="auto"/>
              <w:rPr>
                <w:rFonts w:eastAsia="Calibri" w:cs="Arial"/>
                <w:color w:val="244061" w:themeColor="accent1" w:themeShade="80"/>
                <w:sz w:val="20"/>
                <w:lang w:eastAsia="en-US"/>
              </w:rPr>
            </w:pPr>
            <w:r w:rsidRPr="008C1434">
              <w:rPr>
                <w:rFonts w:eastAsia="Calibri" w:cs="Arial"/>
                <w:color w:val="17365D" w:themeColor="text2" w:themeShade="BF"/>
                <w:sz w:val="20"/>
                <w:lang w:eastAsia="en-US"/>
              </w:rPr>
              <w:t>Kod 7.</w:t>
            </w:r>
            <w:r w:rsidR="000E4B2A" w:rsidRPr="008C1434">
              <w:rPr>
                <w:rFonts w:eastAsia="Calibri" w:cs="Arial"/>
                <w:color w:val="17365D" w:themeColor="text2" w:themeShade="BF"/>
                <w:sz w:val="20"/>
                <w:lang w:eastAsia="en-US"/>
              </w:rPr>
              <w:t>691</w:t>
            </w:r>
            <w:r w:rsidRPr="008C1434">
              <w:rPr>
                <w:rFonts w:eastAsia="Calibri" w:cs="Arial"/>
                <w:color w:val="17365D" w:themeColor="text2" w:themeShade="BF"/>
                <w:sz w:val="20"/>
                <w:lang w:eastAsia="en-US"/>
              </w:rPr>
              <w:t xml:space="preserve"> poduzetnika bilo je </w:t>
            </w:r>
            <w:r w:rsidRPr="008C1434">
              <w:rPr>
                <w:rFonts w:eastAsia="Calibri" w:cs="Arial"/>
                <w:b/>
                <w:color w:val="17365D" w:themeColor="text2" w:themeShade="BF"/>
                <w:sz w:val="20"/>
                <w:lang w:eastAsia="en-US"/>
              </w:rPr>
              <w:t>4</w:t>
            </w:r>
            <w:r w:rsidR="000E4B2A" w:rsidRPr="008C1434">
              <w:rPr>
                <w:rFonts w:eastAsia="Calibri" w:cs="Arial"/>
                <w:b/>
                <w:color w:val="17365D" w:themeColor="text2" w:themeShade="BF"/>
                <w:sz w:val="20"/>
                <w:lang w:eastAsia="en-US"/>
              </w:rPr>
              <w:t>2.726</w:t>
            </w:r>
            <w:r w:rsidRPr="008C1434">
              <w:rPr>
                <w:rFonts w:eastAsia="Calibri" w:cs="Arial"/>
                <w:b/>
                <w:color w:val="17365D" w:themeColor="text2" w:themeShade="BF"/>
                <w:sz w:val="20"/>
                <w:lang w:eastAsia="en-US"/>
              </w:rPr>
              <w:t xml:space="preserve"> zaposlenih</w:t>
            </w:r>
            <w:r w:rsidRPr="008C1434">
              <w:rPr>
                <w:rFonts w:eastAsia="Calibri" w:cs="Arial"/>
                <w:color w:val="17365D" w:themeColor="text2" w:themeShade="BF"/>
                <w:sz w:val="20"/>
                <w:lang w:eastAsia="en-US"/>
              </w:rPr>
              <w:t>, što je prosječno 5,</w:t>
            </w:r>
            <w:r w:rsidR="000E4B2A" w:rsidRPr="008C1434">
              <w:rPr>
                <w:rFonts w:eastAsia="Calibri" w:cs="Arial"/>
                <w:color w:val="17365D" w:themeColor="text2" w:themeShade="BF"/>
                <w:sz w:val="20"/>
                <w:lang w:eastAsia="en-US"/>
              </w:rPr>
              <w:t>6</w:t>
            </w:r>
            <w:r w:rsidRPr="008C1434">
              <w:rPr>
                <w:rFonts w:eastAsia="Calibri" w:cs="Arial"/>
                <w:color w:val="17365D" w:themeColor="text2" w:themeShade="BF"/>
                <w:sz w:val="20"/>
                <w:lang w:eastAsia="en-US"/>
              </w:rPr>
              <w:t xml:space="preserve"> zaposlen</w:t>
            </w:r>
            <w:r w:rsidR="000E4B2A" w:rsidRPr="008C1434">
              <w:rPr>
                <w:rFonts w:eastAsia="Calibri" w:cs="Arial"/>
                <w:color w:val="17365D" w:themeColor="text2" w:themeShade="BF"/>
                <w:sz w:val="20"/>
                <w:lang w:eastAsia="en-US"/>
              </w:rPr>
              <w:t>ih</w:t>
            </w:r>
            <w:r w:rsidRPr="008C1434">
              <w:rPr>
                <w:rFonts w:eastAsia="Calibri" w:cs="Arial"/>
                <w:color w:val="17365D" w:themeColor="text2" w:themeShade="BF"/>
                <w:sz w:val="20"/>
                <w:lang w:eastAsia="en-US"/>
              </w:rPr>
              <w:t xml:space="preserve"> po poduzetniku</w:t>
            </w:r>
            <w:r w:rsidR="00067815" w:rsidRPr="008C1434">
              <w:rPr>
                <w:rFonts w:eastAsia="Calibri" w:cs="Arial"/>
                <w:color w:val="17365D" w:themeColor="text2" w:themeShade="BF"/>
                <w:sz w:val="20"/>
                <w:lang w:eastAsia="en-US"/>
              </w:rPr>
              <w:t>.</w:t>
            </w:r>
          </w:p>
        </w:tc>
      </w:tr>
    </w:tbl>
    <w:p w:rsidR="00374044" w:rsidRPr="00B94544" w:rsidRDefault="00374044" w:rsidP="004003B8">
      <w:pPr>
        <w:widowControl w:val="0"/>
        <w:tabs>
          <w:tab w:val="left" w:pos="567"/>
        </w:tabs>
        <w:spacing w:before="180" w:after="0"/>
        <w:rPr>
          <w:rFonts w:eastAsia="Calibri" w:cs="Arial"/>
          <w:color w:val="17365D" w:themeColor="text2" w:themeShade="BF"/>
          <w:sz w:val="20"/>
          <w:lang w:eastAsia="en-US"/>
        </w:rPr>
      </w:pPr>
      <w:r w:rsidRPr="00B94544">
        <w:rPr>
          <w:rFonts w:eastAsia="Calibri" w:cs="Arial"/>
          <w:color w:val="17365D" w:themeColor="text2" w:themeShade="BF"/>
          <w:sz w:val="20"/>
          <w:lang w:eastAsia="en-US"/>
        </w:rPr>
        <w:t>U 201</w:t>
      </w:r>
      <w:r w:rsidR="006310AC" w:rsidRPr="00B94544">
        <w:rPr>
          <w:rFonts w:eastAsia="Calibri" w:cs="Arial"/>
          <w:color w:val="17365D" w:themeColor="text2" w:themeShade="BF"/>
          <w:sz w:val="20"/>
          <w:lang w:eastAsia="en-US"/>
        </w:rPr>
        <w:t>9</w:t>
      </w:r>
      <w:r w:rsidRPr="00B94544">
        <w:rPr>
          <w:rFonts w:eastAsia="Calibri" w:cs="Arial"/>
          <w:color w:val="17365D" w:themeColor="text2" w:themeShade="BF"/>
          <w:sz w:val="20"/>
          <w:lang w:eastAsia="en-US"/>
        </w:rPr>
        <w:t xml:space="preserve">. godini poduzetnici čije je sjedište u jednom od gradova i općina obuhvaćenih Urbanom aglomeracijom Rijeka, ostvarili su ukupan prihod u iznosu od </w:t>
      </w:r>
      <w:r w:rsidR="000E4B2A" w:rsidRPr="00B94544">
        <w:rPr>
          <w:rFonts w:eastAsia="Calibri" w:cs="Arial"/>
          <w:color w:val="17365D" w:themeColor="text2" w:themeShade="BF"/>
          <w:sz w:val="20"/>
          <w:lang w:eastAsia="en-US"/>
        </w:rPr>
        <w:t>27,7</w:t>
      </w:r>
      <w:r w:rsidRPr="00B94544">
        <w:rPr>
          <w:rFonts w:eastAsia="Calibri" w:cs="Arial"/>
          <w:color w:val="17365D" w:themeColor="text2" w:themeShade="BF"/>
          <w:sz w:val="20"/>
          <w:lang w:eastAsia="en-US"/>
        </w:rPr>
        <w:t xml:space="preserve"> milijardi kuna, što je povećanje od </w:t>
      </w:r>
      <w:r w:rsidR="000E4B2A" w:rsidRPr="00B94544">
        <w:rPr>
          <w:rFonts w:eastAsia="Calibri" w:cs="Arial"/>
          <w:color w:val="17365D" w:themeColor="text2" w:themeShade="BF"/>
          <w:sz w:val="20"/>
          <w:lang w:eastAsia="en-US"/>
        </w:rPr>
        <w:t>7</w:t>
      </w:r>
      <w:r w:rsidRPr="00B94544">
        <w:rPr>
          <w:rFonts w:eastAsia="Calibri" w:cs="Arial"/>
          <w:color w:val="17365D" w:themeColor="text2" w:themeShade="BF"/>
          <w:sz w:val="20"/>
          <w:lang w:eastAsia="en-US"/>
        </w:rPr>
        <w:t xml:space="preserve">,6% u odnosu na prethodnu poslovnu godinu kao i ukupan rashod u iznosu od </w:t>
      </w:r>
      <w:r w:rsidR="000E4B2A" w:rsidRPr="00B94544">
        <w:rPr>
          <w:rFonts w:eastAsia="Calibri" w:cs="Arial"/>
          <w:color w:val="17365D" w:themeColor="text2" w:themeShade="BF"/>
          <w:sz w:val="20"/>
          <w:lang w:eastAsia="en-US"/>
        </w:rPr>
        <w:t>26,6</w:t>
      </w:r>
      <w:r w:rsidRPr="00B94544">
        <w:rPr>
          <w:rFonts w:eastAsia="Calibri" w:cs="Arial"/>
          <w:color w:val="17365D" w:themeColor="text2" w:themeShade="BF"/>
          <w:sz w:val="20"/>
          <w:lang w:eastAsia="en-US"/>
        </w:rPr>
        <w:t xml:space="preserve"> milijardi kuna, što je povećanje od </w:t>
      </w:r>
      <w:r w:rsidR="000E4B2A" w:rsidRPr="00B94544">
        <w:rPr>
          <w:rFonts w:eastAsia="Calibri" w:cs="Arial"/>
          <w:color w:val="17365D" w:themeColor="text2" w:themeShade="BF"/>
          <w:sz w:val="20"/>
          <w:lang w:eastAsia="en-US"/>
        </w:rPr>
        <w:t>5,3</w:t>
      </w:r>
      <w:r w:rsidRPr="00B94544">
        <w:rPr>
          <w:rFonts w:eastAsia="Calibri" w:cs="Arial"/>
          <w:color w:val="17365D" w:themeColor="text2" w:themeShade="BF"/>
          <w:sz w:val="20"/>
          <w:lang w:eastAsia="en-US"/>
        </w:rPr>
        <w:t>% u odnosu na prethodnu poslovnu godinu.</w:t>
      </w:r>
    </w:p>
    <w:p w:rsidR="00E65163" w:rsidRPr="00A77A2F" w:rsidRDefault="00E65163" w:rsidP="00A61214">
      <w:pPr>
        <w:widowControl w:val="0"/>
        <w:tabs>
          <w:tab w:val="left" w:pos="567"/>
        </w:tabs>
        <w:spacing w:before="180" w:after="40" w:line="240" w:lineRule="auto"/>
        <w:ind w:left="1134" w:hanging="1134"/>
        <w:jc w:val="left"/>
        <w:rPr>
          <w:rFonts w:eastAsia="Calibri" w:cs="Arial"/>
          <w:b/>
          <w:color w:val="244061"/>
          <w:sz w:val="19"/>
          <w:szCs w:val="19"/>
          <w:lang w:eastAsia="en-US"/>
        </w:rPr>
      </w:pPr>
      <w:r w:rsidRPr="00E26D38">
        <w:rPr>
          <w:rFonts w:eastAsia="Calibri" w:cs="Arial"/>
          <w:b/>
          <w:color w:val="244061"/>
          <w:sz w:val="18"/>
          <w:szCs w:val="18"/>
          <w:lang w:eastAsia="en-US"/>
        </w:rPr>
        <w:t xml:space="preserve">Tablica </w:t>
      </w:r>
      <w:r w:rsidR="006F086A" w:rsidRPr="00E26D38">
        <w:rPr>
          <w:rFonts w:eastAsia="Calibri" w:cs="Arial"/>
          <w:b/>
          <w:color w:val="244061"/>
          <w:sz w:val="18"/>
          <w:szCs w:val="18"/>
          <w:lang w:eastAsia="en-US"/>
        </w:rPr>
        <w:t>1</w:t>
      </w:r>
      <w:r w:rsidR="00A61214">
        <w:rPr>
          <w:rFonts w:eastAsia="Calibri" w:cs="Arial"/>
          <w:b/>
          <w:color w:val="244061"/>
          <w:sz w:val="18"/>
          <w:szCs w:val="18"/>
          <w:lang w:eastAsia="en-US"/>
        </w:rPr>
        <w:t>.</w:t>
      </w:r>
      <w:r w:rsidRPr="00E26D38">
        <w:rPr>
          <w:rFonts w:eastAsia="Calibri" w:cs="Arial"/>
          <w:b/>
          <w:color w:val="244061"/>
          <w:sz w:val="18"/>
          <w:szCs w:val="18"/>
          <w:lang w:eastAsia="en-US"/>
        </w:rPr>
        <w:tab/>
        <w:t>Broj poduzetnika i osnovni financijski rezultati poslovanja poduzetnika u gradovima/općinama Urbane aglomeracije Rijeka u 201</w:t>
      </w:r>
      <w:r w:rsidR="006310AC">
        <w:rPr>
          <w:rFonts w:eastAsia="Calibri" w:cs="Arial"/>
          <w:b/>
          <w:color w:val="244061"/>
          <w:sz w:val="18"/>
          <w:szCs w:val="18"/>
          <w:lang w:eastAsia="en-US"/>
        </w:rPr>
        <w:t>9</w:t>
      </w:r>
      <w:r w:rsidRPr="00E26D38">
        <w:rPr>
          <w:rFonts w:eastAsia="Calibri" w:cs="Arial"/>
          <w:b/>
          <w:color w:val="244061"/>
          <w:sz w:val="18"/>
          <w:szCs w:val="18"/>
          <w:lang w:eastAsia="en-US"/>
        </w:rPr>
        <w:t>. godini</w:t>
      </w:r>
      <w:r w:rsidRPr="00E26D38">
        <w:rPr>
          <w:rFonts w:eastAsia="Calibri" w:cs="Arial"/>
          <w:b/>
          <w:color w:val="244061"/>
          <w:sz w:val="18"/>
          <w:szCs w:val="18"/>
          <w:lang w:eastAsia="en-US"/>
        </w:rPr>
        <w:tab/>
      </w:r>
      <w:r w:rsidRPr="00A77A2F">
        <w:rPr>
          <w:rFonts w:eastAsia="Calibri" w:cs="Arial"/>
          <w:color w:val="244061"/>
          <w:sz w:val="19"/>
          <w:szCs w:val="19"/>
          <w:lang w:eastAsia="en-US"/>
        </w:rPr>
        <w:tab/>
      </w:r>
      <w:r w:rsidRPr="00A77A2F">
        <w:rPr>
          <w:rFonts w:eastAsia="Calibri" w:cs="Arial"/>
          <w:color w:val="244061"/>
          <w:sz w:val="19"/>
          <w:szCs w:val="19"/>
          <w:lang w:eastAsia="en-US"/>
        </w:rPr>
        <w:tab/>
      </w:r>
      <w:r w:rsidRPr="00A77A2F">
        <w:rPr>
          <w:rFonts w:eastAsia="Calibri" w:cs="Arial"/>
          <w:color w:val="244061"/>
          <w:sz w:val="19"/>
          <w:szCs w:val="19"/>
          <w:lang w:eastAsia="en-US"/>
        </w:rPr>
        <w:tab/>
      </w:r>
      <w:r w:rsidRPr="00A77A2F">
        <w:rPr>
          <w:rFonts w:eastAsia="Calibri" w:cs="Arial"/>
          <w:color w:val="244061"/>
          <w:sz w:val="19"/>
          <w:szCs w:val="19"/>
          <w:lang w:eastAsia="en-US"/>
        </w:rPr>
        <w:tab/>
      </w:r>
      <w:r w:rsidRPr="000E4B2A">
        <w:rPr>
          <w:rFonts w:eastAsia="Calibri" w:cs="Arial"/>
          <w:i/>
          <w:color w:val="17365D"/>
          <w:sz w:val="16"/>
          <w:szCs w:val="18"/>
          <w:lang w:eastAsia="en-US"/>
        </w:rPr>
        <w:t>(iznosi u tisućama kuna)</w:t>
      </w:r>
    </w:p>
    <w:tbl>
      <w:tblPr>
        <w:tblW w:w="9582" w:type="dxa"/>
        <w:jc w:val="center"/>
        <w:tblLayout w:type="fixed"/>
        <w:tblLook w:val="04A0" w:firstRow="1" w:lastRow="0" w:firstColumn="1" w:lastColumn="0" w:noHBand="0" w:noVBand="1"/>
      </w:tblPr>
      <w:tblGrid>
        <w:gridCol w:w="2666"/>
        <w:gridCol w:w="1230"/>
        <w:gridCol w:w="1115"/>
        <w:gridCol w:w="1226"/>
        <w:gridCol w:w="1106"/>
        <w:gridCol w:w="993"/>
        <w:gridCol w:w="1246"/>
      </w:tblGrid>
      <w:tr w:rsidR="00E65163" w:rsidRPr="00CA6C5F" w:rsidTr="004003B8">
        <w:trPr>
          <w:cantSplit/>
          <w:trHeight w:val="425"/>
          <w:tblHeader/>
          <w:jc w:val="center"/>
        </w:trPr>
        <w:tc>
          <w:tcPr>
            <w:tcW w:w="2666" w:type="dxa"/>
            <w:tcBorders>
              <w:top w:val="single" w:sz="8" w:space="0" w:color="auto"/>
              <w:left w:val="single" w:sz="8" w:space="0" w:color="auto"/>
              <w:bottom w:val="single" w:sz="4" w:space="0" w:color="FFFFFF"/>
              <w:right w:val="single" w:sz="8" w:space="0" w:color="C0C0C0"/>
            </w:tcBorders>
            <w:shd w:val="clear" w:color="000000" w:fill="003366"/>
            <w:vAlign w:val="center"/>
            <w:hideMark/>
          </w:tcPr>
          <w:p w:rsidR="00E65163" w:rsidRPr="003413A8" w:rsidRDefault="00E65163" w:rsidP="00173132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3413A8">
              <w:rPr>
                <w:rFonts w:cs="Arial"/>
                <w:b/>
                <w:bCs/>
                <w:color w:val="FFFFFF"/>
                <w:sz w:val="16"/>
                <w:szCs w:val="16"/>
              </w:rPr>
              <w:t>Naziv grada/općine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4" w:space="0" w:color="FFFFFF"/>
              <w:right w:val="nil"/>
            </w:tcBorders>
            <w:shd w:val="clear" w:color="000000" w:fill="003366"/>
            <w:vAlign w:val="center"/>
            <w:hideMark/>
          </w:tcPr>
          <w:p w:rsidR="00E65163" w:rsidRPr="003413A8" w:rsidRDefault="00E65163" w:rsidP="00173132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3413A8">
              <w:rPr>
                <w:rFonts w:cs="Arial"/>
                <w:b/>
                <w:bCs/>
                <w:color w:val="FFFFFF"/>
                <w:sz w:val="16"/>
                <w:szCs w:val="16"/>
              </w:rPr>
              <w:t>Broj poduzetnika</w:t>
            </w:r>
          </w:p>
        </w:tc>
        <w:tc>
          <w:tcPr>
            <w:tcW w:w="1115" w:type="dxa"/>
            <w:tcBorders>
              <w:top w:val="single" w:sz="8" w:space="0" w:color="C0C0C0"/>
              <w:left w:val="single" w:sz="8" w:space="0" w:color="C0C0C0"/>
              <w:bottom w:val="single" w:sz="4" w:space="0" w:color="FFFFFF"/>
              <w:right w:val="nil"/>
            </w:tcBorders>
            <w:shd w:val="clear" w:color="000000" w:fill="003366"/>
            <w:vAlign w:val="center"/>
            <w:hideMark/>
          </w:tcPr>
          <w:p w:rsidR="00E65163" w:rsidRPr="003413A8" w:rsidRDefault="00E65163" w:rsidP="00173132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3413A8">
              <w:rPr>
                <w:rFonts w:cs="Arial"/>
                <w:b/>
                <w:bCs/>
                <w:color w:val="FFFFFF"/>
                <w:sz w:val="16"/>
                <w:szCs w:val="16"/>
              </w:rPr>
              <w:t>Broj zaposlenih</w:t>
            </w:r>
          </w:p>
        </w:tc>
        <w:tc>
          <w:tcPr>
            <w:tcW w:w="1226" w:type="dxa"/>
            <w:tcBorders>
              <w:top w:val="single" w:sz="8" w:space="0" w:color="C0C0C0"/>
              <w:left w:val="single" w:sz="8" w:space="0" w:color="C0C0C0"/>
              <w:bottom w:val="single" w:sz="4" w:space="0" w:color="FFFFFF"/>
              <w:right w:val="nil"/>
            </w:tcBorders>
            <w:shd w:val="clear" w:color="000000" w:fill="003366"/>
            <w:vAlign w:val="center"/>
            <w:hideMark/>
          </w:tcPr>
          <w:p w:rsidR="00E65163" w:rsidRPr="003413A8" w:rsidRDefault="00E65163" w:rsidP="00173132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3413A8">
              <w:rPr>
                <w:rFonts w:cs="Arial"/>
                <w:b/>
                <w:bCs/>
                <w:color w:val="FFFFFF"/>
                <w:sz w:val="16"/>
                <w:szCs w:val="16"/>
              </w:rPr>
              <w:t>Ukupni prihod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C0C0C0"/>
              <w:bottom w:val="single" w:sz="4" w:space="0" w:color="FFFFFF"/>
              <w:right w:val="nil"/>
            </w:tcBorders>
            <w:shd w:val="clear" w:color="000000" w:fill="003366"/>
            <w:vAlign w:val="center"/>
            <w:hideMark/>
          </w:tcPr>
          <w:p w:rsidR="00E65163" w:rsidRPr="003413A8" w:rsidRDefault="00E65163" w:rsidP="00173132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3413A8">
              <w:rPr>
                <w:rFonts w:cs="Arial"/>
                <w:b/>
                <w:bCs/>
                <w:color w:val="FFFFFF"/>
                <w:sz w:val="16"/>
                <w:szCs w:val="16"/>
              </w:rPr>
              <w:t>Dobit razdoblja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C0C0C0"/>
              <w:bottom w:val="single" w:sz="4" w:space="0" w:color="FFFFFF"/>
              <w:right w:val="nil"/>
            </w:tcBorders>
            <w:shd w:val="clear" w:color="000000" w:fill="003366"/>
            <w:vAlign w:val="center"/>
            <w:hideMark/>
          </w:tcPr>
          <w:p w:rsidR="00E65163" w:rsidRPr="003413A8" w:rsidRDefault="00E65163" w:rsidP="00173132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3413A8">
              <w:rPr>
                <w:rFonts w:cs="Arial"/>
                <w:b/>
                <w:bCs/>
                <w:color w:val="FFFFFF"/>
                <w:sz w:val="16"/>
                <w:szCs w:val="16"/>
              </w:rPr>
              <w:t>Gubitak razdoblja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C0C0C0"/>
              <w:bottom w:val="single" w:sz="4" w:space="0" w:color="FFFFFF"/>
              <w:right w:val="nil"/>
            </w:tcBorders>
            <w:shd w:val="clear" w:color="000000" w:fill="003366"/>
            <w:vAlign w:val="center"/>
            <w:hideMark/>
          </w:tcPr>
          <w:p w:rsidR="00E65163" w:rsidRPr="003413A8" w:rsidRDefault="00E65163" w:rsidP="00173132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3413A8">
              <w:rPr>
                <w:rFonts w:cs="Arial"/>
                <w:b/>
                <w:bCs/>
                <w:color w:val="FFFFFF"/>
                <w:sz w:val="16"/>
                <w:szCs w:val="16"/>
              </w:rPr>
              <w:t>Neto dobit</w:t>
            </w:r>
            <w:r w:rsidR="00577848" w:rsidRPr="003413A8">
              <w:rPr>
                <w:rFonts w:cs="Arial"/>
                <w:b/>
                <w:bCs/>
                <w:color w:val="FFFFFF"/>
                <w:sz w:val="16"/>
                <w:szCs w:val="16"/>
              </w:rPr>
              <w:t>/gubitak</w:t>
            </w:r>
          </w:p>
        </w:tc>
      </w:tr>
      <w:tr w:rsidR="0030472C" w:rsidRPr="00CA6C5F" w:rsidTr="00C411EC">
        <w:trPr>
          <w:trHeight w:hRule="exact" w:val="283"/>
          <w:jc w:val="center"/>
        </w:trPr>
        <w:tc>
          <w:tcPr>
            <w:tcW w:w="26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0472C" w:rsidRPr="00446682" w:rsidRDefault="0030472C" w:rsidP="00575CF7">
            <w:pPr>
              <w:spacing w:before="0" w:after="0" w:line="240" w:lineRule="auto"/>
              <w:jc w:val="left"/>
              <w:rPr>
                <w:rFonts w:cs="Arial"/>
                <w:bCs/>
                <w:color w:val="244061" w:themeColor="accent1" w:themeShade="80"/>
                <w:sz w:val="18"/>
                <w:szCs w:val="18"/>
              </w:rPr>
            </w:pPr>
            <w:r w:rsidRPr="00446682">
              <w:rPr>
                <w:rFonts w:cs="Arial"/>
                <w:bCs/>
                <w:color w:val="244061" w:themeColor="accent1" w:themeShade="80"/>
                <w:sz w:val="18"/>
                <w:szCs w:val="18"/>
              </w:rPr>
              <w:t>Kastav/grad</w:t>
            </w:r>
          </w:p>
        </w:tc>
        <w:tc>
          <w:tcPr>
            <w:tcW w:w="123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noWrap/>
            <w:vAlign w:val="center"/>
          </w:tcPr>
          <w:p w:rsidR="0030472C" w:rsidRPr="00446682" w:rsidRDefault="0030472C" w:rsidP="0030472C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446682">
              <w:rPr>
                <w:rFonts w:cs="Arial"/>
                <w:sz w:val="18"/>
                <w:szCs w:val="18"/>
              </w:rPr>
              <w:t>461</w:t>
            </w:r>
          </w:p>
        </w:tc>
        <w:tc>
          <w:tcPr>
            <w:tcW w:w="111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</w:tcPr>
          <w:p w:rsidR="0030472C" w:rsidRPr="00446682" w:rsidRDefault="0030472C" w:rsidP="0030472C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446682">
              <w:rPr>
                <w:rFonts w:cs="Arial"/>
                <w:sz w:val="18"/>
                <w:szCs w:val="18"/>
              </w:rPr>
              <w:t>2.351</w:t>
            </w:r>
          </w:p>
        </w:tc>
        <w:tc>
          <w:tcPr>
            <w:tcW w:w="122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noWrap/>
            <w:vAlign w:val="center"/>
          </w:tcPr>
          <w:p w:rsidR="0030472C" w:rsidRPr="00446682" w:rsidRDefault="0030472C" w:rsidP="0030472C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446682">
              <w:rPr>
                <w:rFonts w:cs="Arial"/>
                <w:sz w:val="18"/>
                <w:szCs w:val="18"/>
              </w:rPr>
              <w:t>2.205.946</w:t>
            </w:r>
          </w:p>
        </w:tc>
        <w:tc>
          <w:tcPr>
            <w:tcW w:w="11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noWrap/>
            <w:vAlign w:val="center"/>
          </w:tcPr>
          <w:p w:rsidR="0030472C" w:rsidRPr="00446682" w:rsidRDefault="0030472C" w:rsidP="0030472C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446682">
              <w:rPr>
                <w:rFonts w:cs="Arial"/>
                <w:sz w:val="18"/>
                <w:szCs w:val="18"/>
              </w:rPr>
              <w:t>112.466</w:t>
            </w:r>
          </w:p>
        </w:tc>
        <w:tc>
          <w:tcPr>
            <w:tcW w:w="99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noWrap/>
            <w:vAlign w:val="center"/>
          </w:tcPr>
          <w:p w:rsidR="0030472C" w:rsidRPr="00446682" w:rsidRDefault="0030472C" w:rsidP="0030472C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446682">
              <w:rPr>
                <w:rFonts w:cs="Arial"/>
                <w:sz w:val="18"/>
                <w:szCs w:val="18"/>
              </w:rPr>
              <w:t>38.590</w:t>
            </w:r>
          </w:p>
        </w:tc>
        <w:tc>
          <w:tcPr>
            <w:tcW w:w="124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noWrap/>
            <w:vAlign w:val="center"/>
          </w:tcPr>
          <w:p w:rsidR="0030472C" w:rsidRPr="00446682" w:rsidRDefault="0030472C" w:rsidP="0030472C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446682">
              <w:rPr>
                <w:rFonts w:cs="Arial"/>
                <w:sz w:val="18"/>
                <w:szCs w:val="18"/>
              </w:rPr>
              <w:t>73.876</w:t>
            </w:r>
          </w:p>
        </w:tc>
      </w:tr>
      <w:tr w:rsidR="0030472C" w:rsidRPr="00CA6C5F" w:rsidTr="00C411EC">
        <w:trPr>
          <w:trHeight w:hRule="exact" w:val="283"/>
          <w:jc w:val="center"/>
        </w:trPr>
        <w:tc>
          <w:tcPr>
            <w:tcW w:w="26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0472C" w:rsidRPr="00446682" w:rsidRDefault="0030472C" w:rsidP="00575CF7">
            <w:pPr>
              <w:spacing w:before="0" w:after="0" w:line="240" w:lineRule="auto"/>
              <w:jc w:val="left"/>
              <w:rPr>
                <w:rFonts w:cs="Arial"/>
                <w:bCs/>
                <w:color w:val="244061" w:themeColor="accent1" w:themeShade="80"/>
                <w:sz w:val="18"/>
                <w:szCs w:val="18"/>
              </w:rPr>
            </w:pPr>
            <w:r w:rsidRPr="00446682">
              <w:rPr>
                <w:rFonts w:cs="Arial"/>
                <w:bCs/>
                <w:color w:val="244061" w:themeColor="accent1" w:themeShade="80"/>
                <w:sz w:val="18"/>
                <w:szCs w:val="18"/>
              </w:rPr>
              <w:t>Kraljevica/grad</w:t>
            </w:r>
          </w:p>
        </w:tc>
        <w:tc>
          <w:tcPr>
            <w:tcW w:w="123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noWrap/>
            <w:vAlign w:val="center"/>
          </w:tcPr>
          <w:p w:rsidR="0030472C" w:rsidRPr="00446682" w:rsidRDefault="0030472C" w:rsidP="0030472C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446682">
              <w:rPr>
                <w:rFonts w:cs="Arial"/>
                <w:sz w:val="18"/>
                <w:szCs w:val="18"/>
              </w:rPr>
              <w:t>107</w:t>
            </w:r>
          </w:p>
        </w:tc>
        <w:tc>
          <w:tcPr>
            <w:tcW w:w="111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</w:tcPr>
          <w:p w:rsidR="0030472C" w:rsidRPr="00446682" w:rsidRDefault="0030472C" w:rsidP="0030472C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446682">
              <w:rPr>
                <w:rFonts w:cs="Arial"/>
                <w:sz w:val="18"/>
                <w:szCs w:val="18"/>
              </w:rPr>
              <w:t>488</w:t>
            </w:r>
          </w:p>
        </w:tc>
        <w:tc>
          <w:tcPr>
            <w:tcW w:w="122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noWrap/>
            <w:vAlign w:val="center"/>
          </w:tcPr>
          <w:p w:rsidR="0030472C" w:rsidRPr="00446682" w:rsidRDefault="0030472C" w:rsidP="0030472C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446682">
              <w:rPr>
                <w:rFonts w:cs="Arial"/>
                <w:sz w:val="18"/>
                <w:szCs w:val="18"/>
              </w:rPr>
              <w:t>193.224</w:t>
            </w:r>
          </w:p>
        </w:tc>
        <w:tc>
          <w:tcPr>
            <w:tcW w:w="110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noWrap/>
            <w:vAlign w:val="center"/>
          </w:tcPr>
          <w:p w:rsidR="0030472C" w:rsidRPr="00446682" w:rsidRDefault="0030472C" w:rsidP="0030472C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446682">
              <w:rPr>
                <w:rFonts w:cs="Arial"/>
                <w:sz w:val="18"/>
                <w:szCs w:val="18"/>
              </w:rPr>
              <w:t>11.087</w:t>
            </w:r>
          </w:p>
        </w:tc>
        <w:tc>
          <w:tcPr>
            <w:tcW w:w="99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noWrap/>
            <w:vAlign w:val="center"/>
          </w:tcPr>
          <w:p w:rsidR="0030472C" w:rsidRPr="00446682" w:rsidRDefault="0030472C" w:rsidP="0030472C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446682">
              <w:rPr>
                <w:rFonts w:cs="Arial"/>
                <w:sz w:val="18"/>
                <w:szCs w:val="18"/>
              </w:rPr>
              <w:t>2.159</w:t>
            </w:r>
          </w:p>
        </w:tc>
        <w:tc>
          <w:tcPr>
            <w:tcW w:w="124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noWrap/>
            <w:vAlign w:val="center"/>
          </w:tcPr>
          <w:p w:rsidR="0030472C" w:rsidRPr="00446682" w:rsidRDefault="0030472C" w:rsidP="0030472C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446682">
              <w:rPr>
                <w:rFonts w:cs="Arial"/>
                <w:sz w:val="18"/>
                <w:szCs w:val="18"/>
              </w:rPr>
              <w:t>8.928</w:t>
            </w:r>
          </w:p>
        </w:tc>
      </w:tr>
      <w:tr w:rsidR="00C411EC" w:rsidRPr="00CA6C5F" w:rsidTr="00D94D86">
        <w:trPr>
          <w:trHeight w:hRule="exact" w:val="283"/>
          <w:jc w:val="center"/>
        </w:trPr>
        <w:tc>
          <w:tcPr>
            <w:tcW w:w="2666" w:type="dxa"/>
            <w:tcBorders>
              <w:top w:val="single" w:sz="4" w:space="0" w:color="FFFFFF"/>
              <w:left w:val="single" w:sz="4" w:space="0" w:color="FFFFFF"/>
              <w:bottom w:val="single" w:sz="4" w:space="0" w:color="548DD4" w:themeColor="text2" w:themeTint="99"/>
              <w:right w:val="single" w:sz="4" w:space="0" w:color="FFFFFF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0472C" w:rsidRPr="00446682" w:rsidRDefault="0030472C" w:rsidP="00575CF7">
            <w:pPr>
              <w:spacing w:before="0" w:after="0" w:line="240" w:lineRule="auto"/>
              <w:jc w:val="left"/>
              <w:rPr>
                <w:rFonts w:cs="Arial"/>
                <w:bCs/>
                <w:color w:val="244061" w:themeColor="accent1" w:themeShade="80"/>
                <w:sz w:val="18"/>
                <w:szCs w:val="18"/>
              </w:rPr>
            </w:pPr>
            <w:r w:rsidRPr="00446682">
              <w:rPr>
                <w:rFonts w:cs="Arial"/>
                <w:bCs/>
                <w:color w:val="244061" w:themeColor="accent1" w:themeShade="80"/>
                <w:sz w:val="18"/>
                <w:szCs w:val="18"/>
              </w:rPr>
              <w:t>Opatija/grad</w:t>
            </w:r>
          </w:p>
        </w:tc>
        <w:tc>
          <w:tcPr>
            <w:tcW w:w="1230" w:type="dxa"/>
            <w:tcBorders>
              <w:top w:val="single" w:sz="4" w:space="0" w:color="FFFFFF"/>
              <w:left w:val="nil"/>
              <w:bottom w:val="single" w:sz="4" w:space="0" w:color="548DD4" w:themeColor="text2" w:themeTint="99"/>
              <w:right w:val="single" w:sz="4" w:space="0" w:color="FFFFFF"/>
            </w:tcBorders>
            <w:shd w:val="clear" w:color="auto" w:fill="F2F2F2" w:themeFill="background1" w:themeFillShade="F2"/>
            <w:noWrap/>
            <w:vAlign w:val="center"/>
          </w:tcPr>
          <w:p w:rsidR="0030472C" w:rsidRPr="00446682" w:rsidRDefault="0030472C" w:rsidP="0030472C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446682">
              <w:rPr>
                <w:rFonts w:cs="Arial"/>
                <w:sz w:val="18"/>
                <w:szCs w:val="18"/>
              </w:rPr>
              <w:t>762</w:t>
            </w:r>
          </w:p>
        </w:tc>
        <w:tc>
          <w:tcPr>
            <w:tcW w:w="1115" w:type="dxa"/>
            <w:tcBorders>
              <w:top w:val="single" w:sz="4" w:space="0" w:color="FFFFFF"/>
              <w:left w:val="nil"/>
              <w:bottom w:val="single" w:sz="4" w:space="0" w:color="548DD4" w:themeColor="text2" w:themeTint="99"/>
              <w:right w:val="single" w:sz="4" w:space="0" w:color="FFFFFF"/>
            </w:tcBorders>
            <w:shd w:val="clear" w:color="auto" w:fill="F2F2F2" w:themeFill="background1" w:themeFillShade="F2"/>
            <w:vAlign w:val="center"/>
          </w:tcPr>
          <w:p w:rsidR="0030472C" w:rsidRPr="00446682" w:rsidRDefault="0030472C" w:rsidP="0030472C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446682">
              <w:rPr>
                <w:rFonts w:cs="Arial"/>
                <w:sz w:val="18"/>
                <w:szCs w:val="18"/>
              </w:rPr>
              <w:t>3.563</w:t>
            </w:r>
          </w:p>
        </w:tc>
        <w:tc>
          <w:tcPr>
            <w:tcW w:w="1226" w:type="dxa"/>
            <w:tcBorders>
              <w:top w:val="single" w:sz="4" w:space="0" w:color="FFFFFF"/>
              <w:left w:val="nil"/>
              <w:bottom w:val="single" w:sz="4" w:space="0" w:color="548DD4" w:themeColor="text2" w:themeTint="99"/>
              <w:right w:val="single" w:sz="4" w:space="0" w:color="FFFFFF"/>
            </w:tcBorders>
            <w:shd w:val="clear" w:color="auto" w:fill="F2F2F2" w:themeFill="background1" w:themeFillShade="F2"/>
            <w:noWrap/>
            <w:vAlign w:val="center"/>
          </w:tcPr>
          <w:p w:rsidR="0030472C" w:rsidRPr="00446682" w:rsidRDefault="0030472C" w:rsidP="0030472C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446682">
              <w:rPr>
                <w:rFonts w:cs="Arial"/>
                <w:sz w:val="18"/>
                <w:szCs w:val="18"/>
              </w:rPr>
              <w:t>2.430.161</w:t>
            </w:r>
          </w:p>
        </w:tc>
        <w:tc>
          <w:tcPr>
            <w:tcW w:w="1106" w:type="dxa"/>
            <w:tcBorders>
              <w:top w:val="single" w:sz="4" w:space="0" w:color="FFFFFF"/>
              <w:left w:val="nil"/>
              <w:bottom w:val="single" w:sz="4" w:space="0" w:color="548DD4" w:themeColor="text2" w:themeTint="99"/>
              <w:right w:val="single" w:sz="4" w:space="0" w:color="FFFFFF"/>
            </w:tcBorders>
            <w:shd w:val="clear" w:color="auto" w:fill="F2F2F2" w:themeFill="background1" w:themeFillShade="F2"/>
            <w:noWrap/>
            <w:vAlign w:val="center"/>
          </w:tcPr>
          <w:p w:rsidR="0030472C" w:rsidRPr="00446682" w:rsidRDefault="0030472C" w:rsidP="0030472C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446682">
              <w:rPr>
                <w:rFonts w:cs="Arial"/>
                <w:sz w:val="18"/>
                <w:szCs w:val="18"/>
              </w:rPr>
              <w:t>148.921</w:t>
            </w:r>
          </w:p>
        </w:tc>
        <w:tc>
          <w:tcPr>
            <w:tcW w:w="993" w:type="dxa"/>
            <w:tcBorders>
              <w:top w:val="single" w:sz="4" w:space="0" w:color="FFFFFF"/>
              <w:left w:val="nil"/>
              <w:bottom w:val="single" w:sz="4" w:space="0" w:color="548DD4" w:themeColor="text2" w:themeTint="99"/>
              <w:right w:val="single" w:sz="4" w:space="0" w:color="FFFFFF"/>
            </w:tcBorders>
            <w:shd w:val="clear" w:color="auto" w:fill="F2F2F2" w:themeFill="background1" w:themeFillShade="F2"/>
            <w:noWrap/>
            <w:vAlign w:val="center"/>
          </w:tcPr>
          <w:p w:rsidR="0030472C" w:rsidRPr="00446682" w:rsidRDefault="0030472C" w:rsidP="0030472C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446682">
              <w:rPr>
                <w:rFonts w:cs="Arial"/>
                <w:sz w:val="18"/>
                <w:szCs w:val="18"/>
              </w:rPr>
              <w:t>73.989</w:t>
            </w:r>
          </w:p>
        </w:tc>
        <w:tc>
          <w:tcPr>
            <w:tcW w:w="1246" w:type="dxa"/>
            <w:tcBorders>
              <w:top w:val="single" w:sz="4" w:space="0" w:color="FFFFFF"/>
              <w:left w:val="nil"/>
              <w:bottom w:val="single" w:sz="4" w:space="0" w:color="548DD4" w:themeColor="text2" w:themeTint="99"/>
              <w:right w:val="single" w:sz="4" w:space="0" w:color="FFFFFF"/>
            </w:tcBorders>
            <w:shd w:val="clear" w:color="auto" w:fill="F2F2F2" w:themeFill="background1" w:themeFillShade="F2"/>
            <w:noWrap/>
            <w:vAlign w:val="center"/>
          </w:tcPr>
          <w:p w:rsidR="0030472C" w:rsidRPr="00446682" w:rsidRDefault="0030472C" w:rsidP="0030472C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446682">
              <w:rPr>
                <w:rFonts w:cs="Arial"/>
                <w:sz w:val="18"/>
                <w:szCs w:val="18"/>
              </w:rPr>
              <w:t>74.932</w:t>
            </w:r>
          </w:p>
        </w:tc>
      </w:tr>
      <w:tr w:rsidR="00C411EC" w:rsidRPr="00CA6C5F" w:rsidTr="00D94D86">
        <w:trPr>
          <w:trHeight w:hRule="exact" w:val="283"/>
          <w:jc w:val="center"/>
        </w:trPr>
        <w:tc>
          <w:tcPr>
            <w:tcW w:w="266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FFFFFF" w:themeColor="background1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0472C" w:rsidRPr="00D94D86" w:rsidRDefault="0030472C" w:rsidP="00575CF7">
            <w:pPr>
              <w:spacing w:before="0" w:after="0" w:line="240" w:lineRule="auto"/>
              <w:jc w:val="left"/>
              <w:rPr>
                <w:rFonts w:cs="Arial"/>
                <w:bCs/>
                <w:color w:val="244061" w:themeColor="accent1" w:themeShade="80"/>
                <w:sz w:val="18"/>
                <w:szCs w:val="18"/>
              </w:rPr>
            </w:pPr>
            <w:r w:rsidRPr="00D94D86">
              <w:rPr>
                <w:rFonts w:cs="Arial"/>
                <w:bCs/>
                <w:color w:val="244061" w:themeColor="accent1" w:themeShade="80"/>
                <w:sz w:val="18"/>
                <w:szCs w:val="18"/>
              </w:rPr>
              <w:t>Rijeka/grad</w:t>
            </w:r>
          </w:p>
        </w:tc>
        <w:tc>
          <w:tcPr>
            <w:tcW w:w="1230" w:type="dxa"/>
            <w:tcBorders>
              <w:top w:val="single" w:sz="4" w:space="0" w:color="548DD4" w:themeColor="text2" w:themeTint="99"/>
              <w:left w:val="single" w:sz="4" w:space="0" w:color="FFFFFF" w:themeColor="background1"/>
              <w:bottom w:val="single" w:sz="4" w:space="0" w:color="548DD4" w:themeColor="text2" w:themeTint="99"/>
              <w:right w:val="single" w:sz="4" w:space="0" w:color="FFFFFF" w:themeColor="background1"/>
            </w:tcBorders>
            <w:shd w:val="clear" w:color="auto" w:fill="F2F2F2" w:themeFill="background1" w:themeFillShade="F2"/>
            <w:noWrap/>
            <w:vAlign w:val="center"/>
          </w:tcPr>
          <w:p w:rsidR="0030472C" w:rsidRPr="00D94D86" w:rsidRDefault="0030472C" w:rsidP="00173132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D94D86">
              <w:rPr>
                <w:rFonts w:cs="Arial"/>
                <w:sz w:val="18"/>
                <w:szCs w:val="18"/>
              </w:rPr>
              <w:t xml:space="preserve">5.020 </w:t>
            </w:r>
          </w:p>
        </w:tc>
        <w:tc>
          <w:tcPr>
            <w:tcW w:w="1115" w:type="dxa"/>
            <w:tcBorders>
              <w:top w:val="single" w:sz="4" w:space="0" w:color="548DD4" w:themeColor="text2" w:themeTint="99"/>
              <w:left w:val="single" w:sz="4" w:space="0" w:color="FFFFFF" w:themeColor="background1"/>
              <w:bottom w:val="single" w:sz="4" w:space="0" w:color="548DD4" w:themeColor="text2" w:themeTint="99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30472C" w:rsidRPr="00D94D86" w:rsidRDefault="0030472C" w:rsidP="0030472C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D94D86">
              <w:rPr>
                <w:rFonts w:cs="Arial"/>
                <w:sz w:val="18"/>
                <w:szCs w:val="18"/>
              </w:rPr>
              <w:t>30.651</w:t>
            </w:r>
          </w:p>
        </w:tc>
        <w:tc>
          <w:tcPr>
            <w:tcW w:w="1226" w:type="dxa"/>
            <w:tcBorders>
              <w:top w:val="single" w:sz="4" w:space="0" w:color="548DD4" w:themeColor="text2" w:themeTint="99"/>
              <w:left w:val="single" w:sz="4" w:space="0" w:color="FFFFFF" w:themeColor="background1"/>
              <w:bottom w:val="single" w:sz="4" w:space="0" w:color="548DD4" w:themeColor="text2" w:themeTint="99"/>
              <w:right w:val="single" w:sz="4" w:space="0" w:color="FFFFFF" w:themeColor="background1"/>
            </w:tcBorders>
            <w:shd w:val="clear" w:color="auto" w:fill="F2F2F2" w:themeFill="background1" w:themeFillShade="F2"/>
            <w:noWrap/>
            <w:vAlign w:val="center"/>
          </w:tcPr>
          <w:p w:rsidR="0030472C" w:rsidRPr="00D94D86" w:rsidRDefault="0030472C" w:rsidP="0030472C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D94D86">
              <w:rPr>
                <w:rFonts w:cs="Arial"/>
                <w:sz w:val="18"/>
                <w:szCs w:val="18"/>
              </w:rPr>
              <w:t>20.321.206</w:t>
            </w:r>
          </w:p>
        </w:tc>
        <w:tc>
          <w:tcPr>
            <w:tcW w:w="1106" w:type="dxa"/>
            <w:tcBorders>
              <w:top w:val="single" w:sz="4" w:space="0" w:color="548DD4" w:themeColor="text2" w:themeTint="99"/>
              <w:left w:val="single" w:sz="4" w:space="0" w:color="FFFFFF" w:themeColor="background1"/>
              <w:bottom w:val="single" w:sz="4" w:space="0" w:color="548DD4" w:themeColor="text2" w:themeTint="99"/>
              <w:right w:val="single" w:sz="4" w:space="0" w:color="FFFFFF" w:themeColor="background1"/>
            </w:tcBorders>
            <w:shd w:val="clear" w:color="auto" w:fill="F2F2F2" w:themeFill="background1" w:themeFillShade="F2"/>
            <w:noWrap/>
            <w:vAlign w:val="center"/>
          </w:tcPr>
          <w:p w:rsidR="0030472C" w:rsidRPr="00D94D86" w:rsidRDefault="0030472C" w:rsidP="0030472C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D94D86">
              <w:rPr>
                <w:rFonts w:cs="Arial"/>
                <w:sz w:val="18"/>
                <w:szCs w:val="18"/>
              </w:rPr>
              <w:t>1.162.922</w:t>
            </w:r>
          </w:p>
        </w:tc>
        <w:tc>
          <w:tcPr>
            <w:tcW w:w="993" w:type="dxa"/>
            <w:tcBorders>
              <w:top w:val="single" w:sz="4" w:space="0" w:color="548DD4" w:themeColor="text2" w:themeTint="99"/>
              <w:left w:val="single" w:sz="4" w:space="0" w:color="FFFFFF" w:themeColor="background1"/>
              <w:bottom w:val="single" w:sz="4" w:space="0" w:color="548DD4" w:themeColor="text2" w:themeTint="99"/>
              <w:right w:val="single" w:sz="4" w:space="0" w:color="FFFFFF" w:themeColor="background1"/>
            </w:tcBorders>
            <w:shd w:val="clear" w:color="auto" w:fill="F2F2F2" w:themeFill="background1" w:themeFillShade="F2"/>
            <w:noWrap/>
            <w:vAlign w:val="center"/>
          </w:tcPr>
          <w:p w:rsidR="0030472C" w:rsidRPr="00D94D86" w:rsidRDefault="0030472C" w:rsidP="0030472C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D94D86">
              <w:rPr>
                <w:rFonts w:cs="Arial"/>
                <w:sz w:val="18"/>
                <w:szCs w:val="18"/>
              </w:rPr>
              <w:t>521.074</w:t>
            </w:r>
          </w:p>
        </w:tc>
        <w:tc>
          <w:tcPr>
            <w:tcW w:w="1246" w:type="dxa"/>
            <w:tcBorders>
              <w:top w:val="single" w:sz="4" w:space="0" w:color="548DD4" w:themeColor="text2" w:themeTint="99"/>
              <w:left w:val="single" w:sz="4" w:space="0" w:color="FFFFFF" w:themeColor="background1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 w:themeFill="background1" w:themeFillShade="F2"/>
            <w:noWrap/>
            <w:vAlign w:val="center"/>
          </w:tcPr>
          <w:p w:rsidR="0030472C" w:rsidRPr="00D94D86" w:rsidRDefault="0030472C" w:rsidP="0030472C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D94D86">
              <w:rPr>
                <w:rFonts w:cs="Arial"/>
                <w:sz w:val="18"/>
                <w:szCs w:val="18"/>
              </w:rPr>
              <w:t>641.848</w:t>
            </w:r>
          </w:p>
        </w:tc>
      </w:tr>
      <w:tr w:rsidR="0030472C" w:rsidRPr="00CA6C5F" w:rsidTr="00D94D86">
        <w:trPr>
          <w:trHeight w:hRule="exact" w:val="283"/>
          <w:jc w:val="center"/>
        </w:trPr>
        <w:tc>
          <w:tcPr>
            <w:tcW w:w="2666" w:type="dxa"/>
            <w:tcBorders>
              <w:top w:val="single" w:sz="4" w:space="0" w:color="548DD4" w:themeColor="text2" w:themeTint="99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  <w:hideMark/>
          </w:tcPr>
          <w:p w:rsidR="0030472C" w:rsidRPr="00446682" w:rsidRDefault="0030472C" w:rsidP="00575CF7">
            <w:pPr>
              <w:spacing w:before="0" w:after="0" w:line="240" w:lineRule="auto"/>
              <w:jc w:val="left"/>
              <w:rPr>
                <w:rFonts w:cs="Arial"/>
                <w:bCs/>
                <w:color w:val="244061" w:themeColor="accent1" w:themeShade="80"/>
                <w:sz w:val="18"/>
                <w:szCs w:val="18"/>
              </w:rPr>
            </w:pPr>
            <w:r w:rsidRPr="00446682">
              <w:rPr>
                <w:rFonts w:cs="Arial"/>
                <w:bCs/>
                <w:color w:val="244061" w:themeColor="accent1" w:themeShade="80"/>
                <w:sz w:val="18"/>
                <w:szCs w:val="18"/>
              </w:rPr>
              <w:t>Čavle/općina</w:t>
            </w:r>
          </w:p>
        </w:tc>
        <w:tc>
          <w:tcPr>
            <w:tcW w:w="1230" w:type="dxa"/>
            <w:tcBorders>
              <w:top w:val="single" w:sz="4" w:space="0" w:color="548DD4" w:themeColor="text2" w:themeTint="99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30472C" w:rsidRPr="00446682" w:rsidRDefault="0030472C" w:rsidP="0030472C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446682">
              <w:rPr>
                <w:rFonts w:cs="Arial"/>
                <w:sz w:val="18"/>
                <w:szCs w:val="18"/>
              </w:rPr>
              <w:t>245</w:t>
            </w:r>
          </w:p>
        </w:tc>
        <w:tc>
          <w:tcPr>
            <w:tcW w:w="1115" w:type="dxa"/>
            <w:tcBorders>
              <w:top w:val="single" w:sz="4" w:space="0" w:color="548DD4" w:themeColor="text2" w:themeTint="99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vAlign w:val="center"/>
          </w:tcPr>
          <w:p w:rsidR="0030472C" w:rsidRPr="00446682" w:rsidRDefault="0030472C" w:rsidP="0030472C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446682">
              <w:rPr>
                <w:rFonts w:cs="Arial"/>
                <w:sz w:val="18"/>
                <w:szCs w:val="18"/>
              </w:rPr>
              <w:t>998</w:t>
            </w:r>
          </w:p>
        </w:tc>
        <w:tc>
          <w:tcPr>
            <w:tcW w:w="1226" w:type="dxa"/>
            <w:tcBorders>
              <w:top w:val="single" w:sz="4" w:space="0" w:color="548DD4" w:themeColor="text2" w:themeTint="99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30472C" w:rsidRPr="00446682" w:rsidRDefault="0030472C" w:rsidP="0030472C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446682">
              <w:rPr>
                <w:rFonts w:cs="Arial"/>
                <w:sz w:val="18"/>
                <w:szCs w:val="18"/>
              </w:rPr>
              <w:t>463.487</w:t>
            </w:r>
          </w:p>
        </w:tc>
        <w:tc>
          <w:tcPr>
            <w:tcW w:w="1106" w:type="dxa"/>
            <w:tcBorders>
              <w:top w:val="single" w:sz="4" w:space="0" w:color="548DD4" w:themeColor="text2" w:themeTint="99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30472C" w:rsidRPr="00446682" w:rsidRDefault="0030472C" w:rsidP="0030472C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446682">
              <w:rPr>
                <w:rFonts w:cs="Arial"/>
                <w:sz w:val="18"/>
                <w:szCs w:val="18"/>
              </w:rPr>
              <w:t>25.855</w:t>
            </w:r>
          </w:p>
        </w:tc>
        <w:tc>
          <w:tcPr>
            <w:tcW w:w="993" w:type="dxa"/>
            <w:tcBorders>
              <w:top w:val="single" w:sz="4" w:space="0" w:color="548DD4" w:themeColor="text2" w:themeTint="99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30472C" w:rsidRPr="00446682" w:rsidRDefault="0030472C" w:rsidP="0030472C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446682">
              <w:rPr>
                <w:rFonts w:cs="Arial"/>
                <w:sz w:val="18"/>
                <w:szCs w:val="18"/>
              </w:rPr>
              <w:t>5.203</w:t>
            </w:r>
          </w:p>
        </w:tc>
        <w:tc>
          <w:tcPr>
            <w:tcW w:w="1246" w:type="dxa"/>
            <w:tcBorders>
              <w:top w:val="single" w:sz="4" w:space="0" w:color="548DD4" w:themeColor="text2" w:themeTint="99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30472C" w:rsidRPr="00446682" w:rsidRDefault="0030472C" w:rsidP="0030472C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446682">
              <w:rPr>
                <w:rFonts w:cs="Arial"/>
                <w:sz w:val="18"/>
                <w:szCs w:val="18"/>
              </w:rPr>
              <w:t>20.652</w:t>
            </w:r>
          </w:p>
        </w:tc>
      </w:tr>
      <w:tr w:rsidR="0030472C" w:rsidRPr="00CA6C5F" w:rsidTr="0030472C">
        <w:trPr>
          <w:trHeight w:hRule="exact" w:val="283"/>
          <w:jc w:val="center"/>
        </w:trPr>
        <w:tc>
          <w:tcPr>
            <w:tcW w:w="266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  <w:hideMark/>
          </w:tcPr>
          <w:p w:rsidR="0030472C" w:rsidRPr="00446682" w:rsidRDefault="0030472C" w:rsidP="00575CF7">
            <w:pPr>
              <w:spacing w:before="0" w:after="0" w:line="240" w:lineRule="auto"/>
              <w:jc w:val="left"/>
              <w:rPr>
                <w:rFonts w:cs="Arial"/>
                <w:bCs/>
                <w:color w:val="244061" w:themeColor="accent1" w:themeShade="80"/>
                <w:sz w:val="18"/>
                <w:szCs w:val="18"/>
              </w:rPr>
            </w:pPr>
            <w:r w:rsidRPr="00446682">
              <w:rPr>
                <w:rFonts w:cs="Arial"/>
                <w:bCs/>
                <w:color w:val="244061" w:themeColor="accent1" w:themeShade="80"/>
                <w:sz w:val="18"/>
                <w:szCs w:val="18"/>
              </w:rPr>
              <w:t>Klana/općina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30472C" w:rsidRPr="00446682" w:rsidRDefault="0030472C" w:rsidP="0030472C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446682">
              <w:rPr>
                <w:rFonts w:cs="Arial"/>
                <w:sz w:val="18"/>
                <w:szCs w:val="18"/>
              </w:rPr>
              <w:t>45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vAlign w:val="center"/>
          </w:tcPr>
          <w:p w:rsidR="0030472C" w:rsidRPr="00446682" w:rsidRDefault="0030472C" w:rsidP="0030472C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446682">
              <w:rPr>
                <w:rFonts w:cs="Arial"/>
                <w:sz w:val="18"/>
                <w:szCs w:val="18"/>
              </w:rPr>
              <w:t>613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30472C" w:rsidRPr="00446682" w:rsidRDefault="0030472C" w:rsidP="0030472C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446682">
              <w:rPr>
                <w:rFonts w:cs="Arial"/>
                <w:sz w:val="18"/>
                <w:szCs w:val="18"/>
              </w:rPr>
              <w:t>291.457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30472C" w:rsidRPr="00446682" w:rsidRDefault="0030472C" w:rsidP="0030472C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446682">
              <w:rPr>
                <w:rFonts w:cs="Arial"/>
                <w:sz w:val="18"/>
                <w:szCs w:val="18"/>
              </w:rPr>
              <w:t>5.874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30472C" w:rsidRPr="00446682" w:rsidRDefault="0030472C" w:rsidP="0030472C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446682">
              <w:rPr>
                <w:rFonts w:cs="Arial"/>
                <w:sz w:val="18"/>
                <w:szCs w:val="18"/>
              </w:rPr>
              <w:t>11.166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30472C" w:rsidRPr="00446682" w:rsidRDefault="0030472C" w:rsidP="0030472C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D94D86">
              <w:rPr>
                <w:rFonts w:cs="Arial"/>
                <w:color w:val="FF0000"/>
                <w:sz w:val="18"/>
                <w:szCs w:val="18"/>
              </w:rPr>
              <w:t>-5.292</w:t>
            </w:r>
          </w:p>
        </w:tc>
      </w:tr>
      <w:tr w:rsidR="0030472C" w:rsidRPr="00CA6C5F" w:rsidTr="0030472C">
        <w:trPr>
          <w:trHeight w:hRule="exact" w:val="283"/>
          <w:jc w:val="center"/>
        </w:trPr>
        <w:tc>
          <w:tcPr>
            <w:tcW w:w="266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  <w:hideMark/>
          </w:tcPr>
          <w:p w:rsidR="0030472C" w:rsidRPr="00446682" w:rsidRDefault="0030472C" w:rsidP="00575CF7">
            <w:pPr>
              <w:spacing w:before="0" w:after="0" w:line="240" w:lineRule="auto"/>
              <w:jc w:val="left"/>
              <w:rPr>
                <w:rFonts w:cs="Arial"/>
                <w:bCs/>
                <w:color w:val="244061" w:themeColor="accent1" w:themeShade="80"/>
                <w:sz w:val="18"/>
                <w:szCs w:val="18"/>
              </w:rPr>
            </w:pPr>
            <w:proofErr w:type="spellStart"/>
            <w:r w:rsidRPr="00446682">
              <w:rPr>
                <w:rFonts w:cs="Arial"/>
                <w:bCs/>
                <w:color w:val="244061" w:themeColor="accent1" w:themeShade="80"/>
                <w:sz w:val="18"/>
                <w:szCs w:val="18"/>
              </w:rPr>
              <w:t>Kostrena</w:t>
            </w:r>
            <w:proofErr w:type="spellEnd"/>
            <w:r w:rsidRPr="00446682">
              <w:rPr>
                <w:rFonts w:cs="Arial"/>
                <w:bCs/>
                <w:color w:val="244061" w:themeColor="accent1" w:themeShade="80"/>
                <w:sz w:val="18"/>
                <w:szCs w:val="18"/>
              </w:rPr>
              <w:t>/općina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30472C" w:rsidRPr="00446682" w:rsidRDefault="0030472C" w:rsidP="0030472C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446682">
              <w:rPr>
                <w:rFonts w:cs="Arial"/>
                <w:sz w:val="18"/>
                <w:szCs w:val="18"/>
              </w:rPr>
              <w:t>162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vAlign w:val="center"/>
          </w:tcPr>
          <w:p w:rsidR="0030472C" w:rsidRPr="00446682" w:rsidRDefault="0030472C" w:rsidP="0030472C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446682">
              <w:rPr>
                <w:rFonts w:cs="Arial"/>
                <w:sz w:val="18"/>
                <w:szCs w:val="18"/>
              </w:rPr>
              <w:t>506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30472C" w:rsidRPr="00446682" w:rsidRDefault="0030472C" w:rsidP="0030472C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446682">
              <w:rPr>
                <w:rFonts w:cs="Arial"/>
                <w:sz w:val="18"/>
                <w:szCs w:val="18"/>
              </w:rPr>
              <w:t>224.082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30472C" w:rsidRPr="00446682" w:rsidRDefault="0030472C" w:rsidP="0030472C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446682">
              <w:rPr>
                <w:rFonts w:cs="Arial"/>
                <w:sz w:val="18"/>
                <w:szCs w:val="18"/>
              </w:rPr>
              <w:t>22.181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30472C" w:rsidRPr="00446682" w:rsidRDefault="0030472C" w:rsidP="0030472C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446682">
              <w:rPr>
                <w:rFonts w:cs="Arial"/>
                <w:sz w:val="18"/>
                <w:szCs w:val="18"/>
              </w:rPr>
              <w:t>5.824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30472C" w:rsidRPr="00446682" w:rsidRDefault="0030472C" w:rsidP="0030472C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446682">
              <w:rPr>
                <w:rFonts w:cs="Arial"/>
                <w:sz w:val="18"/>
                <w:szCs w:val="18"/>
              </w:rPr>
              <w:t>16.356</w:t>
            </w:r>
          </w:p>
        </w:tc>
      </w:tr>
      <w:tr w:rsidR="0030472C" w:rsidRPr="00CA6C5F" w:rsidTr="0030472C">
        <w:trPr>
          <w:trHeight w:hRule="exact" w:val="283"/>
          <w:jc w:val="center"/>
        </w:trPr>
        <w:tc>
          <w:tcPr>
            <w:tcW w:w="266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  <w:hideMark/>
          </w:tcPr>
          <w:p w:rsidR="0030472C" w:rsidRPr="00446682" w:rsidRDefault="0030472C" w:rsidP="00575CF7">
            <w:pPr>
              <w:spacing w:before="0" w:after="0" w:line="240" w:lineRule="auto"/>
              <w:jc w:val="left"/>
              <w:rPr>
                <w:rFonts w:cs="Arial"/>
                <w:bCs/>
                <w:color w:val="244061" w:themeColor="accent1" w:themeShade="80"/>
                <w:sz w:val="18"/>
                <w:szCs w:val="18"/>
              </w:rPr>
            </w:pPr>
            <w:r w:rsidRPr="00446682">
              <w:rPr>
                <w:rFonts w:cs="Arial"/>
                <w:bCs/>
                <w:color w:val="244061" w:themeColor="accent1" w:themeShade="80"/>
                <w:sz w:val="18"/>
                <w:szCs w:val="18"/>
              </w:rPr>
              <w:t>Lovran/općina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30472C" w:rsidRPr="00446682" w:rsidRDefault="0030472C" w:rsidP="0030472C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446682">
              <w:rPr>
                <w:rFonts w:cs="Arial"/>
                <w:sz w:val="18"/>
                <w:szCs w:val="18"/>
              </w:rPr>
              <w:t>167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vAlign w:val="center"/>
          </w:tcPr>
          <w:p w:rsidR="0030472C" w:rsidRPr="00446682" w:rsidRDefault="0030472C" w:rsidP="0030472C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446682">
              <w:rPr>
                <w:rFonts w:cs="Arial"/>
                <w:sz w:val="18"/>
                <w:szCs w:val="18"/>
              </w:rPr>
              <w:t>715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30472C" w:rsidRPr="00446682" w:rsidRDefault="0030472C" w:rsidP="0030472C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446682">
              <w:rPr>
                <w:rFonts w:cs="Arial"/>
                <w:sz w:val="18"/>
                <w:szCs w:val="18"/>
              </w:rPr>
              <w:t>256.481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30472C" w:rsidRPr="00446682" w:rsidRDefault="0030472C" w:rsidP="0030472C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446682">
              <w:rPr>
                <w:rFonts w:cs="Arial"/>
                <w:sz w:val="18"/>
                <w:szCs w:val="18"/>
              </w:rPr>
              <w:t>11.060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30472C" w:rsidRPr="00446682" w:rsidRDefault="0030472C" w:rsidP="0030472C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446682">
              <w:rPr>
                <w:rFonts w:cs="Arial"/>
                <w:sz w:val="18"/>
                <w:szCs w:val="18"/>
              </w:rPr>
              <w:t>11.560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30472C" w:rsidRPr="00D94D86" w:rsidRDefault="0030472C" w:rsidP="0030472C">
            <w:pPr>
              <w:spacing w:before="0" w:after="0" w:line="240" w:lineRule="auto"/>
              <w:jc w:val="right"/>
              <w:rPr>
                <w:rFonts w:cs="Arial"/>
                <w:color w:val="FF0000"/>
                <w:sz w:val="18"/>
                <w:szCs w:val="18"/>
              </w:rPr>
            </w:pPr>
            <w:r w:rsidRPr="00D94D86">
              <w:rPr>
                <w:rFonts w:cs="Arial"/>
                <w:color w:val="FF0000"/>
                <w:sz w:val="18"/>
                <w:szCs w:val="18"/>
              </w:rPr>
              <w:t>-500</w:t>
            </w:r>
          </w:p>
        </w:tc>
      </w:tr>
      <w:tr w:rsidR="0030472C" w:rsidRPr="00CA6C5F" w:rsidTr="0030472C">
        <w:trPr>
          <w:trHeight w:hRule="exact" w:val="283"/>
          <w:jc w:val="center"/>
        </w:trPr>
        <w:tc>
          <w:tcPr>
            <w:tcW w:w="266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  <w:hideMark/>
          </w:tcPr>
          <w:p w:rsidR="0030472C" w:rsidRPr="00446682" w:rsidRDefault="0030472C" w:rsidP="00575CF7">
            <w:pPr>
              <w:spacing w:before="0" w:after="0" w:line="240" w:lineRule="auto"/>
              <w:jc w:val="left"/>
              <w:rPr>
                <w:rFonts w:cs="Arial"/>
                <w:bCs/>
                <w:color w:val="244061" w:themeColor="accent1" w:themeShade="80"/>
                <w:sz w:val="18"/>
                <w:szCs w:val="18"/>
              </w:rPr>
            </w:pPr>
            <w:r w:rsidRPr="00446682">
              <w:rPr>
                <w:rFonts w:cs="Arial"/>
                <w:bCs/>
                <w:color w:val="244061" w:themeColor="accent1" w:themeShade="80"/>
                <w:sz w:val="18"/>
                <w:szCs w:val="18"/>
              </w:rPr>
              <w:t>Mošćenička Draga/općina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30472C" w:rsidRPr="00446682" w:rsidRDefault="0030472C" w:rsidP="0030472C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446682">
              <w:rPr>
                <w:rFonts w:cs="Arial"/>
                <w:sz w:val="18"/>
                <w:szCs w:val="18"/>
              </w:rPr>
              <w:t>68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vAlign w:val="center"/>
          </w:tcPr>
          <w:p w:rsidR="0030472C" w:rsidRPr="00446682" w:rsidRDefault="0030472C" w:rsidP="0030472C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446682">
              <w:rPr>
                <w:rFonts w:cs="Arial"/>
                <w:sz w:val="18"/>
                <w:szCs w:val="18"/>
              </w:rPr>
              <w:t>140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30472C" w:rsidRPr="00446682" w:rsidRDefault="0030472C" w:rsidP="0030472C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446682">
              <w:rPr>
                <w:rFonts w:cs="Arial"/>
                <w:sz w:val="18"/>
                <w:szCs w:val="18"/>
              </w:rPr>
              <w:t>34.792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30472C" w:rsidRPr="00446682" w:rsidRDefault="0030472C" w:rsidP="0030472C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446682">
              <w:rPr>
                <w:rFonts w:cs="Arial"/>
                <w:sz w:val="18"/>
                <w:szCs w:val="18"/>
              </w:rPr>
              <w:t>2.350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30472C" w:rsidRPr="00446682" w:rsidRDefault="0030472C" w:rsidP="0030472C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446682">
              <w:rPr>
                <w:rFonts w:cs="Arial"/>
                <w:sz w:val="18"/>
                <w:szCs w:val="18"/>
              </w:rPr>
              <w:t>3.138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30472C" w:rsidRPr="00D94D86" w:rsidRDefault="0030472C" w:rsidP="0030472C">
            <w:pPr>
              <w:spacing w:before="0" w:after="0" w:line="240" w:lineRule="auto"/>
              <w:jc w:val="right"/>
              <w:rPr>
                <w:rFonts w:cs="Arial"/>
                <w:color w:val="FF0000"/>
                <w:sz w:val="18"/>
                <w:szCs w:val="18"/>
              </w:rPr>
            </w:pPr>
            <w:r w:rsidRPr="00D94D86">
              <w:rPr>
                <w:rFonts w:cs="Arial"/>
                <w:color w:val="FF0000"/>
                <w:sz w:val="18"/>
                <w:szCs w:val="18"/>
              </w:rPr>
              <w:t>-789</w:t>
            </w:r>
          </w:p>
        </w:tc>
      </w:tr>
      <w:tr w:rsidR="0030472C" w:rsidRPr="00CA6C5F" w:rsidTr="0030472C">
        <w:trPr>
          <w:trHeight w:hRule="exact" w:val="283"/>
          <w:jc w:val="center"/>
        </w:trPr>
        <w:tc>
          <w:tcPr>
            <w:tcW w:w="266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  <w:hideMark/>
          </w:tcPr>
          <w:p w:rsidR="0030472C" w:rsidRPr="00446682" w:rsidRDefault="0030472C" w:rsidP="00575CF7">
            <w:pPr>
              <w:spacing w:before="0" w:after="0" w:line="240" w:lineRule="auto"/>
              <w:jc w:val="left"/>
              <w:rPr>
                <w:rFonts w:cs="Arial"/>
                <w:bCs/>
                <w:color w:val="244061" w:themeColor="accent1" w:themeShade="80"/>
                <w:sz w:val="18"/>
                <w:szCs w:val="18"/>
              </w:rPr>
            </w:pPr>
            <w:proofErr w:type="spellStart"/>
            <w:r w:rsidRPr="00446682">
              <w:rPr>
                <w:rFonts w:cs="Arial"/>
                <w:bCs/>
                <w:color w:val="244061" w:themeColor="accent1" w:themeShade="80"/>
                <w:sz w:val="18"/>
                <w:szCs w:val="18"/>
              </w:rPr>
              <w:t>Viškovo</w:t>
            </w:r>
            <w:proofErr w:type="spellEnd"/>
            <w:r w:rsidRPr="00446682">
              <w:rPr>
                <w:rFonts w:cs="Arial"/>
                <w:bCs/>
                <w:color w:val="244061" w:themeColor="accent1" w:themeShade="80"/>
                <w:sz w:val="18"/>
                <w:szCs w:val="18"/>
              </w:rPr>
              <w:t>/općina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30472C" w:rsidRPr="00446682" w:rsidRDefault="0030472C" w:rsidP="0030472C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446682">
              <w:rPr>
                <w:rFonts w:cs="Arial"/>
                <w:sz w:val="18"/>
                <w:szCs w:val="18"/>
              </w:rPr>
              <w:t>654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vAlign w:val="center"/>
          </w:tcPr>
          <w:p w:rsidR="0030472C" w:rsidRPr="00446682" w:rsidRDefault="0030472C" w:rsidP="0030472C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446682">
              <w:rPr>
                <w:rFonts w:cs="Arial"/>
                <w:sz w:val="18"/>
                <w:szCs w:val="18"/>
              </w:rPr>
              <w:t>2.701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30472C" w:rsidRPr="00446682" w:rsidRDefault="0030472C" w:rsidP="0030472C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446682">
              <w:rPr>
                <w:rFonts w:cs="Arial"/>
                <w:sz w:val="18"/>
                <w:szCs w:val="18"/>
              </w:rPr>
              <w:t>1.294.743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30472C" w:rsidRPr="00446682" w:rsidRDefault="0030472C" w:rsidP="0030472C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446682">
              <w:rPr>
                <w:rFonts w:cs="Arial"/>
                <w:sz w:val="18"/>
                <w:szCs w:val="18"/>
              </w:rPr>
              <w:t>71.768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30472C" w:rsidRPr="00446682" w:rsidRDefault="0030472C" w:rsidP="0030472C">
            <w:pPr>
              <w:spacing w:before="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446682">
              <w:rPr>
                <w:rFonts w:cs="Arial"/>
                <w:sz w:val="18"/>
                <w:szCs w:val="18"/>
              </w:rPr>
              <w:t>75.120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7EDF5"/>
            <w:noWrap/>
            <w:vAlign w:val="center"/>
          </w:tcPr>
          <w:p w:rsidR="0030472C" w:rsidRPr="00D94D86" w:rsidRDefault="0030472C" w:rsidP="0030472C">
            <w:pPr>
              <w:spacing w:before="0" w:after="0" w:line="240" w:lineRule="auto"/>
              <w:jc w:val="right"/>
              <w:rPr>
                <w:rFonts w:cs="Arial"/>
                <w:color w:val="FF0000"/>
                <w:sz w:val="18"/>
                <w:szCs w:val="18"/>
              </w:rPr>
            </w:pPr>
            <w:r w:rsidRPr="00D94D86">
              <w:rPr>
                <w:rFonts w:cs="Arial"/>
                <w:color w:val="FF0000"/>
                <w:sz w:val="18"/>
                <w:szCs w:val="18"/>
              </w:rPr>
              <w:t>-3.352</w:t>
            </w:r>
          </w:p>
        </w:tc>
      </w:tr>
      <w:tr w:rsidR="0030472C" w:rsidRPr="00CA6C5F" w:rsidTr="0030472C">
        <w:trPr>
          <w:trHeight w:hRule="exact" w:val="283"/>
          <w:jc w:val="center"/>
        </w:trPr>
        <w:tc>
          <w:tcPr>
            <w:tcW w:w="266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  <w:vAlign w:val="center"/>
            <w:hideMark/>
          </w:tcPr>
          <w:p w:rsidR="0030472C" w:rsidRPr="00446682" w:rsidRDefault="0030472C" w:rsidP="00575CF7">
            <w:pPr>
              <w:spacing w:before="0" w:after="0" w:line="240" w:lineRule="auto"/>
              <w:jc w:val="left"/>
              <w:rPr>
                <w:rFonts w:cs="Arial"/>
                <w:b/>
                <w:bCs/>
                <w:color w:val="244061" w:themeColor="accent1" w:themeShade="80"/>
                <w:sz w:val="18"/>
                <w:szCs w:val="18"/>
              </w:rPr>
            </w:pPr>
            <w:r w:rsidRPr="00446682">
              <w:rPr>
                <w:rFonts w:cs="Arial"/>
                <w:b/>
                <w:bCs/>
                <w:color w:val="244061" w:themeColor="accent1" w:themeShade="80"/>
                <w:sz w:val="18"/>
                <w:szCs w:val="18"/>
              </w:rPr>
              <w:t>Ukupno poduzetnici UAR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  <w:noWrap/>
            <w:vAlign w:val="center"/>
          </w:tcPr>
          <w:p w:rsidR="0030472C" w:rsidRPr="00446682" w:rsidRDefault="0030472C" w:rsidP="0030472C">
            <w:pPr>
              <w:widowControl w:val="0"/>
              <w:spacing w:before="0" w:after="0"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 w:rsidRPr="00446682">
              <w:rPr>
                <w:rFonts w:cs="Arial"/>
                <w:b/>
                <w:sz w:val="18"/>
                <w:szCs w:val="18"/>
              </w:rPr>
              <w:t>7.691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  <w:noWrap/>
            <w:vAlign w:val="center"/>
          </w:tcPr>
          <w:p w:rsidR="0030472C" w:rsidRPr="00446682" w:rsidRDefault="0030472C" w:rsidP="0030472C">
            <w:pPr>
              <w:widowControl w:val="0"/>
              <w:spacing w:before="0" w:after="0"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 w:rsidRPr="00446682">
              <w:rPr>
                <w:rFonts w:cs="Arial"/>
                <w:b/>
                <w:sz w:val="18"/>
                <w:szCs w:val="18"/>
              </w:rPr>
              <w:t>42.726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  <w:noWrap/>
            <w:vAlign w:val="center"/>
          </w:tcPr>
          <w:p w:rsidR="0030472C" w:rsidRPr="00446682" w:rsidRDefault="0030472C" w:rsidP="0030472C">
            <w:pPr>
              <w:widowControl w:val="0"/>
              <w:spacing w:before="0" w:after="0"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 w:rsidRPr="00446682">
              <w:rPr>
                <w:rFonts w:cs="Arial"/>
                <w:b/>
                <w:sz w:val="18"/>
                <w:szCs w:val="18"/>
              </w:rPr>
              <w:t>27.715.579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  <w:noWrap/>
            <w:vAlign w:val="center"/>
          </w:tcPr>
          <w:p w:rsidR="0030472C" w:rsidRPr="00446682" w:rsidRDefault="0030472C" w:rsidP="0030472C">
            <w:pPr>
              <w:widowControl w:val="0"/>
              <w:spacing w:before="0" w:after="0"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 w:rsidRPr="00446682">
              <w:rPr>
                <w:rFonts w:cs="Arial"/>
                <w:b/>
                <w:sz w:val="18"/>
                <w:szCs w:val="18"/>
              </w:rPr>
              <w:t>1.574.483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  <w:noWrap/>
            <w:vAlign w:val="center"/>
          </w:tcPr>
          <w:p w:rsidR="0030472C" w:rsidRPr="00446682" w:rsidRDefault="0030472C" w:rsidP="0030472C">
            <w:pPr>
              <w:widowControl w:val="0"/>
              <w:spacing w:before="0" w:after="0"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 w:rsidRPr="00446682">
              <w:rPr>
                <w:rFonts w:cs="Arial"/>
                <w:b/>
                <w:sz w:val="18"/>
                <w:szCs w:val="18"/>
              </w:rPr>
              <w:t>747.824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  <w:noWrap/>
            <w:vAlign w:val="center"/>
          </w:tcPr>
          <w:p w:rsidR="0030472C" w:rsidRPr="00446682" w:rsidRDefault="0030472C" w:rsidP="0030472C">
            <w:pPr>
              <w:widowControl w:val="0"/>
              <w:spacing w:before="0" w:after="0"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 w:rsidRPr="00446682">
              <w:rPr>
                <w:rFonts w:cs="Arial"/>
                <w:b/>
                <w:sz w:val="18"/>
                <w:szCs w:val="18"/>
              </w:rPr>
              <w:t>826.660</w:t>
            </w:r>
          </w:p>
        </w:tc>
      </w:tr>
    </w:tbl>
    <w:p w:rsidR="00E65163" w:rsidRPr="00A77A2F" w:rsidRDefault="00E65163" w:rsidP="00A61214">
      <w:pPr>
        <w:spacing w:before="60" w:after="0"/>
        <w:rPr>
          <w:bCs/>
          <w:i/>
          <w:color w:val="17365D"/>
          <w:sz w:val="16"/>
          <w:szCs w:val="18"/>
        </w:rPr>
      </w:pPr>
      <w:r w:rsidRPr="00A77A2F">
        <w:rPr>
          <w:bCs/>
          <w:i/>
          <w:color w:val="17365D"/>
          <w:sz w:val="16"/>
          <w:szCs w:val="18"/>
        </w:rPr>
        <w:t>Izvor: Fina, Registar godišnjih financijskih izvještaja, obrada GFI-a za 201</w:t>
      </w:r>
      <w:r w:rsidR="006310AC">
        <w:rPr>
          <w:bCs/>
          <w:i/>
          <w:color w:val="17365D"/>
          <w:sz w:val="16"/>
          <w:szCs w:val="18"/>
        </w:rPr>
        <w:t>9</w:t>
      </w:r>
      <w:r w:rsidRPr="00A77A2F">
        <w:rPr>
          <w:bCs/>
          <w:i/>
          <w:color w:val="17365D"/>
          <w:sz w:val="16"/>
          <w:szCs w:val="18"/>
        </w:rPr>
        <w:t>. godinu</w:t>
      </w:r>
    </w:p>
    <w:p w:rsidR="00E65163" w:rsidRPr="00B94544" w:rsidRDefault="00E65163" w:rsidP="004003B8">
      <w:pPr>
        <w:widowControl w:val="0"/>
        <w:tabs>
          <w:tab w:val="left" w:pos="567"/>
        </w:tabs>
        <w:spacing w:before="180" w:after="180"/>
        <w:rPr>
          <w:color w:val="17365D" w:themeColor="text2" w:themeShade="BF"/>
          <w:sz w:val="20"/>
        </w:rPr>
      </w:pPr>
      <w:r w:rsidRPr="00B94544">
        <w:rPr>
          <w:color w:val="17365D" w:themeColor="text2" w:themeShade="BF"/>
          <w:sz w:val="20"/>
        </w:rPr>
        <w:t xml:space="preserve">U ukupnim prihodima </w:t>
      </w:r>
      <w:r w:rsidR="000B1AA0" w:rsidRPr="00B94544">
        <w:rPr>
          <w:color w:val="17365D" w:themeColor="text2" w:themeShade="BF"/>
          <w:sz w:val="20"/>
        </w:rPr>
        <w:t>poduzetnika U</w:t>
      </w:r>
      <w:r w:rsidR="00B94544">
        <w:rPr>
          <w:color w:val="17365D" w:themeColor="text2" w:themeShade="BF"/>
          <w:sz w:val="20"/>
        </w:rPr>
        <w:t>rbane aglomeracije Rijeka</w:t>
      </w:r>
      <w:r w:rsidRPr="00B94544">
        <w:rPr>
          <w:color w:val="17365D" w:themeColor="text2" w:themeShade="BF"/>
          <w:sz w:val="20"/>
        </w:rPr>
        <w:t xml:space="preserve"> najveći je udio poduzetnika Rijek</w:t>
      </w:r>
      <w:r w:rsidR="00CE7825" w:rsidRPr="00B94544">
        <w:rPr>
          <w:color w:val="17365D" w:themeColor="text2" w:themeShade="BF"/>
          <w:sz w:val="20"/>
        </w:rPr>
        <w:t>e</w:t>
      </w:r>
      <w:r w:rsidR="004003B8">
        <w:rPr>
          <w:color w:val="17365D" w:themeColor="text2" w:themeShade="BF"/>
          <w:sz w:val="20"/>
        </w:rPr>
        <w:t xml:space="preserve"> (5.020),</w:t>
      </w:r>
      <w:r w:rsidRPr="00B94544">
        <w:rPr>
          <w:color w:val="17365D" w:themeColor="text2" w:themeShade="BF"/>
          <w:sz w:val="20"/>
        </w:rPr>
        <w:t xml:space="preserve"> s ostvarenih </w:t>
      </w:r>
      <w:r w:rsidR="000E4B2A" w:rsidRPr="00B94544">
        <w:rPr>
          <w:color w:val="17365D" w:themeColor="text2" w:themeShade="BF"/>
          <w:sz w:val="20"/>
        </w:rPr>
        <w:t>20,3</w:t>
      </w:r>
      <w:r w:rsidRPr="00B94544">
        <w:rPr>
          <w:color w:val="17365D" w:themeColor="text2" w:themeShade="BF"/>
          <w:sz w:val="20"/>
        </w:rPr>
        <w:t xml:space="preserve"> milijard</w:t>
      </w:r>
      <w:r w:rsidR="000E4B2A" w:rsidRPr="00B94544">
        <w:rPr>
          <w:color w:val="17365D" w:themeColor="text2" w:themeShade="BF"/>
          <w:sz w:val="20"/>
        </w:rPr>
        <w:t>e</w:t>
      </w:r>
      <w:r w:rsidRPr="00B94544">
        <w:rPr>
          <w:color w:val="17365D" w:themeColor="text2" w:themeShade="BF"/>
          <w:sz w:val="20"/>
        </w:rPr>
        <w:t xml:space="preserve"> kuna</w:t>
      </w:r>
      <w:r w:rsidR="00DA78C1" w:rsidRPr="00B94544">
        <w:rPr>
          <w:color w:val="17365D" w:themeColor="text2" w:themeShade="BF"/>
          <w:sz w:val="20"/>
        </w:rPr>
        <w:t xml:space="preserve"> (</w:t>
      </w:r>
      <w:r w:rsidR="004D3422" w:rsidRPr="00B94544">
        <w:rPr>
          <w:color w:val="17365D" w:themeColor="text2" w:themeShade="BF"/>
          <w:sz w:val="20"/>
        </w:rPr>
        <w:t>73,</w:t>
      </w:r>
      <w:r w:rsidR="000E4B2A" w:rsidRPr="00B94544">
        <w:rPr>
          <w:color w:val="17365D" w:themeColor="text2" w:themeShade="BF"/>
          <w:sz w:val="20"/>
        </w:rPr>
        <w:t>3</w:t>
      </w:r>
      <w:r w:rsidR="00DA78C1" w:rsidRPr="00B94544">
        <w:rPr>
          <w:color w:val="17365D" w:themeColor="text2" w:themeShade="BF"/>
          <w:sz w:val="20"/>
        </w:rPr>
        <w:t>%),</w:t>
      </w:r>
      <w:r w:rsidRPr="00B94544">
        <w:rPr>
          <w:color w:val="17365D" w:themeColor="text2" w:themeShade="BF"/>
          <w:sz w:val="20"/>
        </w:rPr>
        <w:t xml:space="preserve"> </w:t>
      </w:r>
      <w:r w:rsidR="00690C8C" w:rsidRPr="00B94544">
        <w:rPr>
          <w:color w:val="17365D" w:themeColor="text2" w:themeShade="BF"/>
          <w:sz w:val="20"/>
        </w:rPr>
        <w:t xml:space="preserve">762 poduzetnika </w:t>
      </w:r>
      <w:r w:rsidRPr="00B94544">
        <w:rPr>
          <w:color w:val="17365D" w:themeColor="text2" w:themeShade="BF"/>
          <w:sz w:val="20"/>
        </w:rPr>
        <w:t xml:space="preserve">Opatije s </w:t>
      </w:r>
      <w:r w:rsidR="00B91017" w:rsidRPr="00B94544">
        <w:rPr>
          <w:color w:val="17365D" w:themeColor="text2" w:themeShade="BF"/>
          <w:sz w:val="20"/>
        </w:rPr>
        <w:t>2,</w:t>
      </w:r>
      <w:r w:rsidR="000E4B2A" w:rsidRPr="00B94544">
        <w:rPr>
          <w:color w:val="17365D" w:themeColor="text2" w:themeShade="BF"/>
          <w:sz w:val="20"/>
        </w:rPr>
        <w:t>4</w:t>
      </w:r>
      <w:r w:rsidRPr="00B94544">
        <w:rPr>
          <w:color w:val="17365D" w:themeColor="text2" w:themeShade="BF"/>
          <w:sz w:val="20"/>
        </w:rPr>
        <w:t xml:space="preserve"> milijard</w:t>
      </w:r>
      <w:r w:rsidR="00152A99" w:rsidRPr="00B94544">
        <w:rPr>
          <w:color w:val="17365D" w:themeColor="text2" w:themeShade="BF"/>
          <w:sz w:val="20"/>
        </w:rPr>
        <w:t>e</w:t>
      </w:r>
      <w:r w:rsidRPr="00B94544">
        <w:rPr>
          <w:color w:val="17365D" w:themeColor="text2" w:themeShade="BF"/>
          <w:sz w:val="20"/>
        </w:rPr>
        <w:t xml:space="preserve"> kuna </w:t>
      </w:r>
      <w:r w:rsidR="00DA78C1" w:rsidRPr="00B94544">
        <w:rPr>
          <w:color w:val="17365D" w:themeColor="text2" w:themeShade="BF"/>
          <w:sz w:val="20"/>
        </w:rPr>
        <w:t>(8,</w:t>
      </w:r>
      <w:r w:rsidR="000E4B2A" w:rsidRPr="00B94544">
        <w:rPr>
          <w:color w:val="17365D" w:themeColor="text2" w:themeShade="BF"/>
          <w:sz w:val="20"/>
        </w:rPr>
        <w:t>7</w:t>
      </w:r>
      <w:r w:rsidR="00DA78C1" w:rsidRPr="00B94544">
        <w:rPr>
          <w:color w:val="17365D" w:themeColor="text2" w:themeShade="BF"/>
          <w:sz w:val="20"/>
        </w:rPr>
        <w:t xml:space="preserve">%) </w:t>
      </w:r>
      <w:r w:rsidRPr="00B94544">
        <w:rPr>
          <w:color w:val="17365D" w:themeColor="text2" w:themeShade="BF"/>
          <w:sz w:val="20"/>
        </w:rPr>
        <w:t xml:space="preserve">i </w:t>
      </w:r>
      <w:r w:rsidR="00690C8C" w:rsidRPr="00B94544">
        <w:rPr>
          <w:color w:val="17365D" w:themeColor="text2" w:themeShade="BF"/>
          <w:sz w:val="20"/>
        </w:rPr>
        <w:t>461 poduzetnik</w:t>
      </w:r>
      <w:r w:rsidR="004003B8">
        <w:rPr>
          <w:color w:val="17365D" w:themeColor="text2" w:themeShade="BF"/>
          <w:sz w:val="20"/>
        </w:rPr>
        <w:t>a</w:t>
      </w:r>
      <w:r w:rsidR="00690C8C" w:rsidRPr="00B94544">
        <w:rPr>
          <w:color w:val="17365D" w:themeColor="text2" w:themeShade="BF"/>
          <w:sz w:val="20"/>
        </w:rPr>
        <w:t xml:space="preserve"> </w:t>
      </w:r>
      <w:proofErr w:type="spellStart"/>
      <w:r w:rsidRPr="00B94544">
        <w:rPr>
          <w:color w:val="17365D" w:themeColor="text2" w:themeShade="BF"/>
          <w:sz w:val="20"/>
        </w:rPr>
        <w:t>Kastva</w:t>
      </w:r>
      <w:proofErr w:type="spellEnd"/>
      <w:r w:rsidRPr="00B94544">
        <w:rPr>
          <w:color w:val="17365D" w:themeColor="text2" w:themeShade="BF"/>
          <w:sz w:val="20"/>
        </w:rPr>
        <w:t xml:space="preserve"> s </w:t>
      </w:r>
      <w:r w:rsidR="004D3422" w:rsidRPr="00B94544">
        <w:rPr>
          <w:color w:val="17365D" w:themeColor="text2" w:themeShade="BF"/>
          <w:sz w:val="20"/>
        </w:rPr>
        <w:t>2,</w:t>
      </w:r>
      <w:proofErr w:type="spellStart"/>
      <w:r w:rsidR="000E4B2A" w:rsidRPr="00B94544">
        <w:rPr>
          <w:color w:val="17365D" w:themeColor="text2" w:themeShade="BF"/>
          <w:sz w:val="20"/>
        </w:rPr>
        <w:t>2</w:t>
      </w:r>
      <w:proofErr w:type="spellEnd"/>
      <w:r w:rsidRPr="00B94544">
        <w:rPr>
          <w:color w:val="17365D" w:themeColor="text2" w:themeShade="BF"/>
          <w:sz w:val="20"/>
        </w:rPr>
        <w:t xml:space="preserve"> milijard</w:t>
      </w:r>
      <w:r w:rsidR="004D3422" w:rsidRPr="00B94544">
        <w:rPr>
          <w:color w:val="17365D" w:themeColor="text2" w:themeShade="BF"/>
          <w:sz w:val="20"/>
        </w:rPr>
        <w:t>e</w:t>
      </w:r>
      <w:r w:rsidRPr="00B94544">
        <w:rPr>
          <w:color w:val="17365D" w:themeColor="text2" w:themeShade="BF"/>
          <w:sz w:val="20"/>
        </w:rPr>
        <w:t xml:space="preserve"> kuna</w:t>
      </w:r>
      <w:r w:rsidR="00DA78C1" w:rsidRPr="00B94544">
        <w:rPr>
          <w:color w:val="17365D" w:themeColor="text2" w:themeShade="BF"/>
          <w:sz w:val="20"/>
        </w:rPr>
        <w:t xml:space="preserve"> (</w:t>
      </w:r>
      <w:r w:rsidR="004D3422" w:rsidRPr="00B94544">
        <w:rPr>
          <w:color w:val="17365D" w:themeColor="text2" w:themeShade="BF"/>
          <w:sz w:val="20"/>
        </w:rPr>
        <w:t>7,</w:t>
      </w:r>
      <w:r w:rsidR="000E4B2A" w:rsidRPr="00B94544">
        <w:rPr>
          <w:color w:val="17365D" w:themeColor="text2" w:themeShade="BF"/>
          <w:sz w:val="20"/>
        </w:rPr>
        <w:t>9</w:t>
      </w:r>
      <w:r w:rsidR="00DA78C1" w:rsidRPr="00B94544">
        <w:rPr>
          <w:color w:val="17365D" w:themeColor="text2" w:themeShade="BF"/>
          <w:sz w:val="20"/>
        </w:rPr>
        <w:t>%)</w:t>
      </w:r>
      <w:r w:rsidRPr="00B94544">
        <w:rPr>
          <w:color w:val="17365D" w:themeColor="text2" w:themeShade="BF"/>
          <w:sz w:val="20"/>
        </w:rPr>
        <w:t>.</w:t>
      </w:r>
    </w:p>
    <w:p w:rsidR="00E65163" w:rsidRPr="000E4B2A" w:rsidRDefault="00E65163" w:rsidP="00A61214">
      <w:pPr>
        <w:tabs>
          <w:tab w:val="left" w:pos="5954"/>
        </w:tabs>
        <w:spacing w:before="0" w:after="40" w:line="240" w:lineRule="auto"/>
        <w:ind w:left="1134" w:hanging="1134"/>
        <w:jc w:val="left"/>
        <w:rPr>
          <w:rFonts w:eastAsia="Calibri" w:cs="Arial"/>
          <w:i/>
          <w:color w:val="244061"/>
          <w:sz w:val="16"/>
          <w:szCs w:val="18"/>
          <w:lang w:eastAsia="en-US"/>
        </w:rPr>
      </w:pPr>
      <w:r w:rsidRPr="00E26D38">
        <w:rPr>
          <w:rFonts w:eastAsia="Calibri" w:cs="Arial"/>
          <w:b/>
          <w:color w:val="17365D"/>
          <w:sz w:val="18"/>
          <w:szCs w:val="18"/>
          <w:lang w:eastAsia="en-US"/>
        </w:rPr>
        <w:t xml:space="preserve">Tablica </w:t>
      </w:r>
      <w:r w:rsidR="00B0422F" w:rsidRPr="00E26D38">
        <w:rPr>
          <w:rFonts w:eastAsia="Calibri" w:cs="Arial"/>
          <w:b/>
          <w:color w:val="17365D"/>
          <w:sz w:val="18"/>
          <w:szCs w:val="18"/>
          <w:lang w:eastAsia="en-US"/>
        </w:rPr>
        <w:t>2</w:t>
      </w:r>
      <w:r w:rsidRPr="00E26D38">
        <w:rPr>
          <w:rFonts w:eastAsia="Calibri" w:cs="Arial"/>
          <w:b/>
          <w:color w:val="17365D"/>
          <w:sz w:val="18"/>
          <w:szCs w:val="18"/>
          <w:lang w:eastAsia="en-US"/>
        </w:rPr>
        <w:t>.</w:t>
      </w:r>
      <w:r w:rsidRPr="00E26D38">
        <w:rPr>
          <w:rFonts w:eastAsia="Calibri" w:cs="Arial"/>
          <w:b/>
          <w:color w:val="17365D"/>
          <w:sz w:val="18"/>
          <w:szCs w:val="18"/>
          <w:lang w:eastAsia="en-US"/>
        </w:rPr>
        <w:tab/>
      </w:r>
      <w:r w:rsidRPr="00E26D38">
        <w:rPr>
          <w:rFonts w:eastAsia="Calibri" w:cs="Arial"/>
          <w:b/>
          <w:color w:val="244061"/>
          <w:sz w:val="18"/>
          <w:szCs w:val="18"/>
          <w:lang w:eastAsia="en-US"/>
        </w:rPr>
        <w:t xml:space="preserve">Osnovni financijski </w:t>
      </w:r>
      <w:r w:rsidR="00A61214">
        <w:rPr>
          <w:rFonts w:eastAsia="Calibri" w:cs="Arial"/>
          <w:b/>
          <w:color w:val="244061"/>
          <w:sz w:val="18"/>
          <w:szCs w:val="18"/>
          <w:lang w:eastAsia="en-US"/>
        </w:rPr>
        <w:t>rezultati</w:t>
      </w:r>
      <w:r w:rsidRPr="00E26D38">
        <w:rPr>
          <w:rFonts w:eastAsia="Calibri" w:cs="Arial"/>
          <w:b/>
          <w:color w:val="244061"/>
          <w:sz w:val="18"/>
          <w:szCs w:val="18"/>
          <w:lang w:eastAsia="en-US"/>
        </w:rPr>
        <w:t xml:space="preserve"> poduzetnika na području Urbane aglomeracije Rijeka i poduzetnika Primorsko-goranske županije u 201</w:t>
      </w:r>
      <w:r w:rsidR="006310AC">
        <w:rPr>
          <w:rFonts w:eastAsia="Calibri" w:cs="Arial"/>
          <w:b/>
          <w:color w:val="244061"/>
          <w:sz w:val="18"/>
          <w:szCs w:val="18"/>
          <w:lang w:eastAsia="en-US"/>
        </w:rPr>
        <w:t>9</w:t>
      </w:r>
      <w:r w:rsidRPr="00E26D38">
        <w:rPr>
          <w:rFonts w:eastAsia="Calibri" w:cs="Arial"/>
          <w:b/>
          <w:color w:val="244061"/>
          <w:sz w:val="18"/>
          <w:szCs w:val="18"/>
          <w:lang w:eastAsia="en-US"/>
        </w:rPr>
        <w:t xml:space="preserve">. </w:t>
      </w:r>
      <w:r w:rsidR="00E26D38">
        <w:rPr>
          <w:rFonts w:eastAsia="Calibri" w:cs="Arial"/>
          <w:b/>
          <w:color w:val="244061"/>
          <w:sz w:val="18"/>
          <w:szCs w:val="18"/>
          <w:lang w:eastAsia="en-US"/>
        </w:rPr>
        <w:t>g</w:t>
      </w:r>
      <w:r w:rsidR="00A61214">
        <w:rPr>
          <w:rFonts w:eastAsia="Calibri" w:cs="Arial"/>
          <w:b/>
          <w:color w:val="244061"/>
          <w:sz w:val="18"/>
          <w:szCs w:val="18"/>
          <w:lang w:eastAsia="en-US"/>
        </w:rPr>
        <w:t>odini</w:t>
      </w:r>
      <w:r w:rsidR="00E26D38">
        <w:rPr>
          <w:rFonts w:eastAsia="Calibri" w:cs="Arial"/>
          <w:b/>
          <w:color w:val="244061"/>
          <w:sz w:val="18"/>
          <w:szCs w:val="18"/>
          <w:lang w:eastAsia="en-US"/>
        </w:rPr>
        <w:tab/>
      </w:r>
      <w:r w:rsidRPr="000E4B2A">
        <w:rPr>
          <w:rFonts w:eastAsia="Calibri" w:cs="Arial"/>
          <w:i/>
          <w:color w:val="244061"/>
          <w:sz w:val="16"/>
          <w:szCs w:val="18"/>
          <w:lang w:eastAsia="en-US"/>
        </w:rPr>
        <w:t>(iznosi u tis</w:t>
      </w:r>
      <w:r w:rsidR="00626754" w:rsidRPr="000E4B2A">
        <w:rPr>
          <w:rFonts w:eastAsia="Calibri" w:cs="Arial"/>
          <w:i/>
          <w:color w:val="244061"/>
          <w:sz w:val="16"/>
          <w:szCs w:val="18"/>
          <w:lang w:eastAsia="en-US"/>
        </w:rPr>
        <w:t>ućama</w:t>
      </w:r>
      <w:r w:rsidRPr="000E4B2A">
        <w:rPr>
          <w:rFonts w:eastAsia="Calibri" w:cs="Arial"/>
          <w:i/>
          <w:color w:val="244061"/>
          <w:sz w:val="16"/>
          <w:szCs w:val="18"/>
          <w:lang w:eastAsia="en-US"/>
        </w:rPr>
        <w:t xml:space="preserve"> kuna, prosječne plaće u kunama)</w:t>
      </w:r>
    </w:p>
    <w:tbl>
      <w:tblPr>
        <w:tblW w:w="9582" w:type="dxa"/>
        <w:jc w:val="center"/>
        <w:tblLayout w:type="fixed"/>
        <w:tblLook w:val="04A0" w:firstRow="1" w:lastRow="0" w:firstColumn="1" w:lastColumn="0" w:noHBand="0" w:noVBand="1"/>
      </w:tblPr>
      <w:tblGrid>
        <w:gridCol w:w="3635"/>
        <w:gridCol w:w="1121"/>
        <w:gridCol w:w="1121"/>
        <w:gridCol w:w="730"/>
        <w:gridCol w:w="1121"/>
        <w:gridCol w:w="1121"/>
        <w:gridCol w:w="733"/>
      </w:tblGrid>
      <w:tr w:rsidR="00E65163" w:rsidRPr="00CA6C5F" w:rsidTr="00C411EC">
        <w:trPr>
          <w:cantSplit/>
          <w:trHeight w:hRule="exact" w:val="283"/>
          <w:tblHeader/>
          <w:jc w:val="center"/>
        </w:trPr>
        <w:tc>
          <w:tcPr>
            <w:tcW w:w="3685" w:type="dxa"/>
            <w:vMerge w:val="restart"/>
            <w:tcBorders>
              <w:top w:val="single" w:sz="4" w:space="0" w:color="FFFFFF"/>
              <w:left w:val="nil"/>
              <w:bottom w:val="single" w:sz="4" w:space="0" w:color="BFBFBF"/>
              <w:right w:val="nil"/>
            </w:tcBorders>
            <w:shd w:val="clear" w:color="auto" w:fill="244061" w:themeFill="accent1" w:themeFillShade="80"/>
            <w:vAlign w:val="center"/>
            <w:hideMark/>
          </w:tcPr>
          <w:p w:rsidR="00E65163" w:rsidRPr="004820BC" w:rsidRDefault="00E65163" w:rsidP="004003B8">
            <w:pPr>
              <w:widowControl w:val="0"/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</w:rPr>
            </w:pPr>
            <w:r w:rsidRPr="004820BC">
              <w:rPr>
                <w:rFonts w:cs="Arial"/>
                <w:b/>
                <w:bCs/>
                <w:color w:val="FFFFFF"/>
                <w:sz w:val="18"/>
                <w:szCs w:val="18"/>
              </w:rPr>
              <w:t>Opis</w:t>
            </w:r>
          </w:p>
        </w:tc>
        <w:tc>
          <w:tcPr>
            <w:tcW w:w="3005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E65163" w:rsidRPr="00882537" w:rsidRDefault="00E65163" w:rsidP="004003B8">
            <w:pPr>
              <w:widowControl w:val="0"/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</w:rPr>
            </w:pPr>
            <w:r w:rsidRPr="00882537">
              <w:rPr>
                <w:rFonts w:cs="Arial"/>
                <w:b/>
                <w:bCs/>
                <w:color w:val="FFFFFF"/>
                <w:sz w:val="18"/>
                <w:szCs w:val="18"/>
              </w:rPr>
              <w:t>Urbana aglomeracija Rijeka</w:t>
            </w:r>
          </w:p>
        </w:tc>
        <w:tc>
          <w:tcPr>
            <w:tcW w:w="3008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E65163" w:rsidRPr="00882537" w:rsidRDefault="00E65163" w:rsidP="004003B8">
            <w:pPr>
              <w:widowControl w:val="0"/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</w:rPr>
            </w:pPr>
            <w:r w:rsidRPr="00882537">
              <w:rPr>
                <w:rFonts w:cs="Arial"/>
                <w:b/>
                <w:bCs/>
                <w:color w:val="FFFFFF"/>
                <w:sz w:val="18"/>
                <w:szCs w:val="18"/>
              </w:rPr>
              <w:t>Primorsko-goranska županija</w:t>
            </w:r>
          </w:p>
        </w:tc>
      </w:tr>
      <w:tr w:rsidR="00E65163" w:rsidRPr="00CA6C5F" w:rsidTr="004003B8">
        <w:trPr>
          <w:cantSplit/>
          <w:trHeight w:hRule="exact" w:val="255"/>
          <w:tblHeader/>
          <w:jc w:val="center"/>
        </w:trPr>
        <w:tc>
          <w:tcPr>
            <w:tcW w:w="3685" w:type="dxa"/>
            <w:vMerge/>
            <w:tcBorders>
              <w:top w:val="single" w:sz="4" w:space="0" w:color="FFFFFF"/>
              <w:left w:val="nil"/>
              <w:bottom w:val="single" w:sz="8" w:space="0" w:color="FFFFFF" w:themeColor="background1"/>
              <w:right w:val="nil"/>
            </w:tcBorders>
            <w:shd w:val="clear" w:color="auto" w:fill="244061" w:themeFill="accent1" w:themeFillShade="80"/>
            <w:vAlign w:val="center"/>
            <w:hideMark/>
          </w:tcPr>
          <w:p w:rsidR="00E65163" w:rsidRPr="00A77A2F" w:rsidRDefault="00E65163" w:rsidP="004003B8">
            <w:pPr>
              <w:spacing w:before="0" w:after="0" w:line="240" w:lineRule="auto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inset" w:sz="8" w:space="0" w:color="FFFFFF" w:themeColor="background1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E65163" w:rsidRPr="00A77A2F" w:rsidRDefault="00760CE8" w:rsidP="004003B8">
            <w:pPr>
              <w:widowControl w:val="0"/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A77A2F">
              <w:rPr>
                <w:rFonts w:cs="Arial"/>
                <w:b/>
                <w:bCs/>
                <w:color w:val="FFFFFF"/>
                <w:sz w:val="16"/>
                <w:szCs w:val="16"/>
              </w:rPr>
              <w:t>201</w:t>
            </w:r>
            <w:r w:rsidR="006310AC">
              <w:rPr>
                <w:rFonts w:cs="Arial"/>
                <w:b/>
                <w:bCs/>
                <w:color w:val="FFFFFF"/>
                <w:sz w:val="16"/>
                <w:szCs w:val="16"/>
              </w:rPr>
              <w:t>8</w:t>
            </w:r>
            <w:r w:rsidR="00E65163" w:rsidRPr="00A77A2F">
              <w:rPr>
                <w:rFonts w:cs="Arial"/>
                <w:b/>
                <w:bCs/>
                <w:color w:val="FFFFFF"/>
                <w:sz w:val="16"/>
                <w:szCs w:val="16"/>
              </w:rPr>
              <w:t xml:space="preserve">. </w:t>
            </w:r>
          </w:p>
        </w:tc>
        <w:tc>
          <w:tcPr>
            <w:tcW w:w="1134" w:type="dxa"/>
            <w:tcBorders>
              <w:top w:val="nil"/>
              <w:left w:val="nil"/>
              <w:bottom w:val="inset" w:sz="8" w:space="0" w:color="FFFFFF" w:themeColor="background1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E65163" w:rsidRPr="00A77A2F" w:rsidRDefault="00E65163" w:rsidP="004003B8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A77A2F">
              <w:rPr>
                <w:rFonts w:cs="Arial"/>
                <w:b/>
                <w:bCs/>
                <w:color w:val="FFFFFF"/>
                <w:sz w:val="16"/>
                <w:szCs w:val="16"/>
              </w:rPr>
              <w:t>201</w:t>
            </w:r>
            <w:r w:rsidR="006310AC">
              <w:rPr>
                <w:rFonts w:cs="Arial"/>
                <w:b/>
                <w:bCs/>
                <w:color w:val="FFFFFF"/>
                <w:sz w:val="16"/>
                <w:szCs w:val="16"/>
              </w:rPr>
              <w:t>9</w:t>
            </w:r>
            <w:r w:rsidRPr="00A77A2F">
              <w:rPr>
                <w:rFonts w:cs="Arial"/>
                <w:b/>
                <w:bCs/>
                <w:color w:val="FFFFFF"/>
                <w:sz w:val="16"/>
                <w:szCs w:val="16"/>
              </w:rPr>
              <w:t xml:space="preserve">. </w:t>
            </w:r>
          </w:p>
        </w:tc>
        <w:tc>
          <w:tcPr>
            <w:tcW w:w="737" w:type="dxa"/>
            <w:tcBorders>
              <w:top w:val="nil"/>
              <w:left w:val="nil"/>
              <w:bottom w:val="inset" w:sz="8" w:space="0" w:color="FFFFFF" w:themeColor="background1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E65163" w:rsidRPr="00A77A2F" w:rsidRDefault="00E65163" w:rsidP="004003B8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A77A2F">
              <w:rPr>
                <w:rFonts w:cs="Arial"/>
                <w:b/>
                <w:bCs/>
                <w:color w:val="FFFFFF"/>
                <w:sz w:val="16"/>
                <w:szCs w:val="16"/>
              </w:rPr>
              <w:t>Indeks</w:t>
            </w:r>
          </w:p>
        </w:tc>
        <w:tc>
          <w:tcPr>
            <w:tcW w:w="1134" w:type="dxa"/>
            <w:tcBorders>
              <w:top w:val="nil"/>
              <w:left w:val="nil"/>
              <w:bottom w:val="inset" w:sz="8" w:space="0" w:color="FFFFFF" w:themeColor="background1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E65163" w:rsidRPr="00A77A2F" w:rsidRDefault="00760CE8" w:rsidP="004003B8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A77A2F">
              <w:rPr>
                <w:rFonts w:cs="Arial"/>
                <w:b/>
                <w:bCs/>
                <w:color w:val="FFFFFF"/>
                <w:sz w:val="16"/>
                <w:szCs w:val="16"/>
              </w:rPr>
              <w:t>201</w:t>
            </w:r>
            <w:r w:rsidR="006310AC">
              <w:rPr>
                <w:rFonts w:cs="Arial"/>
                <w:b/>
                <w:bCs/>
                <w:color w:val="FFFFFF"/>
                <w:sz w:val="16"/>
                <w:szCs w:val="16"/>
              </w:rPr>
              <w:t>8.</w:t>
            </w:r>
            <w:r w:rsidR="00E65163" w:rsidRPr="00A77A2F">
              <w:rPr>
                <w:rFonts w:cs="Arial"/>
                <w:b/>
                <w:bCs/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inset" w:sz="8" w:space="0" w:color="FFFFFF" w:themeColor="background1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E65163" w:rsidRPr="00A77A2F" w:rsidRDefault="00E65163" w:rsidP="004003B8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A77A2F">
              <w:rPr>
                <w:rFonts w:cs="Arial"/>
                <w:b/>
                <w:bCs/>
                <w:color w:val="FFFFFF"/>
                <w:sz w:val="16"/>
                <w:szCs w:val="16"/>
              </w:rPr>
              <w:t>201</w:t>
            </w:r>
            <w:r w:rsidR="006310AC">
              <w:rPr>
                <w:rFonts w:cs="Arial"/>
                <w:b/>
                <w:bCs/>
                <w:color w:val="FFFFFF"/>
                <w:sz w:val="16"/>
                <w:szCs w:val="16"/>
              </w:rPr>
              <w:t>9</w:t>
            </w:r>
            <w:r w:rsidRPr="00A77A2F">
              <w:rPr>
                <w:rFonts w:cs="Arial"/>
                <w:b/>
                <w:bCs/>
                <w:color w:val="FFFFFF"/>
                <w:sz w:val="16"/>
                <w:szCs w:val="16"/>
              </w:rPr>
              <w:t xml:space="preserve">. </w:t>
            </w:r>
          </w:p>
        </w:tc>
        <w:tc>
          <w:tcPr>
            <w:tcW w:w="740" w:type="dxa"/>
            <w:tcBorders>
              <w:top w:val="nil"/>
              <w:left w:val="nil"/>
              <w:bottom w:val="inset" w:sz="8" w:space="0" w:color="FFFFFF" w:themeColor="background1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E65163" w:rsidRPr="00A77A2F" w:rsidRDefault="00E65163" w:rsidP="004003B8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A77A2F">
              <w:rPr>
                <w:rFonts w:cs="Arial"/>
                <w:b/>
                <w:bCs/>
                <w:color w:val="FFFFFF"/>
                <w:sz w:val="16"/>
                <w:szCs w:val="16"/>
              </w:rPr>
              <w:t>Indeks</w:t>
            </w:r>
          </w:p>
        </w:tc>
      </w:tr>
      <w:tr w:rsidR="004820BC" w:rsidRPr="00CA6C5F" w:rsidTr="00C411EC">
        <w:trPr>
          <w:cantSplit/>
          <w:trHeight w:val="283"/>
          <w:jc w:val="center"/>
        </w:trPr>
        <w:tc>
          <w:tcPr>
            <w:tcW w:w="368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6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E65163" w:rsidRPr="00067815" w:rsidRDefault="00E65163" w:rsidP="004003B8">
            <w:pPr>
              <w:widowControl w:val="0"/>
              <w:spacing w:before="0" w:after="0" w:line="240" w:lineRule="auto"/>
              <w:ind w:left="-57"/>
              <w:jc w:val="left"/>
              <w:rPr>
                <w:rFonts w:cs="Arial"/>
                <w:color w:val="244061"/>
                <w:sz w:val="18"/>
                <w:szCs w:val="18"/>
              </w:rPr>
            </w:pPr>
            <w:r w:rsidRPr="00067815">
              <w:rPr>
                <w:rFonts w:cs="Arial"/>
                <w:color w:val="244061"/>
                <w:sz w:val="18"/>
                <w:szCs w:val="18"/>
              </w:rPr>
              <w:t>Broj poduzetnika</w:t>
            </w:r>
          </w:p>
        </w:tc>
        <w:tc>
          <w:tcPr>
            <w:tcW w:w="1134" w:type="dxa"/>
            <w:tcBorders>
              <w:top w:val="inset" w:sz="8" w:space="0" w:color="FFFFFF" w:themeColor="background1"/>
              <w:left w:val="single" w:sz="8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E65163" w:rsidRPr="00067815" w:rsidRDefault="00E65163" w:rsidP="004003B8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inset" w:sz="8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E65163" w:rsidRPr="00C62BC7" w:rsidRDefault="008B1A97" w:rsidP="004003B8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C62BC7">
              <w:rPr>
                <w:rFonts w:cs="Arial"/>
                <w:color w:val="244061"/>
                <w:sz w:val="18"/>
                <w:szCs w:val="18"/>
              </w:rPr>
              <w:t>7.</w:t>
            </w:r>
            <w:r w:rsidR="00727EAA" w:rsidRPr="00C62BC7">
              <w:rPr>
                <w:rFonts w:cs="Arial"/>
                <w:color w:val="244061"/>
                <w:sz w:val="18"/>
                <w:szCs w:val="18"/>
              </w:rPr>
              <w:t>691</w:t>
            </w:r>
          </w:p>
        </w:tc>
        <w:tc>
          <w:tcPr>
            <w:tcW w:w="737" w:type="dxa"/>
            <w:tcBorders>
              <w:top w:val="inset" w:sz="8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E65163" w:rsidRPr="00067815" w:rsidRDefault="00E65163" w:rsidP="004003B8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inset" w:sz="8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E65163" w:rsidRPr="00067815" w:rsidRDefault="00E65163" w:rsidP="004003B8">
            <w:pPr>
              <w:widowControl w:val="0"/>
              <w:spacing w:before="0" w:after="0" w:line="240" w:lineRule="auto"/>
              <w:jc w:val="right"/>
              <w:rPr>
                <w:rFonts w:cs="Arial"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inset" w:sz="8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E65163" w:rsidRPr="00C62BC7" w:rsidRDefault="00727EAA" w:rsidP="004003B8">
            <w:pPr>
              <w:widowControl w:val="0"/>
              <w:spacing w:before="0" w:after="0" w:line="240" w:lineRule="auto"/>
              <w:jc w:val="right"/>
              <w:rPr>
                <w:rFonts w:cs="Arial"/>
                <w:bCs/>
                <w:color w:val="244061" w:themeColor="accent1" w:themeShade="80"/>
                <w:sz w:val="18"/>
                <w:szCs w:val="18"/>
              </w:rPr>
            </w:pPr>
            <w:r w:rsidRPr="00C62BC7">
              <w:rPr>
                <w:rFonts w:cs="Arial"/>
                <w:bCs/>
                <w:color w:val="244061" w:themeColor="accent1" w:themeShade="80"/>
                <w:sz w:val="18"/>
                <w:szCs w:val="18"/>
              </w:rPr>
              <w:t>11.261</w:t>
            </w:r>
          </w:p>
        </w:tc>
        <w:tc>
          <w:tcPr>
            <w:tcW w:w="740" w:type="dxa"/>
            <w:tcBorders>
              <w:top w:val="inset" w:sz="8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outset" w:sz="8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E65163" w:rsidRPr="00067815" w:rsidRDefault="00E65163" w:rsidP="004003B8">
            <w:pPr>
              <w:widowControl w:val="0"/>
              <w:spacing w:before="0" w:after="0" w:line="240" w:lineRule="auto"/>
              <w:jc w:val="right"/>
              <w:rPr>
                <w:rFonts w:cs="Arial"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727EAA" w:rsidRPr="00CA6C5F" w:rsidTr="00C411EC">
        <w:trPr>
          <w:cantSplit/>
          <w:trHeight w:val="283"/>
          <w:jc w:val="center"/>
        </w:trPr>
        <w:tc>
          <w:tcPr>
            <w:tcW w:w="3685" w:type="dxa"/>
            <w:tcBorders>
              <w:top w:val="single" w:sz="6" w:space="0" w:color="FFFFFF" w:themeColor="background1"/>
              <w:left w:val="single" w:sz="8" w:space="0" w:color="FFFFFF" w:themeColor="background1"/>
              <w:bottom w:val="single" w:sz="6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727EAA" w:rsidRPr="00067815" w:rsidRDefault="00727EAA" w:rsidP="004003B8">
            <w:pPr>
              <w:widowControl w:val="0"/>
              <w:spacing w:before="0" w:after="0" w:line="240" w:lineRule="auto"/>
              <w:ind w:left="-57"/>
              <w:jc w:val="left"/>
              <w:rPr>
                <w:rFonts w:cs="Arial"/>
                <w:color w:val="244061"/>
                <w:sz w:val="18"/>
                <w:szCs w:val="18"/>
              </w:rPr>
            </w:pPr>
            <w:r w:rsidRPr="00067815">
              <w:rPr>
                <w:rFonts w:cs="Arial"/>
                <w:color w:val="244061"/>
                <w:sz w:val="18"/>
                <w:szCs w:val="18"/>
              </w:rPr>
              <w:t>Broj zaposlenih</w:t>
            </w:r>
          </w:p>
        </w:tc>
        <w:tc>
          <w:tcPr>
            <w:tcW w:w="1134" w:type="dxa"/>
            <w:tcBorders>
              <w:top w:val="single" w:sz="6" w:space="0" w:color="FFFFFF" w:themeColor="background1"/>
              <w:left w:val="single" w:sz="8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727EAA" w:rsidRPr="00727EAA" w:rsidRDefault="00727EAA" w:rsidP="004003B8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727EAA">
              <w:rPr>
                <w:rFonts w:cs="Arial"/>
                <w:color w:val="244061"/>
                <w:sz w:val="18"/>
                <w:szCs w:val="18"/>
              </w:rPr>
              <w:t>41.343</w:t>
            </w:r>
          </w:p>
        </w:tc>
        <w:tc>
          <w:tcPr>
            <w:tcW w:w="113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727EAA" w:rsidRPr="00C62BC7" w:rsidRDefault="00727EAA" w:rsidP="004003B8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C62BC7">
              <w:rPr>
                <w:rFonts w:cs="Arial"/>
                <w:color w:val="244061"/>
                <w:sz w:val="18"/>
                <w:szCs w:val="18"/>
              </w:rPr>
              <w:t>42.726</w:t>
            </w:r>
          </w:p>
        </w:tc>
        <w:tc>
          <w:tcPr>
            <w:tcW w:w="73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727EAA" w:rsidRPr="00727EAA" w:rsidRDefault="00727EAA" w:rsidP="004003B8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727EAA">
              <w:rPr>
                <w:rFonts w:cs="Arial"/>
                <w:color w:val="244061"/>
                <w:sz w:val="18"/>
                <w:szCs w:val="18"/>
              </w:rPr>
              <w:t>103,3</w:t>
            </w:r>
          </w:p>
        </w:tc>
        <w:tc>
          <w:tcPr>
            <w:tcW w:w="113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727EAA" w:rsidRPr="00727EAA" w:rsidRDefault="00727EAA" w:rsidP="004003B8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727EAA">
              <w:rPr>
                <w:rFonts w:cs="Arial"/>
                <w:color w:val="244061"/>
                <w:sz w:val="18"/>
                <w:szCs w:val="18"/>
              </w:rPr>
              <w:t>61.979</w:t>
            </w:r>
          </w:p>
        </w:tc>
        <w:tc>
          <w:tcPr>
            <w:tcW w:w="113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727EAA" w:rsidRPr="00C62BC7" w:rsidRDefault="00727EAA" w:rsidP="004003B8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C62BC7">
              <w:rPr>
                <w:rFonts w:cs="Arial"/>
                <w:color w:val="244061"/>
                <w:sz w:val="18"/>
                <w:szCs w:val="18"/>
              </w:rPr>
              <w:t>64.568</w:t>
            </w:r>
          </w:p>
        </w:tc>
        <w:tc>
          <w:tcPr>
            <w:tcW w:w="74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outset" w:sz="8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727EAA" w:rsidRPr="00727EAA" w:rsidRDefault="00727EAA" w:rsidP="004003B8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727EAA">
              <w:rPr>
                <w:rFonts w:cs="Arial"/>
                <w:color w:val="244061"/>
                <w:sz w:val="18"/>
                <w:szCs w:val="18"/>
              </w:rPr>
              <w:t>104,2</w:t>
            </w:r>
          </w:p>
        </w:tc>
      </w:tr>
      <w:tr w:rsidR="00727EAA" w:rsidRPr="00CA6C5F" w:rsidTr="00C411EC">
        <w:trPr>
          <w:cantSplit/>
          <w:trHeight w:val="283"/>
          <w:jc w:val="center"/>
        </w:trPr>
        <w:tc>
          <w:tcPr>
            <w:tcW w:w="3685" w:type="dxa"/>
            <w:tcBorders>
              <w:top w:val="single" w:sz="6" w:space="0" w:color="FFFFFF" w:themeColor="background1"/>
              <w:left w:val="single" w:sz="8" w:space="0" w:color="FFFFFF" w:themeColor="background1"/>
              <w:bottom w:val="single" w:sz="6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727EAA" w:rsidRPr="00067815" w:rsidRDefault="00727EAA" w:rsidP="004003B8">
            <w:pPr>
              <w:widowControl w:val="0"/>
              <w:spacing w:before="0" w:after="0" w:line="240" w:lineRule="auto"/>
              <w:ind w:left="-57"/>
              <w:jc w:val="left"/>
              <w:rPr>
                <w:rFonts w:cs="Arial"/>
                <w:color w:val="244061"/>
                <w:sz w:val="18"/>
                <w:szCs w:val="18"/>
              </w:rPr>
            </w:pPr>
            <w:r w:rsidRPr="00067815">
              <w:rPr>
                <w:rFonts w:cs="Arial"/>
                <w:color w:val="244061"/>
                <w:sz w:val="18"/>
                <w:szCs w:val="18"/>
              </w:rPr>
              <w:lastRenderedPageBreak/>
              <w:t>Ukupni prihodi</w:t>
            </w:r>
          </w:p>
        </w:tc>
        <w:tc>
          <w:tcPr>
            <w:tcW w:w="1134" w:type="dxa"/>
            <w:tcBorders>
              <w:top w:val="single" w:sz="6" w:space="0" w:color="FFFFFF" w:themeColor="background1"/>
              <w:left w:val="single" w:sz="8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727EAA" w:rsidRPr="00727EAA" w:rsidRDefault="00727EAA" w:rsidP="004003B8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727EAA">
              <w:rPr>
                <w:rFonts w:cs="Arial"/>
                <w:color w:val="244061"/>
                <w:sz w:val="18"/>
                <w:szCs w:val="18"/>
              </w:rPr>
              <w:t>25.750.938</w:t>
            </w:r>
          </w:p>
        </w:tc>
        <w:tc>
          <w:tcPr>
            <w:tcW w:w="113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727EAA" w:rsidRPr="00C62BC7" w:rsidRDefault="00727EAA" w:rsidP="004003B8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C62BC7">
              <w:rPr>
                <w:rFonts w:cs="Arial"/>
                <w:color w:val="244061"/>
                <w:sz w:val="18"/>
                <w:szCs w:val="18"/>
              </w:rPr>
              <w:t>27.715.579</w:t>
            </w:r>
          </w:p>
        </w:tc>
        <w:tc>
          <w:tcPr>
            <w:tcW w:w="73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727EAA" w:rsidRPr="00727EAA" w:rsidRDefault="00727EAA" w:rsidP="004003B8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727EAA">
              <w:rPr>
                <w:rFonts w:cs="Arial"/>
                <w:color w:val="244061"/>
                <w:sz w:val="18"/>
                <w:szCs w:val="18"/>
              </w:rPr>
              <w:t>107,6</w:t>
            </w:r>
          </w:p>
        </w:tc>
        <w:tc>
          <w:tcPr>
            <w:tcW w:w="113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727EAA" w:rsidRPr="00727EAA" w:rsidRDefault="00727EAA" w:rsidP="004003B8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727EAA">
              <w:rPr>
                <w:rFonts w:cs="Arial"/>
                <w:color w:val="244061"/>
                <w:sz w:val="18"/>
                <w:szCs w:val="18"/>
              </w:rPr>
              <w:t>38.168.534</w:t>
            </w:r>
          </w:p>
        </w:tc>
        <w:tc>
          <w:tcPr>
            <w:tcW w:w="113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727EAA" w:rsidRPr="00C62BC7" w:rsidRDefault="00727EAA" w:rsidP="004003B8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C62BC7">
              <w:rPr>
                <w:rFonts w:cs="Arial"/>
                <w:color w:val="244061"/>
                <w:sz w:val="18"/>
                <w:szCs w:val="18"/>
              </w:rPr>
              <w:t>40.959.589</w:t>
            </w:r>
          </w:p>
        </w:tc>
        <w:tc>
          <w:tcPr>
            <w:tcW w:w="74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outset" w:sz="8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727EAA" w:rsidRPr="00727EAA" w:rsidRDefault="00727EAA" w:rsidP="004003B8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727EAA">
              <w:rPr>
                <w:rFonts w:cs="Arial"/>
                <w:color w:val="244061"/>
                <w:sz w:val="18"/>
                <w:szCs w:val="18"/>
              </w:rPr>
              <w:t>107,3</w:t>
            </w:r>
          </w:p>
        </w:tc>
      </w:tr>
      <w:tr w:rsidR="00727EAA" w:rsidRPr="00CA6C5F" w:rsidTr="00C411EC">
        <w:trPr>
          <w:cantSplit/>
          <w:trHeight w:val="283"/>
          <w:jc w:val="center"/>
        </w:trPr>
        <w:tc>
          <w:tcPr>
            <w:tcW w:w="3685" w:type="dxa"/>
            <w:tcBorders>
              <w:top w:val="single" w:sz="6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727EAA" w:rsidRPr="00067815" w:rsidRDefault="00727EAA" w:rsidP="004003B8">
            <w:pPr>
              <w:widowControl w:val="0"/>
              <w:spacing w:before="0" w:after="0" w:line="240" w:lineRule="auto"/>
              <w:ind w:left="-57"/>
              <w:jc w:val="left"/>
              <w:rPr>
                <w:rFonts w:cs="Arial"/>
                <w:color w:val="244061"/>
                <w:sz w:val="18"/>
                <w:szCs w:val="18"/>
              </w:rPr>
            </w:pPr>
            <w:r w:rsidRPr="00067815">
              <w:rPr>
                <w:rFonts w:cs="Arial"/>
                <w:color w:val="244061"/>
                <w:sz w:val="18"/>
                <w:szCs w:val="18"/>
              </w:rPr>
              <w:t>Ukupni rashodi</w:t>
            </w:r>
          </w:p>
        </w:tc>
        <w:tc>
          <w:tcPr>
            <w:tcW w:w="1134" w:type="dxa"/>
            <w:tcBorders>
              <w:top w:val="single" w:sz="6" w:space="0" w:color="FFFFFF" w:themeColor="background1"/>
              <w:left w:val="single" w:sz="8" w:space="0" w:color="FFFFFF" w:themeColor="background1"/>
              <w:bottom w:val="outset" w:sz="8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727EAA" w:rsidRPr="00727EAA" w:rsidRDefault="00727EAA" w:rsidP="004003B8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727EAA">
              <w:rPr>
                <w:rFonts w:cs="Arial"/>
                <w:color w:val="244061"/>
                <w:sz w:val="18"/>
                <w:szCs w:val="18"/>
              </w:rPr>
              <w:t>25.253.562</w:t>
            </w:r>
          </w:p>
        </w:tc>
        <w:tc>
          <w:tcPr>
            <w:tcW w:w="113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outset" w:sz="8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727EAA" w:rsidRPr="00C62BC7" w:rsidRDefault="00727EAA" w:rsidP="004003B8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C62BC7">
              <w:rPr>
                <w:rFonts w:cs="Arial"/>
                <w:color w:val="244061"/>
                <w:sz w:val="18"/>
                <w:szCs w:val="18"/>
              </w:rPr>
              <w:t>26.590.112</w:t>
            </w:r>
          </w:p>
        </w:tc>
        <w:tc>
          <w:tcPr>
            <w:tcW w:w="73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outset" w:sz="8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727EAA" w:rsidRPr="00727EAA" w:rsidRDefault="00727EAA" w:rsidP="004003B8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727EAA">
              <w:rPr>
                <w:rFonts w:cs="Arial"/>
                <w:color w:val="244061"/>
                <w:sz w:val="18"/>
                <w:szCs w:val="18"/>
              </w:rPr>
              <w:t>105,3</w:t>
            </w:r>
          </w:p>
        </w:tc>
        <w:tc>
          <w:tcPr>
            <w:tcW w:w="113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outset" w:sz="8" w:space="0" w:color="FFFFFF" w:themeColor="background1"/>
              <w:right w:val="single" w:sz="6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727EAA" w:rsidRPr="00727EAA" w:rsidRDefault="00727EAA" w:rsidP="004003B8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727EAA">
              <w:rPr>
                <w:rFonts w:cs="Arial"/>
                <w:color w:val="244061"/>
                <w:sz w:val="18"/>
                <w:szCs w:val="18"/>
              </w:rPr>
              <w:t>37.269.963</w:t>
            </w:r>
          </w:p>
        </w:tc>
        <w:tc>
          <w:tcPr>
            <w:tcW w:w="113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outset" w:sz="8" w:space="0" w:color="FFFFFF" w:themeColor="background1"/>
              <w:right w:val="single" w:sz="6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727EAA" w:rsidRPr="00C62BC7" w:rsidRDefault="00727EAA" w:rsidP="004003B8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C62BC7">
              <w:rPr>
                <w:rFonts w:cs="Arial"/>
                <w:color w:val="244061"/>
                <w:sz w:val="18"/>
                <w:szCs w:val="18"/>
              </w:rPr>
              <w:t>39.555.034</w:t>
            </w:r>
          </w:p>
        </w:tc>
        <w:tc>
          <w:tcPr>
            <w:tcW w:w="74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outset" w:sz="8" w:space="0" w:color="FFFFFF" w:themeColor="background1"/>
              <w:right w:val="outset" w:sz="8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727EAA" w:rsidRPr="00727EAA" w:rsidRDefault="00727EAA" w:rsidP="004003B8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727EAA">
              <w:rPr>
                <w:rFonts w:cs="Arial"/>
                <w:color w:val="244061"/>
                <w:sz w:val="18"/>
                <w:szCs w:val="18"/>
              </w:rPr>
              <w:t>106,1</w:t>
            </w:r>
          </w:p>
        </w:tc>
      </w:tr>
      <w:tr w:rsidR="00727EAA" w:rsidRPr="00CA6C5F" w:rsidTr="00C411EC">
        <w:trPr>
          <w:cantSplit/>
          <w:trHeight w:val="283"/>
          <w:jc w:val="center"/>
        </w:trPr>
        <w:tc>
          <w:tcPr>
            <w:tcW w:w="3685" w:type="dxa"/>
            <w:tcBorders>
              <w:top w:val="single" w:sz="8" w:space="0" w:color="FFFFFF" w:themeColor="background1"/>
              <w:left w:val="single" w:sz="4" w:space="0" w:color="BFBFBF"/>
              <w:bottom w:val="single" w:sz="4" w:space="0" w:color="BFBFBF"/>
              <w:right w:val="inset" w:sz="8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727EAA" w:rsidRPr="00A77A2F" w:rsidRDefault="00727EAA" w:rsidP="004003B8">
            <w:pPr>
              <w:widowControl w:val="0"/>
              <w:spacing w:before="0" w:after="0" w:line="240" w:lineRule="auto"/>
              <w:ind w:left="-57"/>
              <w:jc w:val="left"/>
              <w:rPr>
                <w:rFonts w:cs="Arial"/>
                <w:color w:val="244061"/>
                <w:sz w:val="18"/>
                <w:szCs w:val="18"/>
              </w:rPr>
            </w:pPr>
            <w:r w:rsidRPr="00A77A2F">
              <w:rPr>
                <w:rFonts w:cs="Arial"/>
                <w:color w:val="244061"/>
                <w:sz w:val="18"/>
                <w:szCs w:val="18"/>
              </w:rPr>
              <w:t>Dobit prije oporezivanja</w:t>
            </w:r>
          </w:p>
        </w:tc>
        <w:tc>
          <w:tcPr>
            <w:tcW w:w="1134" w:type="dxa"/>
            <w:tcBorders>
              <w:top w:val="outset" w:sz="8" w:space="0" w:color="FFFFFF" w:themeColor="background1"/>
              <w:left w:val="inset" w:sz="8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000000" w:fill="FFFFFF" w:themeFill="background1"/>
            <w:noWrap/>
            <w:vAlign w:val="center"/>
          </w:tcPr>
          <w:p w:rsidR="00727EAA" w:rsidRDefault="00727EAA" w:rsidP="004003B8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1.742.676</w:t>
            </w:r>
          </w:p>
        </w:tc>
        <w:tc>
          <w:tcPr>
            <w:tcW w:w="1134" w:type="dxa"/>
            <w:tcBorders>
              <w:top w:val="outset" w:sz="8" w:space="0" w:color="FFFFFF" w:themeColor="background1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000000" w:fill="FFFFFF" w:themeFill="background1"/>
            <w:noWrap/>
            <w:vAlign w:val="center"/>
          </w:tcPr>
          <w:p w:rsidR="00727EAA" w:rsidRDefault="00727EAA" w:rsidP="004003B8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1.870.952</w:t>
            </w:r>
          </w:p>
        </w:tc>
        <w:tc>
          <w:tcPr>
            <w:tcW w:w="737" w:type="dxa"/>
            <w:tcBorders>
              <w:top w:val="outset" w:sz="8" w:space="0" w:color="FFFFFF" w:themeColor="background1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000000" w:fill="FFFFFF" w:themeFill="background1"/>
            <w:noWrap/>
            <w:vAlign w:val="center"/>
          </w:tcPr>
          <w:p w:rsidR="00727EAA" w:rsidRDefault="00727EAA" w:rsidP="004003B8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107,4</w:t>
            </w:r>
          </w:p>
        </w:tc>
        <w:tc>
          <w:tcPr>
            <w:tcW w:w="1134" w:type="dxa"/>
            <w:tcBorders>
              <w:top w:val="outset" w:sz="8" w:space="0" w:color="FFFFFF" w:themeColor="background1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outset" w:sz="8" w:space="0" w:color="BFBFBF" w:themeColor="background1" w:themeShade="BF"/>
            </w:tcBorders>
            <w:shd w:val="clear" w:color="auto" w:fill="auto"/>
            <w:noWrap/>
            <w:vAlign w:val="center"/>
          </w:tcPr>
          <w:p w:rsidR="00727EAA" w:rsidRDefault="00727EAA" w:rsidP="004003B8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2.428.212</w:t>
            </w:r>
          </w:p>
        </w:tc>
        <w:tc>
          <w:tcPr>
            <w:tcW w:w="1134" w:type="dxa"/>
            <w:tcBorders>
              <w:top w:val="outset" w:sz="8" w:space="0" w:color="FFFFFF" w:themeColor="background1"/>
              <w:left w:val="outset" w:sz="8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727EAA" w:rsidRDefault="00727EAA" w:rsidP="004003B8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2.569.088</w:t>
            </w:r>
          </w:p>
        </w:tc>
        <w:tc>
          <w:tcPr>
            <w:tcW w:w="740" w:type="dxa"/>
            <w:tcBorders>
              <w:top w:val="outset" w:sz="8" w:space="0" w:color="FFFFFF" w:themeColor="background1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727EAA" w:rsidRDefault="00727EAA" w:rsidP="004003B8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105,8</w:t>
            </w:r>
          </w:p>
        </w:tc>
      </w:tr>
      <w:tr w:rsidR="00727EAA" w:rsidRPr="00CA6C5F" w:rsidTr="00C411EC">
        <w:trPr>
          <w:cantSplit/>
          <w:trHeight w:val="283"/>
          <w:jc w:val="center"/>
        </w:trPr>
        <w:tc>
          <w:tcPr>
            <w:tcW w:w="36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inset" w:sz="8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727EAA" w:rsidRPr="00A77A2F" w:rsidRDefault="00727EAA" w:rsidP="004003B8">
            <w:pPr>
              <w:widowControl w:val="0"/>
              <w:spacing w:before="0" w:after="0" w:line="240" w:lineRule="auto"/>
              <w:ind w:left="-57"/>
              <w:jc w:val="left"/>
              <w:rPr>
                <w:rFonts w:cs="Arial"/>
                <w:color w:val="244061"/>
                <w:sz w:val="18"/>
                <w:szCs w:val="18"/>
              </w:rPr>
            </w:pPr>
            <w:r w:rsidRPr="00A77A2F">
              <w:rPr>
                <w:rFonts w:cs="Arial"/>
                <w:color w:val="244061"/>
                <w:sz w:val="18"/>
                <w:szCs w:val="18"/>
              </w:rPr>
              <w:t>Gubitak prije oporezivanja</w:t>
            </w:r>
          </w:p>
        </w:tc>
        <w:tc>
          <w:tcPr>
            <w:tcW w:w="1134" w:type="dxa"/>
            <w:tcBorders>
              <w:top w:val="single" w:sz="6" w:space="0" w:color="BFBFBF" w:themeColor="background1" w:themeShade="BF"/>
              <w:left w:val="inset" w:sz="8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000000" w:fill="FFFFFF" w:themeFill="background1"/>
            <w:noWrap/>
            <w:vAlign w:val="center"/>
          </w:tcPr>
          <w:p w:rsidR="00727EAA" w:rsidRDefault="00727EAA" w:rsidP="004003B8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1.245.300</w:t>
            </w:r>
          </w:p>
        </w:tc>
        <w:tc>
          <w:tcPr>
            <w:tcW w:w="113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000000" w:fill="FFFFFF" w:themeFill="background1"/>
            <w:noWrap/>
            <w:vAlign w:val="center"/>
          </w:tcPr>
          <w:p w:rsidR="00727EAA" w:rsidRDefault="00727EAA" w:rsidP="004003B8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745.485</w:t>
            </w:r>
          </w:p>
        </w:tc>
        <w:tc>
          <w:tcPr>
            <w:tcW w:w="73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000000" w:fill="FFFFFF" w:themeFill="background1"/>
            <w:noWrap/>
            <w:vAlign w:val="center"/>
          </w:tcPr>
          <w:p w:rsidR="00727EAA" w:rsidRDefault="00727EAA" w:rsidP="004003B8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59,9</w:t>
            </w:r>
          </w:p>
        </w:tc>
        <w:tc>
          <w:tcPr>
            <w:tcW w:w="113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outset" w:sz="8" w:space="0" w:color="BFBFBF" w:themeColor="background1" w:themeShade="BF"/>
            </w:tcBorders>
            <w:shd w:val="clear" w:color="auto" w:fill="auto"/>
            <w:noWrap/>
            <w:vAlign w:val="center"/>
          </w:tcPr>
          <w:p w:rsidR="00727EAA" w:rsidRDefault="00727EAA" w:rsidP="004003B8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1.529.640</w:t>
            </w:r>
          </w:p>
        </w:tc>
        <w:tc>
          <w:tcPr>
            <w:tcW w:w="1134" w:type="dxa"/>
            <w:tcBorders>
              <w:top w:val="single" w:sz="4" w:space="0" w:color="BFBFBF"/>
              <w:left w:val="outset" w:sz="8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727EAA" w:rsidRDefault="00727EAA" w:rsidP="004003B8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1.164.532</w:t>
            </w:r>
          </w:p>
        </w:tc>
        <w:tc>
          <w:tcPr>
            <w:tcW w:w="7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727EAA" w:rsidRDefault="00727EAA" w:rsidP="004003B8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76,1</w:t>
            </w:r>
          </w:p>
        </w:tc>
      </w:tr>
      <w:tr w:rsidR="00727EAA" w:rsidRPr="00CA6C5F" w:rsidTr="00C411EC">
        <w:trPr>
          <w:cantSplit/>
          <w:trHeight w:val="283"/>
          <w:jc w:val="center"/>
        </w:trPr>
        <w:tc>
          <w:tcPr>
            <w:tcW w:w="36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inset" w:sz="8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727EAA" w:rsidRPr="00A77A2F" w:rsidRDefault="00727EAA" w:rsidP="004003B8">
            <w:pPr>
              <w:widowControl w:val="0"/>
              <w:spacing w:before="0" w:after="0" w:line="240" w:lineRule="auto"/>
              <w:ind w:left="-57"/>
              <w:jc w:val="left"/>
              <w:rPr>
                <w:rFonts w:cs="Arial"/>
                <w:color w:val="244061"/>
                <w:sz w:val="18"/>
                <w:szCs w:val="18"/>
              </w:rPr>
            </w:pPr>
            <w:r w:rsidRPr="00A77A2F">
              <w:rPr>
                <w:rFonts w:cs="Arial"/>
                <w:color w:val="244061"/>
                <w:sz w:val="18"/>
                <w:szCs w:val="18"/>
              </w:rPr>
              <w:t>Dobit razdoblja</w:t>
            </w:r>
          </w:p>
        </w:tc>
        <w:tc>
          <w:tcPr>
            <w:tcW w:w="1134" w:type="dxa"/>
            <w:tcBorders>
              <w:top w:val="single" w:sz="6" w:space="0" w:color="BFBFBF" w:themeColor="background1" w:themeShade="BF"/>
              <w:left w:val="inset" w:sz="8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000000" w:fill="FFFFFF" w:themeFill="background1"/>
            <w:noWrap/>
            <w:vAlign w:val="center"/>
          </w:tcPr>
          <w:p w:rsidR="00727EAA" w:rsidRDefault="00727EAA" w:rsidP="004003B8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1.543.238</w:t>
            </w:r>
          </w:p>
        </w:tc>
        <w:tc>
          <w:tcPr>
            <w:tcW w:w="113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000000" w:fill="FFFFFF" w:themeFill="background1"/>
            <w:noWrap/>
            <w:vAlign w:val="center"/>
          </w:tcPr>
          <w:p w:rsidR="00727EAA" w:rsidRDefault="00727EAA" w:rsidP="004003B8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1.574.483</w:t>
            </w:r>
          </w:p>
        </w:tc>
        <w:tc>
          <w:tcPr>
            <w:tcW w:w="73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000000" w:fill="FFFFFF" w:themeFill="background1"/>
            <w:noWrap/>
            <w:vAlign w:val="center"/>
          </w:tcPr>
          <w:p w:rsidR="00727EAA" w:rsidRDefault="00727EAA" w:rsidP="004003B8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102</w:t>
            </w:r>
          </w:p>
        </w:tc>
        <w:tc>
          <w:tcPr>
            <w:tcW w:w="113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outset" w:sz="8" w:space="0" w:color="BFBFBF" w:themeColor="background1" w:themeShade="BF"/>
            </w:tcBorders>
            <w:shd w:val="clear" w:color="auto" w:fill="auto"/>
            <w:noWrap/>
            <w:vAlign w:val="center"/>
          </w:tcPr>
          <w:p w:rsidR="00727EAA" w:rsidRDefault="00727EAA" w:rsidP="004003B8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2.116.301</w:t>
            </w:r>
          </w:p>
        </w:tc>
        <w:tc>
          <w:tcPr>
            <w:tcW w:w="1134" w:type="dxa"/>
            <w:tcBorders>
              <w:top w:val="single" w:sz="4" w:space="0" w:color="BFBFBF"/>
              <w:left w:val="outset" w:sz="8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727EAA" w:rsidRDefault="00727EAA" w:rsidP="004003B8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2.203.910</w:t>
            </w:r>
          </w:p>
        </w:tc>
        <w:tc>
          <w:tcPr>
            <w:tcW w:w="7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727EAA" w:rsidRDefault="00727EAA" w:rsidP="004003B8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104,1</w:t>
            </w:r>
          </w:p>
        </w:tc>
      </w:tr>
      <w:tr w:rsidR="00727EAA" w:rsidRPr="00CA6C5F" w:rsidTr="00C411EC">
        <w:trPr>
          <w:cantSplit/>
          <w:trHeight w:val="283"/>
          <w:jc w:val="center"/>
        </w:trPr>
        <w:tc>
          <w:tcPr>
            <w:tcW w:w="3685" w:type="dxa"/>
            <w:tcBorders>
              <w:top w:val="single" w:sz="4" w:space="0" w:color="BFBFBF"/>
              <w:left w:val="single" w:sz="4" w:space="0" w:color="BFBFBF"/>
              <w:bottom w:val="single" w:sz="4" w:space="0" w:color="548DD4" w:themeColor="text2" w:themeTint="99"/>
              <w:right w:val="inset" w:sz="8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727EAA" w:rsidRPr="00A77A2F" w:rsidRDefault="00727EAA" w:rsidP="004003B8">
            <w:pPr>
              <w:widowControl w:val="0"/>
              <w:spacing w:before="0" w:after="0" w:line="240" w:lineRule="auto"/>
              <w:ind w:left="-57"/>
              <w:jc w:val="left"/>
              <w:rPr>
                <w:rFonts w:cs="Arial"/>
                <w:color w:val="244061"/>
                <w:sz w:val="18"/>
                <w:szCs w:val="18"/>
              </w:rPr>
            </w:pPr>
            <w:r w:rsidRPr="00A77A2F">
              <w:rPr>
                <w:rFonts w:cs="Arial"/>
                <w:color w:val="244061"/>
                <w:sz w:val="18"/>
                <w:szCs w:val="18"/>
              </w:rPr>
              <w:t>Gubitak razdoblja</w:t>
            </w:r>
          </w:p>
        </w:tc>
        <w:tc>
          <w:tcPr>
            <w:tcW w:w="1134" w:type="dxa"/>
            <w:tcBorders>
              <w:top w:val="single" w:sz="6" w:space="0" w:color="BFBFBF" w:themeColor="background1" w:themeShade="BF"/>
              <w:left w:val="inset" w:sz="8" w:space="0" w:color="BFBFBF" w:themeColor="background1" w:themeShade="BF"/>
              <w:bottom w:val="single" w:sz="4" w:space="0" w:color="548DD4" w:themeColor="text2" w:themeTint="99"/>
              <w:right w:val="single" w:sz="6" w:space="0" w:color="BFBFBF" w:themeColor="background1" w:themeShade="BF"/>
            </w:tcBorders>
            <w:shd w:val="clear" w:color="000000" w:fill="FFFFFF" w:themeFill="background1"/>
            <w:noWrap/>
            <w:vAlign w:val="center"/>
          </w:tcPr>
          <w:p w:rsidR="00727EAA" w:rsidRDefault="00727EAA" w:rsidP="004003B8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1.240.949</w:t>
            </w:r>
          </w:p>
        </w:tc>
        <w:tc>
          <w:tcPr>
            <w:tcW w:w="113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4" w:space="0" w:color="548DD4" w:themeColor="text2" w:themeTint="99"/>
              <w:right w:val="single" w:sz="6" w:space="0" w:color="BFBFBF" w:themeColor="background1" w:themeShade="BF"/>
            </w:tcBorders>
            <w:shd w:val="clear" w:color="000000" w:fill="FFFFFF" w:themeFill="background1"/>
            <w:noWrap/>
            <w:vAlign w:val="center"/>
          </w:tcPr>
          <w:p w:rsidR="00727EAA" w:rsidRDefault="00727EAA" w:rsidP="004003B8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747.824</w:t>
            </w:r>
          </w:p>
        </w:tc>
        <w:tc>
          <w:tcPr>
            <w:tcW w:w="73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4" w:space="0" w:color="548DD4" w:themeColor="text2" w:themeTint="99"/>
              <w:right w:val="single" w:sz="6" w:space="0" w:color="BFBFBF" w:themeColor="background1" w:themeShade="BF"/>
            </w:tcBorders>
            <w:shd w:val="clear" w:color="000000" w:fill="FFFFFF" w:themeFill="background1"/>
            <w:noWrap/>
            <w:vAlign w:val="center"/>
          </w:tcPr>
          <w:p w:rsidR="00727EAA" w:rsidRDefault="00727EAA" w:rsidP="004003B8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60,3</w:t>
            </w:r>
          </w:p>
        </w:tc>
        <w:tc>
          <w:tcPr>
            <w:tcW w:w="113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4" w:space="0" w:color="548DD4" w:themeColor="text2" w:themeTint="99"/>
              <w:right w:val="outset" w:sz="8" w:space="0" w:color="BFBFBF" w:themeColor="background1" w:themeShade="BF"/>
            </w:tcBorders>
            <w:shd w:val="clear" w:color="auto" w:fill="auto"/>
            <w:noWrap/>
            <w:vAlign w:val="center"/>
          </w:tcPr>
          <w:p w:rsidR="00727EAA" w:rsidRDefault="00727EAA" w:rsidP="004003B8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1.525.623</w:t>
            </w:r>
          </w:p>
        </w:tc>
        <w:tc>
          <w:tcPr>
            <w:tcW w:w="1134" w:type="dxa"/>
            <w:tcBorders>
              <w:top w:val="single" w:sz="4" w:space="0" w:color="BFBFBF"/>
              <w:left w:val="outset" w:sz="8" w:space="0" w:color="BFBFBF" w:themeColor="background1" w:themeShade="BF"/>
              <w:bottom w:val="single" w:sz="4" w:space="0" w:color="548DD4" w:themeColor="text2" w:themeTint="99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727EAA" w:rsidRDefault="00727EAA" w:rsidP="004003B8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1.167.190</w:t>
            </w:r>
          </w:p>
        </w:tc>
        <w:tc>
          <w:tcPr>
            <w:tcW w:w="740" w:type="dxa"/>
            <w:tcBorders>
              <w:top w:val="single" w:sz="4" w:space="0" w:color="BFBFBF"/>
              <w:left w:val="single" w:sz="4" w:space="0" w:color="BFBFBF"/>
              <w:bottom w:val="single" w:sz="4" w:space="0" w:color="548DD4" w:themeColor="text2" w:themeTint="99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727EAA" w:rsidRDefault="00727EAA" w:rsidP="004003B8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76,5</w:t>
            </w:r>
          </w:p>
        </w:tc>
      </w:tr>
      <w:tr w:rsidR="00CC6437" w:rsidRPr="00CA6C5F" w:rsidTr="00C411EC">
        <w:trPr>
          <w:cantSplit/>
          <w:trHeight w:val="283"/>
          <w:jc w:val="center"/>
        </w:trPr>
        <w:tc>
          <w:tcPr>
            <w:tcW w:w="3685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C6437" w:rsidRPr="003738F9" w:rsidRDefault="00CC6437" w:rsidP="004003B8">
            <w:pPr>
              <w:widowControl w:val="0"/>
              <w:spacing w:before="0" w:after="0" w:line="240" w:lineRule="auto"/>
              <w:ind w:left="-57"/>
              <w:jc w:val="left"/>
              <w:rPr>
                <w:rFonts w:cs="Arial"/>
                <w:b/>
                <w:color w:val="244061"/>
                <w:sz w:val="18"/>
                <w:szCs w:val="18"/>
              </w:rPr>
            </w:pPr>
            <w:r w:rsidRPr="007B4C73">
              <w:rPr>
                <w:rFonts w:cs="Arial"/>
                <w:b/>
                <w:color w:val="17365D" w:themeColor="text2" w:themeShade="BF"/>
                <w:sz w:val="18"/>
                <w:szCs w:val="18"/>
              </w:rPr>
              <w:t xml:space="preserve">Konsolidirani financijski rezultat – dobit (+) ili gubitak (-) razdoblja </w:t>
            </w:r>
          </w:p>
        </w:tc>
        <w:tc>
          <w:tcPr>
            <w:tcW w:w="1134" w:type="dxa"/>
            <w:tcBorders>
              <w:top w:val="single" w:sz="4" w:space="0" w:color="548DD4" w:themeColor="text2" w:themeTint="99"/>
              <w:left w:val="single" w:sz="4" w:space="0" w:color="BFBFBF" w:themeColor="background1" w:themeShade="BF"/>
              <w:bottom w:val="single" w:sz="4" w:space="0" w:color="548DD4" w:themeColor="text2" w:themeTint="99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CC6437" w:rsidRPr="008437B7" w:rsidRDefault="00CC6437" w:rsidP="004003B8">
            <w:pPr>
              <w:widowControl w:val="0"/>
              <w:spacing w:before="0" w:after="0" w:line="240" w:lineRule="auto"/>
              <w:jc w:val="right"/>
              <w:rPr>
                <w:rFonts w:cs="Arial"/>
                <w:b/>
                <w:color w:val="244061"/>
                <w:sz w:val="18"/>
                <w:szCs w:val="18"/>
              </w:rPr>
            </w:pPr>
            <w:r w:rsidRPr="00727EAA">
              <w:rPr>
                <w:rFonts w:cs="Arial"/>
                <w:b/>
                <w:color w:val="244061"/>
                <w:sz w:val="18"/>
                <w:szCs w:val="18"/>
              </w:rPr>
              <w:t>302.288</w:t>
            </w:r>
          </w:p>
        </w:tc>
        <w:tc>
          <w:tcPr>
            <w:tcW w:w="1134" w:type="dxa"/>
            <w:tcBorders>
              <w:top w:val="single" w:sz="4" w:space="0" w:color="548DD4" w:themeColor="text2" w:themeTint="99"/>
              <w:left w:val="single" w:sz="4" w:space="0" w:color="BFBFBF" w:themeColor="background1" w:themeShade="BF"/>
              <w:bottom w:val="single" w:sz="4" w:space="0" w:color="548DD4" w:themeColor="text2" w:themeTint="99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CC6437" w:rsidRPr="00CC6437" w:rsidRDefault="00CC6437" w:rsidP="004003B8">
            <w:pPr>
              <w:widowControl w:val="0"/>
              <w:spacing w:before="0" w:after="0" w:line="240" w:lineRule="auto"/>
              <w:jc w:val="right"/>
              <w:rPr>
                <w:rFonts w:cs="Arial"/>
                <w:b/>
                <w:color w:val="244061"/>
                <w:sz w:val="18"/>
                <w:szCs w:val="18"/>
              </w:rPr>
            </w:pPr>
            <w:r w:rsidRPr="00CC6437">
              <w:rPr>
                <w:rFonts w:cs="Arial"/>
                <w:b/>
                <w:color w:val="244061"/>
                <w:sz w:val="18"/>
                <w:szCs w:val="18"/>
              </w:rPr>
              <w:t>826.660</w:t>
            </w:r>
          </w:p>
        </w:tc>
        <w:tc>
          <w:tcPr>
            <w:tcW w:w="737" w:type="dxa"/>
            <w:tcBorders>
              <w:top w:val="single" w:sz="4" w:space="0" w:color="548DD4" w:themeColor="text2" w:themeTint="99"/>
              <w:left w:val="single" w:sz="4" w:space="0" w:color="BFBFBF" w:themeColor="background1" w:themeShade="BF"/>
              <w:bottom w:val="single" w:sz="4" w:space="0" w:color="548DD4" w:themeColor="text2" w:themeTint="99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CC6437" w:rsidRPr="00CC6437" w:rsidRDefault="00CC6437" w:rsidP="004003B8">
            <w:pPr>
              <w:widowControl w:val="0"/>
              <w:spacing w:before="0" w:after="0" w:line="240" w:lineRule="auto"/>
              <w:jc w:val="right"/>
              <w:rPr>
                <w:rFonts w:cs="Arial"/>
                <w:b/>
                <w:color w:val="244061"/>
                <w:sz w:val="18"/>
                <w:szCs w:val="18"/>
              </w:rPr>
            </w:pPr>
            <w:r w:rsidRPr="00CC6437">
              <w:rPr>
                <w:rFonts w:cs="Arial"/>
                <w:b/>
                <w:color w:val="244061"/>
                <w:sz w:val="18"/>
                <w:szCs w:val="18"/>
              </w:rPr>
              <w:t>273,5</w:t>
            </w:r>
          </w:p>
        </w:tc>
        <w:tc>
          <w:tcPr>
            <w:tcW w:w="1134" w:type="dxa"/>
            <w:tcBorders>
              <w:top w:val="single" w:sz="4" w:space="0" w:color="548DD4" w:themeColor="text2" w:themeTint="99"/>
              <w:left w:val="single" w:sz="4" w:space="0" w:color="BFBFBF" w:themeColor="background1" w:themeShade="BF"/>
              <w:bottom w:val="single" w:sz="4" w:space="0" w:color="548DD4" w:themeColor="text2" w:themeTint="99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CC6437" w:rsidRPr="00CC6437" w:rsidRDefault="00CC6437" w:rsidP="004003B8">
            <w:pPr>
              <w:widowControl w:val="0"/>
              <w:spacing w:before="0" w:after="0" w:line="240" w:lineRule="auto"/>
              <w:jc w:val="right"/>
              <w:rPr>
                <w:rFonts w:cs="Arial"/>
                <w:b/>
                <w:color w:val="244061"/>
                <w:sz w:val="18"/>
                <w:szCs w:val="18"/>
              </w:rPr>
            </w:pPr>
            <w:r w:rsidRPr="00CC6437">
              <w:rPr>
                <w:rFonts w:cs="Arial"/>
                <w:b/>
                <w:color w:val="244061"/>
                <w:sz w:val="18"/>
                <w:szCs w:val="18"/>
              </w:rPr>
              <w:t>590.678</w:t>
            </w:r>
          </w:p>
        </w:tc>
        <w:tc>
          <w:tcPr>
            <w:tcW w:w="1134" w:type="dxa"/>
            <w:tcBorders>
              <w:top w:val="single" w:sz="4" w:space="0" w:color="548DD4" w:themeColor="text2" w:themeTint="99"/>
              <w:left w:val="single" w:sz="4" w:space="0" w:color="BFBFBF" w:themeColor="background1" w:themeShade="BF"/>
              <w:bottom w:val="single" w:sz="4" w:space="0" w:color="548DD4" w:themeColor="text2" w:themeTint="99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CC6437" w:rsidRPr="00CC6437" w:rsidRDefault="00CC6437" w:rsidP="004003B8">
            <w:pPr>
              <w:widowControl w:val="0"/>
              <w:spacing w:before="0" w:after="0" w:line="240" w:lineRule="auto"/>
              <w:jc w:val="right"/>
              <w:rPr>
                <w:rFonts w:cs="Arial"/>
                <w:b/>
                <w:color w:val="244061"/>
                <w:sz w:val="18"/>
                <w:szCs w:val="18"/>
              </w:rPr>
            </w:pPr>
            <w:r w:rsidRPr="00CC6437">
              <w:rPr>
                <w:rFonts w:cs="Arial"/>
                <w:b/>
                <w:color w:val="244061"/>
                <w:sz w:val="18"/>
                <w:szCs w:val="18"/>
              </w:rPr>
              <w:t>1.036.721</w:t>
            </w:r>
          </w:p>
        </w:tc>
        <w:tc>
          <w:tcPr>
            <w:tcW w:w="740" w:type="dxa"/>
            <w:tcBorders>
              <w:top w:val="single" w:sz="4" w:space="0" w:color="548DD4" w:themeColor="text2" w:themeTint="99"/>
              <w:left w:val="single" w:sz="4" w:space="0" w:color="BFBFBF" w:themeColor="background1" w:themeShade="BF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 w:themeFill="background1" w:themeFillShade="F2"/>
            <w:noWrap/>
            <w:vAlign w:val="center"/>
          </w:tcPr>
          <w:p w:rsidR="00CC6437" w:rsidRPr="00CC6437" w:rsidRDefault="00CC6437" w:rsidP="004003B8">
            <w:pPr>
              <w:widowControl w:val="0"/>
              <w:spacing w:before="0" w:after="0" w:line="240" w:lineRule="auto"/>
              <w:jc w:val="right"/>
              <w:rPr>
                <w:rFonts w:cs="Arial"/>
                <w:b/>
                <w:color w:val="244061"/>
                <w:sz w:val="18"/>
                <w:szCs w:val="18"/>
              </w:rPr>
            </w:pPr>
            <w:r w:rsidRPr="00CC6437">
              <w:rPr>
                <w:rFonts w:cs="Arial"/>
                <w:b/>
                <w:color w:val="244061"/>
                <w:sz w:val="18"/>
                <w:szCs w:val="18"/>
              </w:rPr>
              <w:t>175,5</w:t>
            </w:r>
          </w:p>
        </w:tc>
      </w:tr>
      <w:tr w:rsidR="00CC6437" w:rsidRPr="00CA6C5F" w:rsidTr="00C411EC">
        <w:trPr>
          <w:cantSplit/>
          <w:trHeight w:val="283"/>
          <w:jc w:val="center"/>
        </w:trPr>
        <w:tc>
          <w:tcPr>
            <w:tcW w:w="3685" w:type="dxa"/>
            <w:tcBorders>
              <w:top w:val="single" w:sz="4" w:space="0" w:color="548DD4" w:themeColor="text2" w:themeTint="99"/>
              <w:left w:val="single" w:sz="4" w:space="0" w:color="BFBFBF"/>
              <w:bottom w:val="single" w:sz="4" w:space="0" w:color="BFBFBF"/>
              <w:right w:val="inset" w:sz="8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CC6437" w:rsidRPr="00A77A2F" w:rsidRDefault="00CC6437" w:rsidP="004003B8">
            <w:pPr>
              <w:widowControl w:val="0"/>
              <w:spacing w:before="0" w:after="0" w:line="240" w:lineRule="auto"/>
              <w:ind w:left="-57"/>
              <w:jc w:val="left"/>
              <w:rPr>
                <w:rFonts w:cs="Arial"/>
                <w:color w:val="244061"/>
                <w:sz w:val="18"/>
                <w:szCs w:val="18"/>
              </w:rPr>
            </w:pPr>
            <w:r w:rsidRPr="00A77A2F">
              <w:rPr>
                <w:rFonts w:cs="Arial"/>
                <w:color w:val="244061"/>
                <w:sz w:val="18"/>
                <w:szCs w:val="18"/>
              </w:rPr>
              <w:t>Izvoz</w:t>
            </w:r>
          </w:p>
        </w:tc>
        <w:tc>
          <w:tcPr>
            <w:tcW w:w="1134" w:type="dxa"/>
            <w:tcBorders>
              <w:top w:val="single" w:sz="4" w:space="0" w:color="548DD4" w:themeColor="text2" w:themeTint="99"/>
              <w:left w:val="inset" w:sz="8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000000" w:fill="FFFFFF" w:themeFill="background1"/>
            <w:noWrap/>
            <w:vAlign w:val="center"/>
          </w:tcPr>
          <w:p w:rsidR="00CC6437" w:rsidRDefault="00CC6437" w:rsidP="004003B8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5.294.220</w:t>
            </w:r>
          </w:p>
        </w:tc>
        <w:tc>
          <w:tcPr>
            <w:tcW w:w="1134" w:type="dxa"/>
            <w:tcBorders>
              <w:top w:val="single" w:sz="4" w:space="0" w:color="548DD4" w:themeColor="text2" w:themeTint="99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000000" w:fill="FFFFFF" w:themeFill="background1"/>
            <w:noWrap/>
            <w:vAlign w:val="center"/>
          </w:tcPr>
          <w:p w:rsidR="00CC6437" w:rsidRDefault="00CC6437" w:rsidP="004003B8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5.919.569</w:t>
            </w:r>
          </w:p>
        </w:tc>
        <w:tc>
          <w:tcPr>
            <w:tcW w:w="737" w:type="dxa"/>
            <w:tcBorders>
              <w:top w:val="single" w:sz="4" w:space="0" w:color="548DD4" w:themeColor="text2" w:themeTint="99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000000" w:fill="FFFFFF" w:themeFill="background1"/>
            <w:noWrap/>
            <w:vAlign w:val="center"/>
          </w:tcPr>
          <w:p w:rsidR="00CC6437" w:rsidRDefault="00CC6437" w:rsidP="004003B8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111,8</w:t>
            </w:r>
          </w:p>
        </w:tc>
        <w:tc>
          <w:tcPr>
            <w:tcW w:w="1134" w:type="dxa"/>
            <w:tcBorders>
              <w:top w:val="single" w:sz="4" w:space="0" w:color="548DD4" w:themeColor="text2" w:themeTint="99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outset" w:sz="8" w:space="0" w:color="BFBFBF" w:themeColor="background1" w:themeShade="BF"/>
            </w:tcBorders>
            <w:shd w:val="clear" w:color="auto" w:fill="auto"/>
            <w:noWrap/>
            <w:vAlign w:val="center"/>
          </w:tcPr>
          <w:p w:rsidR="00CC6437" w:rsidRDefault="00CC6437" w:rsidP="004003B8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7.744.771</w:t>
            </w:r>
          </w:p>
        </w:tc>
        <w:tc>
          <w:tcPr>
            <w:tcW w:w="1134" w:type="dxa"/>
            <w:tcBorders>
              <w:top w:val="single" w:sz="4" w:space="0" w:color="548DD4" w:themeColor="text2" w:themeTint="99"/>
              <w:left w:val="outset" w:sz="8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C6437" w:rsidRDefault="00CC6437" w:rsidP="004003B8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8.487.825</w:t>
            </w:r>
          </w:p>
        </w:tc>
        <w:tc>
          <w:tcPr>
            <w:tcW w:w="740" w:type="dxa"/>
            <w:tcBorders>
              <w:top w:val="single" w:sz="4" w:space="0" w:color="548DD4" w:themeColor="text2" w:themeTint="99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C6437" w:rsidRDefault="00CC6437" w:rsidP="004003B8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109,6</w:t>
            </w:r>
          </w:p>
        </w:tc>
      </w:tr>
      <w:tr w:rsidR="00CC6437" w:rsidRPr="00CA6C5F" w:rsidTr="00C411EC">
        <w:trPr>
          <w:cantSplit/>
          <w:trHeight w:val="283"/>
          <w:jc w:val="center"/>
        </w:trPr>
        <w:tc>
          <w:tcPr>
            <w:tcW w:w="36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inset" w:sz="8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CC6437" w:rsidRPr="00A77A2F" w:rsidRDefault="00CC6437" w:rsidP="004003B8">
            <w:pPr>
              <w:widowControl w:val="0"/>
              <w:spacing w:before="0" w:after="0" w:line="240" w:lineRule="auto"/>
              <w:ind w:left="-57"/>
              <w:jc w:val="left"/>
              <w:rPr>
                <w:rFonts w:cs="Arial"/>
                <w:color w:val="244061"/>
                <w:sz w:val="18"/>
                <w:szCs w:val="18"/>
              </w:rPr>
            </w:pPr>
            <w:r w:rsidRPr="00A77A2F">
              <w:rPr>
                <w:rFonts w:cs="Arial"/>
                <w:color w:val="244061"/>
                <w:sz w:val="18"/>
                <w:szCs w:val="18"/>
              </w:rPr>
              <w:t>Uvoz</w:t>
            </w:r>
          </w:p>
        </w:tc>
        <w:tc>
          <w:tcPr>
            <w:tcW w:w="1134" w:type="dxa"/>
            <w:tcBorders>
              <w:top w:val="single" w:sz="6" w:space="0" w:color="BFBFBF" w:themeColor="background1" w:themeShade="BF"/>
              <w:left w:val="inset" w:sz="8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000000" w:fill="FFFFFF" w:themeFill="background1"/>
            <w:noWrap/>
            <w:vAlign w:val="center"/>
          </w:tcPr>
          <w:p w:rsidR="00CC6437" w:rsidRDefault="00CC6437" w:rsidP="004003B8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2.772.645</w:t>
            </w:r>
          </w:p>
        </w:tc>
        <w:tc>
          <w:tcPr>
            <w:tcW w:w="113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000000" w:fill="FFFFFF" w:themeFill="background1"/>
            <w:noWrap/>
            <w:vAlign w:val="center"/>
          </w:tcPr>
          <w:p w:rsidR="00CC6437" w:rsidRDefault="00CC6437" w:rsidP="004003B8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3.290.196</w:t>
            </w:r>
          </w:p>
        </w:tc>
        <w:tc>
          <w:tcPr>
            <w:tcW w:w="73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000000" w:fill="FFFFFF" w:themeFill="background1"/>
            <w:noWrap/>
            <w:vAlign w:val="center"/>
          </w:tcPr>
          <w:p w:rsidR="00CC6437" w:rsidRDefault="00CC6437" w:rsidP="004003B8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118,7</w:t>
            </w:r>
          </w:p>
        </w:tc>
        <w:tc>
          <w:tcPr>
            <w:tcW w:w="113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outset" w:sz="8" w:space="0" w:color="BFBFBF" w:themeColor="background1" w:themeShade="BF"/>
            </w:tcBorders>
            <w:shd w:val="clear" w:color="auto" w:fill="auto"/>
            <w:noWrap/>
            <w:vAlign w:val="center"/>
          </w:tcPr>
          <w:p w:rsidR="00CC6437" w:rsidRDefault="00CC6437" w:rsidP="004003B8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4.388.524</w:t>
            </w:r>
          </w:p>
        </w:tc>
        <w:tc>
          <w:tcPr>
            <w:tcW w:w="1134" w:type="dxa"/>
            <w:tcBorders>
              <w:top w:val="single" w:sz="4" w:space="0" w:color="BFBFBF"/>
              <w:left w:val="outset" w:sz="8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C6437" w:rsidRDefault="00CC6437" w:rsidP="004003B8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4.934.339</w:t>
            </w:r>
          </w:p>
        </w:tc>
        <w:tc>
          <w:tcPr>
            <w:tcW w:w="7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C6437" w:rsidRDefault="00CC6437" w:rsidP="004003B8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112,4</w:t>
            </w:r>
          </w:p>
        </w:tc>
      </w:tr>
      <w:tr w:rsidR="00CC6437" w:rsidRPr="00CA6C5F" w:rsidTr="00C411EC">
        <w:trPr>
          <w:cantSplit/>
          <w:trHeight w:val="283"/>
          <w:jc w:val="center"/>
        </w:trPr>
        <w:tc>
          <w:tcPr>
            <w:tcW w:w="3685" w:type="dxa"/>
            <w:tcBorders>
              <w:top w:val="single" w:sz="4" w:space="0" w:color="BFBFBF"/>
              <w:left w:val="single" w:sz="4" w:space="0" w:color="BFBFBF"/>
              <w:bottom w:val="single" w:sz="4" w:space="0" w:color="548DD4" w:themeColor="text2" w:themeTint="99"/>
              <w:right w:val="inset" w:sz="8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CC6437" w:rsidRPr="00A77A2F" w:rsidRDefault="00CC6437" w:rsidP="004003B8">
            <w:pPr>
              <w:widowControl w:val="0"/>
              <w:spacing w:before="0" w:after="0" w:line="240" w:lineRule="auto"/>
              <w:ind w:left="-57"/>
              <w:jc w:val="left"/>
              <w:rPr>
                <w:rFonts w:cs="Arial"/>
                <w:color w:val="244061"/>
                <w:sz w:val="18"/>
                <w:szCs w:val="18"/>
              </w:rPr>
            </w:pPr>
            <w:r w:rsidRPr="00A77A2F">
              <w:rPr>
                <w:rFonts w:cs="Arial"/>
                <w:color w:val="244061"/>
                <w:sz w:val="18"/>
                <w:szCs w:val="18"/>
              </w:rPr>
              <w:t>Investicije u novu dugotrajnu imovinu</w:t>
            </w:r>
          </w:p>
        </w:tc>
        <w:tc>
          <w:tcPr>
            <w:tcW w:w="1134" w:type="dxa"/>
            <w:tcBorders>
              <w:top w:val="single" w:sz="6" w:space="0" w:color="BFBFBF" w:themeColor="background1" w:themeShade="BF"/>
              <w:left w:val="inset" w:sz="8" w:space="0" w:color="BFBFBF" w:themeColor="background1" w:themeShade="BF"/>
              <w:bottom w:val="single" w:sz="4" w:space="0" w:color="548DD4" w:themeColor="text2" w:themeTint="99"/>
              <w:right w:val="single" w:sz="6" w:space="0" w:color="BFBFBF" w:themeColor="background1" w:themeShade="BF"/>
            </w:tcBorders>
            <w:shd w:val="clear" w:color="000000" w:fill="FFFFFF" w:themeFill="background1"/>
            <w:noWrap/>
            <w:vAlign w:val="center"/>
          </w:tcPr>
          <w:p w:rsidR="00CC6437" w:rsidRDefault="00CC6437" w:rsidP="004003B8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615.621</w:t>
            </w:r>
          </w:p>
        </w:tc>
        <w:tc>
          <w:tcPr>
            <w:tcW w:w="113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4" w:space="0" w:color="548DD4" w:themeColor="text2" w:themeTint="99"/>
              <w:right w:val="single" w:sz="6" w:space="0" w:color="BFBFBF" w:themeColor="background1" w:themeShade="BF"/>
            </w:tcBorders>
            <w:shd w:val="clear" w:color="000000" w:fill="FFFFFF" w:themeFill="background1"/>
            <w:noWrap/>
            <w:vAlign w:val="center"/>
          </w:tcPr>
          <w:p w:rsidR="00CC6437" w:rsidRDefault="00CC6437" w:rsidP="004003B8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715.318</w:t>
            </w:r>
          </w:p>
        </w:tc>
        <w:tc>
          <w:tcPr>
            <w:tcW w:w="73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4" w:space="0" w:color="548DD4" w:themeColor="text2" w:themeTint="99"/>
              <w:right w:val="single" w:sz="6" w:space="0" w:color="BFBFBF" w:themeColor="background1" w:themeShade="BF"/>
            </w:tcBorders>
            <w:shd w:val="clear" w:color="000000" w:fill="FFFFFF" w:themeFill="background1"/>
            <w:noWrap/>
            <w:vAlign w:val="center"/>
          </w:tcPr>
          <w:p w:rsidR="00CC6437" w:rsidRDefault="00CC6437" w:rsidP="004003B8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116,2</w:t>
            </w:r>
          </w:p>
        </w:tc>
        <w:tc>
          <w:tcPr>
            <w:tcW w:w="113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4" w:space="0" w:color="548DD4" w:themeColor="text2" w:themeTint="99"/>
              <w:right w:val="outset" w:sz="8" w:space="0" w:color="BFBFBF" w:themeColor="background1" w:themeShade="BF"/>
            </w:tcBorders>
            <w:shd w:val="clear" w:color="auto" w:fill="auto"/>
            <w:noWrap/>
            <w:vAlign w:val="center"/>
          </w:tcPr>
          <w:p w:rsidR="00CC6437" w:rsidRDefault="00CC6437" w:rsidP="004003B8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1.145.500</w:t>
            </w:r>
          </w:p>
        </w:tc>
        <w:tc>
          <w:tcPr>
            <w:tcW w:w="1134" w:type="dxa"/>
            <w:tcBorders>
              <w:top w:val="single" w:sz="4" w:space="0" w:color="BFBFBF"/>
              <w:left w:val="outset" w:sz="8" w:space="0" w:color="BFBFBF" w:themeColor="background1" w:themeShade="BF"/>
              <w:bottom w:val="single" w:sz="4" w:space="0" w:color="548DD4" w:themeColor="text2" w:themeTint="99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C6437" w:rsidRDefault="00CC6437" w:rsidP="004003B8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1.783.752</w:t>
            </w:r>
          </w:p>
        </w:tc>
        <w:tc>
          <w:tcPr>
            <w:tcW w:w="740" w:type="dxa"/>
            <w:tcBorders>
              <w:top w:val="single" w:sz="4" w:space="0" w:color="BFBFBF"/>
              <w:left w:val="single" w:sz="4" w:space="0" w:color="BFBFBF"/>
              <w:bottom w:val="single" w:sz="4" w:space="0" w:color="548DD4" w:themeColor="text2" w:themeTint="99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CC6437" w:rsidRDefault="00CC6437" w:rsidP="004003B8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>
              <w:rPr>
                <w:rFonts w:cs="Arial"/>
                <w:color w:val="244061"/>
                <w:sz w:val="18"/>
                <w:szCs w:val="18"/>
              </w:rPr>
              <w:t>155,7</w:t>
            </w:r>
          </w:p>
        </w:tc>
      </w:tr>
      <w:tr w:rsidR="00CC6437" w:rsidRPr="00CA6C5F" w:rsidTr="00C411EC">
        <w:trPr>
          <w:cantSplit/>
          <w:trHeight w:val="283"/>
          <w:jc w:val="center"/>
        </w:trPr>
        <w:tc>
          <w:tcPr>
            <w:tcW w:w="3685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C6437" w:rsidRPr="00D94D86" w:rsidRDefault="00CC6437" w:rsidP="00D94D86">
            <w:pPr>
              <w:widowControl w:val="0"/>
              <w:spacing w:before="0" w:after="0" w:line="240" w:lineRule="auto"/>
              <w:ind w:left="-57"/>
              <w:jc w:val="left"/>
              <w:rPr>
                <w:rFonts w:cs="Arial"/>
                <w:color w:val="244061"/>
                <w:sz w:val="18"/>
                <w:szCs w:val="18"/>
              </w:rPr>
            </w:pPr>
            <w:r w:rsidRPr="00D94D86">
              <w:rPr>
                <w:rFonts w:cs="Arial"/>
                <w:color w:val="244061"/>
                <w:sz w:val="18"/>
                <w:szCs w:val="18"/>
              </w:rPr>
              <w:t>Prosj</w:t>
            </w:r>
            <w:r w:rsidR="008E007C" w:rsidRPr="00D94D86">
              <w:rPr>
                <w:rFonts w:cs="Arial"/>
                <w:color w:val="244061"/>
                <w:sz w:val="18"/>
                <w:szCs w:val="18"/>
              </w:rPr>
              <w:t>.</w:t>
            </w:r>
            <w:r w:rsidRPr="00D94D86">
              <w:rPr>
                <w:rFonts w:cs="Arial"/>
                <w:color w:val="244061"/>
                <w:sz w:val="18"/>
                <w:szCs w:val="18"/>
              </w:rPr>
              <w:t xml:space="preserve"> mjes</w:t>
            </w:r>
            <w:r w:rsidR="00D94D86">
              <w:rPr>
                <w:rFonts w:cs="Arial"/>
                <w:color w:val="244061"/>
                <w:sz w:val="18"/>
                <w:szCs w:val="18"/>
              </w:rPr>
              <w:t>ečna</w:t>
            </w:r>
            <w:r w:rsidRPr="00D94D86">
              <w:rPr>
                <w:rFonts w:cs="Arial"/>
                <w:color w:val="244061"/>
                <w:sz w:val="18"/>
                <w:szCs w:val="18"/>
              </w:rPr>
              <w:t xml:space="preserve"> neto plaća po zaposlenom</w:t>
            </w:r>
          </w:p>
        </w:tc>
        <w:tc>
          <w:tcPr>
            <w:tcW w:w="1134" w:type="dxa"/>
            <w:tcBorders>
              <w:top w:val="single" w:sz="4" w:space="0" w:color="548DD4" w:themeColor="text2" w:themeTint="99"/>
              <w:left w:val="single" w:sz="4" w:space="0" w:color="BFBFBF" w:themeColor="background1" w:themeShade="BF"/>
              <w:bottom w:val="single" w:sz="4" w:space="0" w:color="548DD4" w:themeColor="text2" w:themeTint="99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CC6437" w:rsidRPr="00D94D86" w:rsidRDefault="00CC6437" w:rsidP="004003B8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D94D86">
              <w:rPr>
                <w:rFonts w:cs="Arial"/>
                <w:color w:val="244061"/>
                <w:sz w:val="18"/>
                <w:szCs w:val="18"/>
              </w:rPr>
              <w:t>5.477</w:t>
            </w:r>
          </w:p>
        </w:tc>
        <w:tc>
          <w:tcPr>
            <w:tcW w:w="1134" w:type="dxa"/>
            <w:tcBorders>
              <w:top w:val="single" w:sz="4" w:space="0" w:color="548DD4" w:themeColor="text2" w:themeTint="99"/>
              <w:left w:val="single" w:sz="4" w:space="0" w:color="BFBFBF" w:themeColor="background1" w:themeShade="BF"/>
              <w:bottom w:val="single" w:sz="4" w:space="0" w:color="548DD4" w:themeColor="text2" w:themeTint="99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CC6437" w:rsidRPr="00D94D86" w:rsidRDefault="00CC6437" w:rsidP="004003B8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D94D86">
              <w:rPr>
                <w:rFonts w:cs="Arial"/>
                <w:color w:val="244061"/>
                <w:sz w:val="18"/>
                <w:szCs w:val="18"/>
              </w:rPr>
              <w:t>5.660</w:t>
            </w:r>
          </w:p>
        </w:tc>
        <w:tc>
          <w:tcPr>
            <w:tcW w:w="737" w:type="dxa"/>
            <w:tcBorders>
              <w:top w:val="single" w:sz="4" w:space="0" w:color="548DD4" w:themeColor="text2" w:themeTint="99"/>
              <w:left w:val="single" w:sz="4" w:space="0" w:color="BFBFBF" w:themeColor="background1" w:themeShade="BF"/>
              <w:bottom w:val="single" w:sz="4" w:space="0" w:color="548DD4" w:themeColor="text2" w:themeTint="99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CC6437" w:rsidRPr="00D94D86" w:rsidRDefault="00CC6437" w:rsidP="004003B8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D94D86">
              <w:rPr>
                <w:rFonts w:cs="Arial"/>
                <w:color w:val="244061"/>
                <w:sz w:val="18"/>
                <w:szCs w:val="18"/>
              </w:rPr>
              <w:t>103,3</w:t>
            </w:r>
          </w:p>
        </w:tc>
        <w:tc>
          <w:tcPr>
            <w:tcW w:w="1134" w:type="dxa"/>
            <w:tcBorders>
              <w:top w:val="single" w:sz="4" w:space="0" w:color="548DD4" w:themeColor="text2" w:themeTint="99"/>
              <w:left w:val="single" w:sz="4" w:space="0" w:color="BFBFBF" w:themeColor="background1" w:themeShade="BF"/>
              <w:bottom w:val="single" w:sz="4" w:space="0" w:color="548DD4" w:themeColor="text2" w:themeTint="99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CC6437" w:rsidRPr="00D94D86" w:rsidRDefault="00CC6437" w:rsidP="004003B8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D94D86">
              <w:rPr>
                <w:rFonts w:cs="Arial"/>
                <w:color w:val="244061"/>
                <w:sz w:val="18"/>
                <w:szCs w:val="18"/>
              </w:rPr>
              <w:t>5.406</w:t>
            </w:r>
          </w:p>
        </w:tc>
        <w:tc>
          <w:tcPr>
            <w:tcW w:w="1134" w:type="dxa"/>
            <w:tcBorders>
              <w:top w:val="single" w:sz="4" w:space="0" w:color="548DD4" w:themeColor="text2" w:themeTint="99"/>
              <w:left w:val="single" w:sz="4" w:space="0" w:color="BFBFBF" w:themeColor="background1" w:themeShade="BF"/>
              <w:bottom w:val="single" w:sz="4" w:space="0" w:color="548DD4" w:themeColor="text2" w:themeTint="99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:rsidR="00CC6437" w:rsidRPr="00D94D86" w:rsidRDefault="00CC6437" w:rsidP="004003B8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D94D86">
              <w:rPr>
                <w:rFonts w:cs="Arial"/>
                <w:color w:val="244061"/>
                <w:sz w:val="18"/>
                <w:szCs w:val="18"/>
              </w:rPr>
              <w:t>5.595</w:t>
            </w:r>
          </w:p>
        </w:tc>
        <w:tc>
          <w:tcPr>
            <w:tcW w:w="740" w:type="dxa"/>
            <w:tcBorders>
              <w:top w:val="single" w:sz="4" w:space="0" w:color="548DD4" w:themeColor="text2" w:themeTint="99"/>
              <w:left w:val="single" w:sz="4" w:space="0" w:color="BFBFBF" w:themeColor="background1" w:themeShade="BF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 w:themeFill="background1" w:themeFillShade="F2"/>
            <w:noWrap/>
            <w:vAlign w:val="center"/>
          </w:tcPr>
          <w:p w:rsidR="00CC6437" w:rsidRPr="00D94D86" w:rsidRDefault="00CC6437" w:rsidP="004003B8">
            <w:pPr>
              <w:widowControl w:val="0"/>
              <w:spacing w:before="0" w:after="0" w:line="240" w:lineRule="auto"/>
              <w:jc w:val="right"/>
              <w:rPr>
                <w:rFonts w:cs="Arial"/>
                <w:color w:val="244061"/>
                <w:sz w:val="18"/>
                <w:szCs w:val="18"/>
              </w:rPr>
            </w:pPr>
            <w:r w:rsidRPr="00D94D86">
              <w:rPr>
                <w:rFonts w:cs="Arial"/>
                <w:color w:val="244061"/>
                <w:sz w:val="18"/>
                <w:szCs w:val="18"/>
              </w:rPr>
              <w:t>103,5</w:t>
            </w:r>
          </w:p>
        </w:tc>
      </w:tr>
    </w:tbl>
    <w:p w:rsidR="00E65163" w:rsidRDefault="00E65163" w:rsidP="00E65163">
      <w:pPr>
        <w:spacing w:before="40" w:line="240" w:lineRule="auto"/>
        <w:rPr>
          <w:bCs/>
          <w:i/>
          <w:color w:val="17365D"/>
          <w:sz w:val="16"/>
          <w:szCs w:val="18"/>
        </w:rPr>
      </w:pPr>
      <w:r w:rsidRPr="00A77A2F">
        <w:rPr>
          <w:bCs/>
          <w:i/>
          <w:color w:val="17365D"/>
          <w:sz w:val="16"/>
          <w:szCs w:val="18"/>
        </w:rPr>
        <w:t>Izvor: Fina, Registar godišnjih financijskih izvještaja, obrada GFI-a za 201</w:t>
      </w:r>
      <w:r w:rsidR="006310AC">
        <w:rPr>
          <w:bCs/>
          <w:i/>
          <w:color w:val="17365D"/>
          <w:sz w:val="16"/>
          <w:szCs w:val="18"/>
        </w:rPr>
        <w:t>9</w:t>
      </w:r>
      <w:r w:rsidRPr="00A77A2F">
        <w:rPr>
          <w:bCs/>
          <w:i/>
          <w:color w:val="17365D"/>
          <w:sz w:val="16"/>
          <w:szCs w:val="18"/>
        </w:rPr>
        <w:t>. godinu</w:t>
      </w:r>
    </w:p>
    <w:p w:rsidR="00515E62" w:rsidRPr="00A0196D" w:rsidRDefault="00515E62" w:rsidP="00575CF7">
      <w:pPr>
        <w:widowControl w:val="0"/>
        <w:tabs>
          <w:tab w:val="left" w:pos="567"/>
        </w:tabs>
        <w:spacing w:before="180" w:after="180"/>
        <w:rPr>
          <w:rFonts w:eastAsia="Calibri" w:cs="Arial"/>
          <w:color w:val="17365D" w:themeColor="text2" w:themeShade="BF"/>
          <w:sz w:val="20"/>
          <w:lang w:eastAsia="en-US"/>
        </w:rPr>
      </w:pPr>
      <w:r w:rsidRPr="00A0196D">
        <w:rPr>
          <w:rFonts w:eastAsia="Calibri" w:cs="Arial"/>
          <w:color w:val="17365D" w:themeColor="text2" w:themeShade="BF"/>
          <w:sz w:val="20"/>
          <w:lang w:eastAsia="en-US"/>
        </w:rPr>
        <w:t xml:space="preserve">Za usporedbu, u tablici 3. prezentirani su osnovni rezultati i brojčano stanje poduzetnika i zaposlenih kod poduzetnika u Primorsko-goranskoj županiji, Urbanoj aglomeraciji Rijeka i </w:t>
      </w:r>
      <w:r w:rsidR="004820BC" w:rsidRPr="00A0196D">
        <w:rPr>
          <w:rFonts w:eastAsia="Calibri" w:cs="Arial"/>
          <w:color w:val="17365D" w:themeColor="text2" w:themeShade="BF"/>
          <w:sz w:val="20"/>
          <w:lang w:eastAsia="en-US"/>
        </w:rPr>
        <w:t xml:space="preserve">gradu </w:t>
      </w:r>
      <w:r w:rsidRPr="00A0196D">
        <w:rPr>
          <w:rFonts w:eastAsia="Calibri" w:cs="Arial"/>
          <w:color w:val="17365D" w:themeColor="text2" w:themeShade="BF"/>
          <w:sz w:val="20"/>
          <w:lang w:eastAsia="en-US"/>
        </w:rPr>
        <w:t>Rije</w:t>
      </w:r>
      <w:r w:rsidR="004820BC" w:rsidRPr="00A0196D">
        <w:rPr>
          <w:rFonts w:eastAsia="Calibri" w:cs="Arial"/>
          <w:color w:val="17365D" w:themeColor="text2" w:themeShade="BF"/>
          <w:sz w:val="20"/>
          <w:lang w:eastAsia="en-US"/>
        </w:rPr>
        <w:t>ka</w:t>
      </w:r>
      <w:r w:rsidRPr="00A0196D">
        <w:rPr>
          <w:rFonts w:eastAsia="Calibri" w:cs="Arial"/>
          <w:color w:val="17365D" w:themeColor="text2" w:themeShade="BF"/>
          <w:sz w:val="20"/>
          <w:lang w:eastAsia="en-US"/>
        </w:rPr>
        <w:t xml:space="preserve"> u 201</w:t>
      </w:r>
      <w:r w:rsidR="006310AC" w:rsidRPr="00A0196D">
        <w:rPr>
          <w:rFonts w:eastAsia="Calibri" w:cs="Arial"/>
          <w:color w:val="17365D" w:themeColor="text2" w:themeShade="BF"/>
          <w:sz w:val="20"/>
          <w:lang w:eastAsia="en-US"/>
        </w:rPr>
        <w:t>9</w:t>
      </w:r>
      <w:r w:rsidRPr="00A0196D">
        <w:rPr>
          <w:rFonts w:eastAsia="Calibri" w:cs="Arial"/>
          <w:color w:val="17365D" w:themeColor="text2" w:themeShade="BF"/>
          <w:sz w:val="20"/>
          <w:lang w:eastAsia="en-US"/>
        </w:rPr>
        <w:t>. godini.</w:t>
      </w:r>
    </w:p>
    <w:p w:rsidR="00515E62" w:rsidRDefault="00515E62" w:rsidP="0013382A">
      <w:pPr>
        <w:widowControl w:val="0"/>
        <w:tabs>
          <w:tab w:val="left" w:pos="567"/>
        </w:tabs>
        <w:spacing w:before="180" w:after="40" w:line="240" w:lineRule="auto"/>
        <w:ind w:left="1134" w:hanging="1134"/>
        <w:jc w:val="left"/>
        <w:rPr>
          <w:rFonts w:eastAsia="Calibri" w:cs="Arial"/>
          <w:b/>
          <w:color w:val="17365D"/>
          <w:sz w:val="18"/>
          <w:szCs w:val="18"/>
          <w:lang w:eastAsia="en-US"/>
        </w:rPr>
      </w:pPr>
      <w:r w:rsidRPr="00515E62">
        <w:rPr>
          <w:rFonts w:eastAsia="Calibri" w:cs="Arial"/>
          <w:b/>
          <w:color w:val="17365D"/>
          <w:sz w:val="18"/>
          <w:szCs w:val="18"/>
          <w:lang w:eastAsia="en-US"/>
        </w:rPr>
        <w:t>Tablica 3.</w:t>
      </w:r>
      <w:r w:rsidRPr="00515E62">
        <w:rPr>
          <w:rFonts w:eastAsia="Calibri" w:cs="Arial"/>
          <w:b/>
          <w:color w:val="17365D"/>
          <w:sz w:val="18"/>
          <w:szCs w:val="18"/>
          <w:lang w:eastAsia="en-US"/>
        </w:rPr>
        <w:tab/>
        <w:t xml:space="preserve">Usporedba osnovnih </w:t>
      </w:r>
      <w:r w:rsidR="0087687F">
        <w:rPr>
          <w:rFonts w:eastAsia="Calibri" w:cs="Arial"/>
          <w:b/>
          <w:color w:val="17365D"/>
          <w:sz w:val="18"/>
          <w:szCs w:val="18"/>
          <w:lang w:eastAsia="en-US"/>
        </w:rPr>
        <w:t xml:space="preserve">rezultata </w:t>
      </w:r>
      <w:r w:rsidRPr="00515E62">
        <w:rPr>
          <w:rFonts w:eastAsia="Calibri" w:cs="Arial"/>
          <w:b/>
          <w:color w:val="17365D"/>
          <w:sz w:val="18"/>
          <w:szCs w:val="18"/>
          <w:lang w:eastAsia="en-US"/>
        </w:rPr>
        <w:t xml:space="preserve">poduzetnika na području </w:t>
      </w:r>
      <w:r>
        <w:rPr>
          <w:rFonts w:eastAsia="Calibri" w:cs="Arial"/>
          <w:b/>
          <w:color w:val="17365D"/>
          <w:sz w:val="18"/>
          <w:szCs w:val="18"/>
          <w:lang w:eastAsia="en-US"/>
        </w:rPr>
        <w:t>P</w:t>
      </w:r>
      <w:r w:rsidR="003A429F">
        <w:rPr>
          <w:rFonts w:eastAsia="Calibri" w:cs="Arial"/>
          <w:b/>
          <w:color w:val="17365D"/>
          <w:sz w:val="18"/>
          <w:szCs w:val="18"/>
          <w:lang w:eastAsia="en-US"/>
        </w:rPr>
        <w:t>GŽ-a</w:t>
      </w:r>
      <w:r w:rsidRPr="00515E62">
        <w:rPr>
          <w:rFonts w:eastAsia="Calibri" w:cs="Arial"/>
          <w:b/>
          <w:color w:val="17365D"/>
          <w:sz w:val="18"/>
          <w:szCs w:val="18"/>
          <w:lang w:eastAsia="en-US"/>
        </w:rPr>
        <w:t>, U</w:t>
      </w:r>
      <w:r w:rsidR="003A429F">
        <w:rPr>
          <w:rFonts w:eastAsia="Calibri" w:cs="Arial"/>
          <w:b/>
          <w:color w:val="17365D"/>
          <w:sz w:val="18"/>
          <w:szCs w:val="18"/>
          <w:lang w:eastAsia="en-US"/>
        </w:rPr>
        <w:t>AR-a</w:t>
      </w:r>
      <w:r w:rsidRPr="00515E62">
        <w:rPr>
          <w:rFonts w:eastAsia="Calibri" w:cs="Arial"/>
          <w:b/>
          <w:color w:val="17365D"/>
          <w:sz w:val="18"/>
          <w:szCs w:val="18"/>
          <w:lang w:eastAsia="en-US"/>
        </w:rPr>
        <w:t xml:space="preserve"> i </w:t>
      </w:r>
      <w:r w:rsidR="00D50E4E">
        <w:rPr>
          <w:rFonts w:eastAsia="Calibri" w:cs="Arial"/>
          <w:b/>
          <w:color w:val="17365D"/>
          <w:sz w:val="18"/>
          <w:szCs w:val="18"/>
          <w:lang w:eastAsia="en-US"/>
        </w:rPr>
        <w:t xml:space="preserve">grada </w:t>
      </w:r>
      <w:r>
        <w:rPr>
          <w:rFonts w:eastAsia="Calibri" w:cs="Arial"/>
          <w:b/>
          <w:color w:val="17365D"/>
          <w:sz w:val="18"/>
          <w:szCs w:val="18"/>
          <w:lang w:eastAsia="en-US"/>
        </w:rPr>
        <w:t>Rijeke</w:t>
      </w:r>
      <w:r w:rsidRPr="00515E62">
        <w:rPr>
          <w:rFonts w:eastAsia="Calibri" w:cs="Arial"/>
          <w:b/>
          <w:color w:val="17365D"/>
          <w:sz w:val="18"/>
          <w:szCs w:val="18"/>
          <w:lang w:eastAsia="en-US"/>
        </w:rPr>
        <w:t xml:space="preserve"> u 201</w:t>
      </w:r>
      <w:r w:rsidR="006310AC">
        <w:rPr>
          <w:rFonts w:eastAsia="Calibri" w:cs="Arial"/>
          <w:b/>
          <w:color w:val="17365D"/>
          <w:sz w:val="18"/>
          <w:szCs w:val="18"/>
          <w:lang w:eastAsia="en-US"/>
        </w:rPr>
        <w:t>9</w:t>
      </w:r>
      <w:r w:rsidRPr="00515E62">
        <w:rPr>
          <w:rFonts w:eastAsia="Calibri" w:cs="Arial"/>
          <w:b/>
          <w:color w:val="17365D"/>
          <w:sz w:val="18"/>
          <w:szCs w:val="18"/>
          <w:lang w:eastAsia="en-US"/>
        </w:rPr>
        <w:t>. g</w:t>
      </w:r>
      <w:r w:rsidR="003A429F">
        <w:rPr>
          <w:rFonts w:eastAsia="Calibri" w:cs="Arial"/>
          <w:b/>
          <w:color w:val="17365D"/>
          <w:sz w:val="18"/>
          <w:szCs w:val="18"/>
          <w:lang w:eastAsia="en-US"/>
        </w:rPr>
        <w:t>odini</w:t>
      </w:r>
    </w:p>
    <w:p w:rsidR="0087687F" w:rsidRPr="0087687F" w:rsidRDefault="0087687F" w:rsidP="0087687F">
      <w:pPr>
        <w:widowControl w:val="0"/>
        <w:tabs>
          <w:tab w:val="left" w:pos="567"/>
        </w:tabs>
        <w:spacing w:before="0" w:after="40" w:line="240" w:lineRule="auto"/>
        <w:ind w:left="1134" w:hanging="1134"/>
        <w:jc w:val="right"/>
        <w:rPr>
          <w:rFonts w:eastAsia="Calibri" w:cs="Arial"/>
          <w:i/>
          <w:color w:val="17365D"/>
          <w:sz w:val="16"/>
          <w:szCs w:val="16"/>
          <w:lang w:eastAsia="en-US"/>
        </w:rPr>
      </w:pPr>
      <w:r w:rsidRPr="0087687F">
        <w:rPr>
          <w:rFonts w:eastAsia="Calibri" w:cs="Arial"/>
          <w:i/>
          <w:color w:val="17365D"/>
          <w:sz w:val="16"/>
          <w:szCs w:val="16"/>
          <w:lang w:eastAsia="en-US"/>
        </w:rPr>
        <w:t>(iznosi u tisućama kuna</w:t>
      </w:r>
      <w:r>
        <w:rPr>
          <w:rFonts w:eastAsia="Calibri" w:cs="Arial"/>
          <w:i/>
          <w:color w:val="17365D"/>
          <w:sz w:val="16"/>
          <w:szCs w:val="16"/>
          <w:lang w:eastAsia="en-US"/>
        </w:rPr>
        <w:t>,</w:t>
      </w:r>
      <w:r w:rsidRPr="0087687F">
        <w:rPr>
          <w:rFonts w:eastAsia="Calibri" w:cs="Arial"/>
          <w:i/>
          <w:color w:val="244061"/>
          <w:sz w:val="16"/>
          <w:szCs w:val="18"/>
          <w:lang w:eastAsia="en-US"/>
        </w:rPr>
        <w:t xml:space="preserve"> </w:t>
      </w:r>
      <w:r w:rsidRPr="000E4B2A">
        <w:rPr>
          <w:rFonts w:eastAsia="Calibri" w:cs="Arial"/>
          <w:i/>
          <w:color w:val="244061"/>
          <w:sz w:val="16"/>
          <w:szCs w:val="18"/>
          <w:lang w:eastAsia="en-US"/>
        </w:rPr>
        <w:t>prosječne plaće u kunama</w:t>
      </w:r>
      <w:r w:rsidRPr="0087687F">
        <w:rPr>
          <w:rFonts w:eastAsia="Calibri" w:cs="Arial"/>
          <w:i/>
          <w:color w:val="17365D"/>
          <w:sz w:val="16"/>
          <w:szCs w:val="16"/>
          <w:lang w:eastAsia="en-US"/>
        </w:rPr>
        <w:t>)</w:t>
      </w:r>
    </w:p>
    <w:tbl>
      <w:tblPr>
        <w:tblW w:w="9609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7"/>
        <w:gridCol w:w="1077"/>
        <w:gridCol w:w="964"/>
        <w:gridCol w:w="1163"/>
        <w:gridCol w:w="1134"/>
        <w:gridCol w:w="1134"/>
        <w:gridCol w:w="1020"/>
        <w:gridCol w:w="1020"/>
        <w:gridCol w:w="1020"/>
      </w:tblGrid>
      <w:tr w:rsidR="00515E62" w:rsidRPr="00A13298" w:rsidTr="004003B8">
        <w:trPr>
          <w:trHeight w:val="454"/>
          <w:tblHeader/>
          <w:jc w:val="center"/>
        </w:trPr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515E62" w:rsidRPr="00515E62" w:rsidRDefault="00515E62" w:rsidP="004003B8">
            <w:pPr>
              <w:spacing w:before="0" w:after="0" w:line="240" w:lineRule="auto"/>
              <w:ind w:left="-57" w:right="-57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bookmarkStart w:id="0" w:name="OLE_LINK1"/>
            <w:r w:rsidRPr="00515E62">
              <w:rPr>
                <w:rFonts w:cs="Arial"/>
                <w:b/>
                <w:bCs/>
                <w:color w:val="FFFFFF"/>
                <w:sz w:val="16"/>
                <w:szCs w:val="16"/>
              </w:rPr>
              <w:t>Naziv teritor</w:t>
            </w:r>
            <w:r w:rsidR="004003B8">
              <w:rPr>
                <w:rFonts w:cs="Arial"/>
                <w:b/>
                <w:bCs/>
                <w:color w:val="FFFFFF"/>
                <w:sz w:val="16"/>
                <w:szCs w:val="16"/>
              </w:rPr>
              <w:t>. r</w:t>
            </w:r>
            <w:r w:rsidRPr="00515E62">
              <w:rPr>
                <w:rFonts w:cs="Arial"/>
                <w:b/>
                <w:bCs/>
                <w:color w:val="FFFFFF"/>
                <w:sz w:val="16"/>
                <w:szCs w:val="16"/>
              </w:rPr>
              <w:t>azine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515E62" w:rsidRPr="00515E62" w:rsidRDefault="00515E62" w:rsidP="004003B8">
            <w:pPr>
              <w:spacing w:before="0" w:after="0" w:line="240" w:lineRule="auto"/>
              <w:ind w:left="-57" w:right="-57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515E62">
              <w:rPr>
                <w:rFonts w:cs="Arial"/>
                <w:b/>
                <w:bCs/>
                <w:color w:val="FFFFFF"/>
                <w:sz w:val="16"/>
                <w:szCs w:val="16"/>
              </w:rPr>
              <w:t>Broj poduzet</w:t>
            </w:r>
            <w:r w:rsidR="003A429F">
              <w:rPr>
                <w:rFonts w:cs="Arial"/>
                <w:b/>
                <w:bCs/>
                <w:color w:val="FFFFFF"/>
                <w:sz w:val="16"/>
                <w:szCs w:val="16"/>
              </w:rPr>
              <w:t>nika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515E62" w:rsidRPr="00515E62" w:rsidRDefault="00515E62" w:rsidP="004003B8">
            <w:pPr>
              <w:spacing w:before="0" w:after="0" w:line="240" w:lineRule="auto"/>
              <w:ind w:left="-57" w:right="-57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515E62">
              <w:rPr>
                <w:rFonts w:cs="Arial"/>
                <w:b/>
                <w:bCs/>
                <w:color w:val="FFFFFF"/>
                <w:sz w:val="16"/>
                <w:szCs w:val="16"/>
              </w:rPr>
              <w:t>Broj zaposl</w:t>
            </w:r>
            <w:r w:rsidR="00CA6C5F">
              <w:rPr>
                <w:rFonts w:cs="Arial"/>
                <w:b/>
                <w:bCs/>
                <w:color w:val="FFFFFF"/>
                <w:sz w:val="16"/>
                <w:szCs w:val="16"/>
              </w:rPr>
              <w:t>enih</w:t>
            </w:r>
          </w:p>
        </w:tc>
        <w:tc>
          <w:tcPr>
            <w:tcW w:w="116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515E62" w:rsidRPr="00515E62" w:rsidRDefault="00515E62" w:rsidP="0087687F">
            <w:pPr>
              <w:spacing w:before="0" w:after="0" w:line="240" w:lineRule="auto"/>
              <w:ind w:left="-57" w:right="-57"/>
              <w:jc w:val="center"/>
              <w:rPr>
                <w:rFonts w:cs="Arial"/>
                <w:b/>
                <w:bCs/>
                <w:color w:val="FFFFFF"/>
                <w:sz w:val="14"/>
                <w:szCs w:val="14"/>
              </w:rPr>
            </w:pPr>
            <w:r w:rsidRPr="00515E62">
              <w:rPr>
                <w:rFonts w:cs="Arial"/>
                <w:b/>
                <w:bCs/>
                <w:color w:val="FFFFFF"/>
                <w:sz w:val="16"/>
                <w:szCs w:val="16"/>
              </w:rPr>
              <w:t>Prosj</w:t>
            </w:r>
            <w:r w:rsidR="0087687F">
              <w:rPr>
                <w:rFonts w:cs="Arial"/>
                <w:b/>
                <w:bCs/>
                <w:color w:val="FFFFFF"/>
                <w:sz w:val="16"/>
                <w:szCs w:val="16"/>
              </w:rPr>
              <w:t xml:space="preserve">. </w:t>
            </w:r>
            <w:r w:rsidRPr="00515E62">
              <w:rPr>
                <w:rFonts w:cs="Arial"/>
                <w:b/>
                <w:bCs/>
                <w:color w:val="FFFFFF"/>
                <w:sz w:val="16"/>
                <w:szCs w:val="16"/>
              </w:rPr>
              <w:t>mjeseč. neto</w:t>
            </w:r>
            <w:r w:rsidR="0087687F">
              <w:rPr>
                <w:rFonts w:cs="Arial"/>
                <w:b/>
                <w:bCs/>
                <w:color w:val="FFFFFF"/>
                <w:sz w:val="16"/>
                <w:szCs w:val="16"/>
              </w:rPr>
              <w:t xml:space="preserve"> plaća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515E62" w:rsidRPr="00515E62" w:rsidRDefault="00515E62" w:rsidP="004003B8">
            <w:pPr>
              <w:spacing w:before="0" w:after="0" w:line="240" w:lineRule="auto"/>
              <w:ind w:left="-57" w:right="-57"/>
              <w:jc w:val="center"/>
              <w:rPr>
                <w:rFonts w:cs="Arial"/>
                <w:b/>
                <w:bCs/>
                <w:color w:val="FFFFFF"/>
                <w:sz w:val="14"/>
                <w:szCs w:val="14"/>
              </w:rPr>
            </w:pPr>
            <w:r w:rsidRPr="00515E62">
              <w:rPr>
                <w:rFonts w:cs="Arial"/>
                <w:b/>
                <w:bCs/>
                <w:color w:val="FFFFFF"/>
                <w:sz w:val="16"/>
                <w:szCs w:val="16"/>
              </w:rPr>
              <w:t>Ukupni prihodi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515E62" w:rsidRPr="00515E62" w:rsidRDefault="00515E62" w:rsidP="004003B8">
            <w:pPr>
              <w:spacing w:before="0" w:after="0" w:line="240" w:lineRule="auto"/>
              <w:ind w:left="-57" w:right="-57"/>
              <w:jc w:val="center"/>
              <w:rPr>
                <w:rFonts w:cs="Arial"/>
                <w:b/>
                <w:bCs/>
                <w:color w:val="FFFFFF"/>
                <w:sz w:val="14"/>
                <w:szCs w:val="14"/>
              </w:rPr>
            </w:pPr>
            <w:r w:rsidRPr="00515E62">
              <w:rPr>
                <w:rFonts w:cs="Arial"/>
                <w:b/>
                <w:bCs/>
                <w:color w:val="FFFFFF"/>
                <w:sz w:val="16"/>
                <w:szCs w:val="16"/>
              </w:rPr>
              <w:t>Ukupni rashodi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515E62" w:rsidRPr="00515E62" w:rsidRDefault="00515E62" w:rsidP="004003B8">
            <w:pPr>
              <w:spacing w:before="0" w:after="0" w:line="240" w:lineRule="auto"/>
              <w:ind w:left="-57" w:right="-57"/>
              <w:jc w:val="center"/>
              <w:rPr>
                <w:rFonts w:cs="Arial"/>
                <w:b/>
                <w:bCs/>
                <w:color w:val="FFFFFF"/>
                <w:sz w:val="14"/>
                <w:szCs w:val="14"/>
              </w:rPr>
            </w:pPr>
            <w:r w:rsidRPr="00515E62">
              <w:rPr>
                <w:rFonts w:cs="Arial"/>
                <w:b/>
                <w:bCs/>
                <w:color w:val="FFFFFF"/>
                <w:sz w:val="16"/>
                <w:szCs w:val="16"/>
              </w:rPr>
              <w:t>Dobit razdoblja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515E62" w:rsidRPr="00515E62" w:rsidRDefault="00515E62" w:rsidP="004003B8">
            <w:pPr>
              <w:spacing w:before="0" w:after="0" w:line="240" w:lineRule="auto"/>
              <w:ind w:left="-57" w:right="-57"/>
              <w:jc w:val="center"/>
              <w:rPr>
                <w:rFonts w:cs="Arial"/>
                <w:b/>
                <w:bCs/>
                <w:color w:val="FFFFFF"/>
                <w:sz w:val="14"/>
                <w:szCs w:val="14"/>
              </w:rPr>
            </w:pPr>
            <w:r w:rsidRPr="00515E62">
              <w:rPr>
                <w:rFonts w:cs="Arial"/>
                <w:b/>
                <w:bCs/>
                <w:color w:val="FFFFFF"/>
                <w:sz w:val="16"/>
                <w:szCs w:val="16"/>
              </w:rPr>
              <w:t>Gubitak razdoblja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515E62" w:rsidRPr="00515E62" w:rsidRDefault="00515E62" w:rsidP="004003B8">
            <w:pPr>
              <w:spacing w:before="0" w:after="0" w:line="240" w:lineRule="auto"/>
              <w:ind w:left="-57" w:right="-57"/>
              <w:jc w:val="center"/>
              <w:rPr>
                <w:rFonts w:cs="Arial"/>
                <w:b/>
                <w:bCs/>
                <w:color w:val="FFFFFF"/>
                <w:sz w:val="14"/>
                <w:szCs w:val="14"/>
              </w:rPr>
            </w:pPr>
            <w:r w:rsidRPr="00515E62">
              <w:rPr>
                <w:rFonts w:cs="Arial"/>
                <w:b/>
                <w:bCs/>
                <w:color w:val="FFFFFF"/>
                <w:sz w:val="16"/>
                <w:szCs w:val="16"/>
              </w:rPr>
              <w:t>Neto dobit</w:t>
            </w:r>
          </w:p>
        </w:tc>
      </w:tr>
      <w:tr w:rsidR="00CC6437" w:rsidRPr="00A13298" w:rsidTr="00CC6437">
        <w:trPr>
          <w:trHeight w:val="283"/>
          <w:jc w:val="center"/>
        </w:trPr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CC6437" w:rsidRPr="001D08D5" w:rsidRDefault="00CC6437" w:rsidP="00173132">
            <w:pPr>
              <w:spacing w:before="0" w:after="0" w:line="240" w:lineRule="auto"/>
              <w:jc w:val="left"/>
              <w:rPr>
                <w:rFonts w:cs="Arial"/>
                <w:b/>
                <w:bCs/>
                <w:color w:val="0F243E" w:themeColor="text2" w:themeShade="80"/>
                <w:sz w:val="18"/>
                <w:szCs w:val="18"/>
              </w:rPr>
            </w:pPr>
            <w:r w:rsidRPr="001D08D5">
              <w:rPr>
                <w:rFonts w:cs="Arial"/>
                <w:b/>
                <w:bCs/>
                <w:color w:val="0F243E" w:themeColor="text2" w:themeShade="80"/>
                <w:sz w:val="18"/>
                <w:szCs w:val="18"/>
              </w:rPr>
              <w:t>PGŽ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CC6437" w:rsidRPr="00CC6346" w:rsidRDefault="00CC6437" w:rsidP="00A13298">
            <w:pPr>
              <w:spacing w:before="0" w:after="0" w:line="240" w:lineRule="auto"/>
              <w:ind w:right="57"/>
              <w:jc w:val="right"/>
              <w:rPr>
                <w:rFonts w:cs="Arial"/>
                <w:bCs/>
                <w:sz w:val="18"/>
                <w:szCs w:val="18"/>
              </w:rPr>
            </w:pPr>
            <w:r w:rsidRPr="00CC6437">
              <w:rPr>
                <w:rFonts w:cs="Arial"/>
                <w:bCs/>
                <w:sz w:val="18"/>
                <w:szCs w:val="18"/>
              </w:rPr>
              <w:t>11.261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CC6437" w:rsidRPr="00CC6437" w:rsidRDefault="00CC6437" w:rsidP="00A13298">
            <w:pPr>
              <w:spacing w:before="0" w:after="0" w:line="240" w:lineRule="auto"/>
              <w:ind w:right="57"/>
              <w:jc w:val="right"/>
              <w:rPr>
                <w:rFonts w:cs="Arial"/>
                <w:bCs/>
                <w:sz w:val="18"/>
                <w:szCs w:val="18"/>
              </w:rPr>
            </w:pPr>
            <w:r w:rsidRPr="00CC6437">
              <w:rPr>
                <w:rFonts w:cs="Arial"/>
                <w:bCs/>
                <w:sz w:val="18"/>
                <w:szCs w:val="18"/>
              </w:rPr>
              <w:t>64</w:t>
            </w:r>
            <w:r w:rsidR="009F063D">
              <w:rPr>
                <w:rFonts w:cs="Arial"/>
                <w:bCs/>
                <w:sz w:val="18"/>
                <w:szCs w:val="18"/>
              </w:rPr>
              <w:t>.</w:t>
            </w:r>
            <w:r w:rsidRPr="00CC6437">
              <w:rPr>
                <w:rFonts w:cs="Arial"/>
                <w:bCs/>
                <w:sz w:val="18"/>
                <w:szCs w:val="18"/>
              </w:rPr>
              <w:t>568</w:t>
            </w:r>
          </w:p>
        </w:tc>
        <w:tc>
          <w:tcPr>
            <w:tcW w:w="11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CC6437" w:rsidRPr="00CC6437" w:rsidRDefault="00CC6437" w:rsidP="00A13298">
            <w:pPr>
              <w:spacing w:before="0" w:after="0" w:line="240" w:lineRule="auto"/>
              <w:ind w:right="57"/>
              <w:jc w:val="right"/>
              <w:rPr>
                <w:rFonts w:cs="Arial"/>
                <w:bCs/>
                <w:sz w:val="18"/>
                <w:szCs w:val="18"/>
              </w:rPr>
            </w:pPr>
            <w:r w:rsidRPr="00CC6437">
              <w:rPr>
                <w:rFonts w:cs="Arial"/>
                <w:bCs/>
                <w:sz w:val="18"/>
                <w:szCs w:val="18"/>
              </w:rPr>
              <w:t>5.321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CC6437" w:rsidRPr="00CC6437" w:rsidRDefault="00CC6437" w:rsidP="00A13298">
            <w:pPr>
              <w:spacing w:before="0" w:after="0" w:line="240" w:lineRule="auto"/>
              <w:ind w:right="57"/>
              <w:jc w:val="right"/>
              <w:rPr>
                <w:rFonts w:cs="Arial"/>
                <w:bCs/>
                <w:sz w:val="18"/>
                <w:szCs w:val="18"/>
              </w:rPr>
            </w:pPr>
            <w:r w:rsidRPr="00CC6437">
              <w:rPr>
                <w:rFonts w:cs="Arial"/>
                <w:bCs/>
                <w:sz w:val="18"/>
                <w:szCs w:val="18"/>
              </w:rPr>
              <w:t>40.959.589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CC6437" w:rsidRPr="00CC6437" w:rsidRDefault="00CC6437" w:rsidP="00A13298">
            <w:pPr>
              <w:spacing w:before="0" w:after="0" w:line="240" w:lineRule="auto"/>
              <w:ind w:right="57"/>
              <w:jc w:val="right"/>
              <w:rPr>
                <w:rFonts w:cs="Arial"/>
                <w:bCs/>
                <w:sz w:val="18"/>
                <w:szCs w:val="18"/>
              </w:rPr>
            </w:pPr>
            <w:r w:rsidRPr="00CC6437">
              <w:rPr>
                <w:rFonts w:cs="Arial"/>
                <w:bCs/>
                <w:sz w:val="18"/>
                <w:szCs w:val="18"/>
              </w:rPr>
              <w:t>39.555.034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CC6437" w:rsidRPr="00CC6437" w:rsidRDefault="00CC6437" w:rsidP="00A13298">
            <w:pPr>
              <w:spacing w:before="0" w:after="0" w:line="240" w:lineRule="auto"/>
              <w:ind w:right="57"/>
              <w:jc w:val="right"/>
              <w:rPr>
                <w:rFonts w:cs="Arial"/>
                <w:bCs/>
                <w:sz w:val="18"/>
                <w:szCs w:val="18"/>
              </w:rPr>
            </w:pPr>
            <w:r w:rsidRPr="00CC6437">
              <w:rPr>
                <w:rFonts w:cs="Arial"/>
                <w:bCs/>
                <w:sz w:val="18"/>
                <w:szCs w:val="18"/>
              </w:rPr>
              <w:t>2.203.910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CC6437" w:rsidRPr="00CC6437" w:rsidRDefault="00CC6437" w:rsidP="00A13298">
            <w:pPr>
              <w:spacing w:before="0" w:after="0" w:line="240" w:lineRule="auto"/>
              <w:ind w:right="57"/>
              <w:jc w:val="right"/>
              <w:rPr>
                <w:rFonts w:cs="Arial"/>
                <w:bCs/>
                <w:sz w:val="18"/>
                <w:szCs w:val="18"/>
              </w:rPr>
            </w:pPr>
            <w:r w:rsidRPr="00CC6437">
              <w:rPr>
                <w:rFonts w:cs="Arial"/>
                <w:bCs/>
                <w:sz w:val="18"/>
                <w:szCs w:val="18"/>
              </w:rPr>
              <w:t>1.167.190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</w:tcPr>
          <w:p w:rsidR="00CC6437" w:rsidRPr="00CC6437" w:rsidRDefault="00CC6437" w:rsidP="00A13298">
            <w:pPr>
              <w:spacing w:before="0" w:after="0" w:line="240" w:lineRule="auto"/>
              <w:ind w:right="57"/>
              <w:jc w:val="right"/>
              <w:rPr>
                <w:rFonts w:cs="Arial"/>
                <w:bCs/>
                <w:sz w:val="18"/>
                <w:szCs w:val="18"/>
              </w:rPr>
            </w:pPr>
            <w:r w:rsidRPr="00CC6437">
              <w:rPr>
                <w:rFonts w:cs="Arial"/>
                <w:bCs/>
                <w:sz w:val="18"/>
                <w:szCs w:val="18"/>
              </w:rPr>
              <w:t>1.036.721</w:t>
            </w:r>
          </w:p>
        </w:tc>
      </w:tr>
      <w:tr w:rsidR="00CC6437" w:rsidRPr="00A13298" w:rsidTr="00CC6437">
        <w:trPr>
          <w:trHeight w:val="283"/>
          <w:jc w:val="center"/>
        </w:trPr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8CCE4" w:themeFill="accent1" w:themeFillTint="66"/>
            <w:noWrap/>
            <w:vAlign w:val="center"/>
          </w:tcPr>
          <w:p w:rsidR="00CC6437" w:rsidRPr="001D08D5" w:rsidRDefault="00CC6437" w:rsidP="00173132">
            <w:pPr>
              <w:spacing w:before="0" w:after="0" w:line="240" w:lineRule="auto"/>
              <w:jc w:val="left"/>
              <w:rPr>
                <w:rFonts w:eastAsiaTheme="minorHAnsi" w:cs="Arial"/>
                <w:b/>
                <w:color w:val="0F243E" w:themeColor="text2" w:themeShade="80"/>
                <w:sz w:val="18"/>
                <w:szCs w:val="18"/>
                <w:lang w:eastAsia="en-US"/>
              </w:rPr>
            </w:pPr>
            <w:r w:rsidRPr="001D08D5">
              <w:rPr>
                <w:rFonts w:eastAsiaTheme="minorHAnsi" w:cs="Arial"/>
                <w:b/>
                <w:color w:val="0F243E" w:themeColor="text2" w:themeShade="80"/>
                <w:sz w:val="18"/>
                <w:szCs w:val="18"/>
                <w:lang w:eastAsia="en-US"/>
              </w:rPr>
              <w:t>UAR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8CCE4" w:themeFill="accent1" w:themeFillTint="66"/>
            <w:noWrap/>
            <w:vAlign w:val="center"/>
          </w:tcPr>
          <w:p w:rsidR="00CC6437" w:rsidRPr="00CC6346" w:rsidRDefault="00CC6437" w:rsidP="00A13298">
            <w:pPr>
              <w:spacing w:before="0" w:after="0" w:line="240" w:lineRule="auto"/>
              <w:ind w:right="57"/>
              <w:jc w:val="right"/>
              <w:rPr>
                <w:rFonts w:cs="Arial"/>
                <w:bCs/>
                <w:sz w:val="18"/>
                <w:szCs w:val="18"/>
              </w:rPr>
            </w:pPr>
            <w:r w:rsidRPr="00CC6437">
              <w:rPr>
                <w:rFonts w:cs="Arial"/>
                <w:bCs/>
                <w:sz w:val="18"/>
                <w:szCs w:val="18"/>
              </w:rPr>
              <w:t>7.691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8CCE4" w:themeFill="accent1" w:themeFillTint="66"/>
            <w:vAlign w:val="center"/>
          </w:tcPr>
          <w:p w:rsidR="00CC6437" w:rsidRPr="00CC6437" w:rsidRDefault="00CC6437" w:rsidP="00A13298">
            <w:pPr>
              <w:spacing w:before="0" w:after="0" w:line="240" w:lineRule="auto"/>
              <w:ind w:right="57"/>
              <w:jc w:val="right"/>
              <w:rPr>
                <w:rFonts w:cs="Arial"/>
                <w:bCs/>
                <w:sz w:val="18"/>
                <w:szCs w:val="18"/>
              </w:rPr>
            </w:pPr>
            <w:r w:rsidRPr="00CC6437">
              <w:rPr>
                <w:rFonts w:cs="Arial"/>
                <w:bCs/>
                <w:sz w:val="18"/>
                <w:szCs w:val="18"/>
              </w:rPr>
              <w:t>42.726</w:t>
            </w:r>
          </w:p>
        </w:tc>
        <w:tc>
          <w:tcPr>
            <w:tcW w:w="11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8CCE4" w:themeFill="accent1" w:themeFillTint="66"/>
            <w:vAlign w:val="center"/>
          </w:tcPr>
          <w:p w:rsidR="00CC6437" w:rsidRPr="00CC6437" w:rsidRDefault="00CC6437" w:rsidP="00A13298">
            <w:pPr>
              <w:spacing w:before="0" w:after="0" w:line="240" w:lineRule="auto"/>
              <w:ind w:right="57"/>
              <w:jc w:val="right"/>
              <w:rPr>
                <w:rFonts w:cs="Arial"/>
                <w:bCs/>
                <w:sz w:val="18"/>
                <w:szCs w:val="18"/>
              </w:rPr>
            </w:pPr>
            <w:r w:rsidRPr="00CC6437">
              <w:rPr>
                <w:rFonts w:cs="Arial"/>
                <w:bCs/>
                <w:sz w:val="18"/>
                <w:szCs w:val="18"/>
              </w:rPr>
              <w:t>5.660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8CCE4" w:themeFill="accent1" w:themeFillTint="66"/>
            <w:noWrap/>
            <w:vAlign w:val="center"/>
          </w:tcPr>
          <w:p w:rsidR="00CC6437" w:rsidRPr="00CC6437" w:rsidRDefault="00CC6437" w:rsidP="00A13298">
            <w:pPr>
              <w:spacing w:before="0" w:after="0" w:line="240" w:lineRule="auto"/>
              <w:ind w:right="57"/>
              <w:jc w:val="right"/>
              <w:rPr>
                <w:rFonts w:cs="Arial"/>
                <w:bCs/>
                <w:sz w:val="18"/>
                <w:szCs w:val="18"/>
              </w:rPr>
            </w:pPr>
            <w:r w:rsidRPr="00CC6437">
              <w:rPr>
                <w:rFonts w:cs="Arial"/>
                <w:bCs/>
                <w:sz w:val="18"/>
                <w:szCs w:val="18"/>
              </w:rPr>
              <w:t>27.715.579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8CCE4" w:themeFill="accent1" w:themeFillTint="66"/>
            <w:vAlign w:val="center"/>
          </w:tcPr>
          <w:p w:rsidR="00CC6437" w:rsidRPr="00CC6437" w:rsidRDefault="00CC6437" w:rsidP="00A13298">
            <w:pPr>
              <w:spacing w:before="0" w:after="0" w:line="240" w:lineRule="auto"/>
              <w:ind w:right="57"/>
              <w:jc w:val="right"/>
              <w:rPr>
                <w:rFonts w:cs="Arial"/>
                <w:bCs/>
                <w:sz w:val="18"/>
                <w:szCs w:val="18"/>
              </w:rPr>
            </w:pPr>
            <w:r w:rsidRPr="00CC6437">
              <w:rPr>
                <w:rFonts w:cs="Arial"/>
                <w:bCs/>
                <w:sz w:val="18"/>
                <w:szCs w:val="18"/>
              </w:rPr>
              <w:t>26.590.112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8CCE4" w:themeFill="accent1" w:themeFillTint="66"/>
            <w:noWrap/>
            <w:vAlign w:val="center"/>
          </w:tcPr>
          <w:p w:rsidR="00CC6437" w:rsidRPr="00CC6437" w:rsidRDefault="00CC6437" w:rsidP="00A13298">
            <w:pPr>
              <w:spacing w:before="0" w:after="0" w:line="240" w:lineRule="auto"/>
              <w:ind w:right="57"/>
              <w:jc w:val="right"/>
              <w:rPr>
                <w:rFonts w:cs="Arial"/>
                <w:bCs/>
                <w:sz w:val="18"/>
                <w:szCs w:val="18"/>
              </w:rPr>
            </w:pPr>
            <w:r w:rsidRPr="00CC6437">
              <w:rPr>
                <w:rFonts w:cs="Arial"/>
                <w:bCs/>
                <w:sz w:val="18"/>
                <w:szCs w:val="18"/>
              </w:rPr>
              <w:t>1.574.483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8CCE4" w:themeFill="accent1" w:themeFillTint="66"/>
            <w:noWrap/>
            <w:vAlign w:val="center"/>
          </w:tcPr>
          <w:p w:rsidR="00CC6437" w:rsidRPr="00CC6437" w:rsidRDefault="00CC6437" w:rsidP="00A13298">
            <w:pPr>
              <w:spacing w:before="0" w:after="0" w:line="240" w:lineRule="auto"/>
              <w:ind w:right="57"/>
              <w:jc w:val="right"/>
              <w:rPr>
                <w:rFonts w:cs="Arial"/>
                <w:bCs/>
                <w:sz w:val="18"/>
                <w:szCs w:val="18"/>
              </w:rPr>
            </w:pPr>
            <w:r w:rsidRPr="00CC6437">
              <w:rPr>
                <w:rFonts w:cs="Arial"/>
                <w:bCs/>
                <w:sz w:val="18"/>
                <w:szCs w:val="18"/>
              </w:rPr>
              <w:t>747.824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B8CCE4" w:themeFill="accent1" w:themeFillTint="66"/>
            <w:noWrap/>
            <w:vAlign w:val="center"/>
          </w:tcPr>
          <w:p w:rsidR="00CC6437" w:rsidRPr="00CC6437" w:rsidRDefault="00CC6437" w:rsidP="00A13298">
            <w:pPr>
              <w:spacing w:before="0" w:after="0" w:line="240" w:lineRule="auto"/>
              <w:ind w:right="57"/>
              <w:jc w:val="right"/>
              <w:rPr>
                <w:rFonts w:cs="Arial"/>
                <w:bCs/>
                <w:sz w:val="18"/>
                <w:szCs w:val="18"/>
              </w:rPr>
            </w:pPr>
            <w:r w:rsidRPr="00CC6437">
              <w:rPr>
                <w:rFonts w:cs="Arial"/>
                <w:bCs/>
                <w:sz w:val="18"/>
                <w:szCs w:val="18"/>
              </w:rPr>
              <w:t>826.660</w:t>
            </w:r>
          </w:p>
        </w:tc>
      </w:tr>
      <w:tr w:rsidR="004D3422" w:rsidRPr="00A13298" w:rsidTr="003A429F">
        <w:trPr>
          <w:trHeight w:val="283"/>
          <w:jc w:val="center"/>
        </w:trPr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4D3422" w:rsidRPr="001D08D5" w:rsidRDefault="004D3422" w:rsidP="00173132">
            <w:pPr>
              <w:spacing w:before="0" w:after="0" w:line="240" w:lineRule="auto"/>
              <w:jc w:val="left"/>
              <w:rPr>
                <w:rFonts w:eastAsiaTheme="minorHAnsi" w:cs="Arial"/>
                <w:b/>
                <w:color w:val="0F243E" w:themeColor="text2" w:themeShade="80"/>
                <w:sz w:val="18"/>
                <w:szCs w:val="18"/>
                <w:lang w:eastAsia="en-US"/>
              </w:rPr>
            </w:pPr>
            <w:r w:rsidRPr="001D08D5">
              <w:rPr>
                <w:rFonts w:eastAsiaTheme="minorHAnsi" w:cs="Arial"/>
                <w:b/>
                <w:color w:val="0F243E" w:themeColor="text2" w:themeShade="80"/>
                <w:sz w:val="18"/>
                <w:szCs w:val="18"/>
                <w:lang w:eastAsia="en-US"/>
              </w:rPr>
              <w:t>Rijeka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4D3422" w:rsidRPr="00515E62" w:rsidRDefault="00CC6437" w:rsidP="00A13298">
            <w:pPr>
              <w:spacing w:before="0" w:after="0" w:line="240" w:lineRule="auto"/>
              <w:ind w:right="57"/>
              <w:jc w:val="right"/>
              <w:rPr>
                <w:rFonts w:cs="Arial"/>
                <w:bCs/>
                <w:sz w:val="18"/>
                <w:szCs w:val="18"/>
              </w:rPr>
            </w:pPr>
            <w:r w:rsidRPr="00CC6437">
              <w:rPr>
                <w:rFonts w:cs="Arial"/>
                <w:bCs/>
                <w:sz w:val="18"/>
                <w:szCs w:val="18"/>
              </w:rPr>
              <w:t>5.020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4D3422" w:rsidRPr="004D3422" w:rsidRDefault="00CC6437" w:rsidP="00A13298">
            <w:pPr>
              <w:spacing w:before="0" w:after="0" w:line="240" w:lineRule="auto"/>
              <w:ind w:right="57"/>
              <w:jc w:val="right"/>
              <w:rPr>
                <w:rFonts w:cs="Arial"/>
                <w:bCs/>
                <w:sz w:val="18"/>
                <w:szCs w:val="18"/>
              </w:rPr>
            </w:pPr>
            <w:r w:rsidRPr="00CC6437">
              <w:rPr>
                <w:rFonts w:cs="Arial"/>
                <w:bCs/>
                <w:sz w:val="18"/>
                <w:szCs w:val="18"/>
              </w:rPr>
              <w:t>30.651</w:t>
            </w:r>
          </w:p>
        </w:tc>
        <w:tc>
          <w:tcPr>
            <w:tcW w:w="11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4D3422" w:rsidRPr="004D3422" w:rsidRDefault="00CC6437" w:rsidP="00A13298">
            <w:pPr>
              <w:spacing w:before="0" w:after="0" w:line="240" w:lineRule="auto"/>
              <w:ind w:right="57"/>
              <w:jc w:val="right"/>
              <w:rPr>
                <w:rFonts w:cs="Arial"/>
                <w:bCs/>
                <w:sz w:val="18"/>
                <w:szCs w:val="18"/>
              </w:rPr>
            </w:pPr>
            <w:r w:rsidRPr="00CC6437">
              <w:rPr>
                <w:rFonts w:cs="Arial"/>
                <w:bCs/>
                <w:sz w:val="18"/>
                <w:szCs w:val="18"/>
              </w:rPr>
              <w:t>5.848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4D3422" w:rsidRPr="004D3422" w:rsidRDefault="00CC6437" w:rsidP="00A13298">
            <w:pPr>
              <w:spacing w:before="0" w:after="0" w:line="240" w:lineRule="auto"/>
              <w:ind w:right="57"/>
              <w:jc w:val="right"/>
              <w:rPr>
                <w:rFonts w:cs="Arial"/>
                <w:bCs/>
                <w:sz w:val="18"/>
                <w:szCs w:val="18"/>
              </w:rPr>
            </w:pPr>
            <w:r w:rsidRPr="00CC6437">
              <w:rPr>
                <w:rFonts w:cs="Arial"/>
                <w:bCs/>
                <w:sz w:val="18"/>
                <w:szCs w:val="18"/>
              </w:rPr>
              <w:t>20.321.206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4D3422" w:rsidRPr="004D3422" w:rsidRDefault="00CC6437" w:rsidP="00A13298">
            <w:pPr>
              <w:spacing w:before="0" w:after="0" w:line="240" w:lineRule="auto"/>
              <w:ind w:right="57"/>
              <w:jc w:val="right"/>
              <w:rPr>
                <w:rFonts w:cs="Arial"/>
                <w:bCs/>
                <w:sz w:val="18"/>
                <w:szCs w:val="18"/>
              </w:rPr>
            </w:pPr>
            <w:r w:rsidRPr="00CC6437">
              <w:rPr>
                <w:rFonts w:cs="Arial"/>
                <w:bCs/>
                <w:sz w:val="18"/>
                <w:szCs w:val="18"/>
              </w:rPr>
              <w:t>19.461.189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4D3422" w:rsidRPr="004D3422" w:rsidRDefault="00CC6437" w:rsidP="00A13298">
            <w:pPr>
              <w:spacing w:before="0" w:after="0" w:line="240" w:lineRule="auto"/>
              <w:ind w:right="57"/>
              <w:jc w:val="right"/>
              <w:rPr>
                <w:rFonts w:cs="Arial"/>
                <w:bCs/>
                <w:sz w:val="18"/>
                <w:szCs w:val="18"/>
              </w:rPr>
            </w:pPr>
            <w:r w:rsidRPr="00CC6437">
              <w:rPr>
                <w:rFonts w:cs="Arial"/>
                <w:bCs/>
                <w:sz w:val="18"/>
                <w:szCs w:val="18"/>
              </w:rPr>
              <w:t>1.162.922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4D3422" w:rsidRPr="004D3422" w:rsidRDefault="00CC6437" w:rsidP="00A13298">
            <w:pPr>
              <w:spacing w:before="0" w:after="0" w:line="240" w:lineRule="auto"/>
              <w:ind w:right="57"/>
              <w:jc w:val="right"/>
              <w:rPr>
                <w:rFonts w:cs="Arial"/>
                <w:bCs/>
                <w:sz w:val="18"/>
                <w:szCs w:val="18"/>
              </w:rPr>
            </w:pPr>
            <w:r w:rsidRPr="00CC6437">
              <w:rPr>
                <w:rFonts w:cs="Arial"/>
                <w:bCs/>
                <w:sz w:val="18"/>
                <w:szCs w:val="18"/>
              </w:rPr>
              <w:t>521.074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DBE5F1" w:themeFill="accent1" w:themeFillTint="33"/>
            <w:noWrap/>
            <w:vAlign w:val="center"/>
          </w:tcPr>
          <w:p w:rsidR="004D3422" w:rsidRPr="004D3422" w:rsidRDefault="00CC6437" w:rsidP="00A13298">
            <w:pPr>
              <w:spacing w:before="0" w:after="0" w:line="240" w:lineRule="auto"/>
              <w:ind w:right="57"/>
              <w:jc w:val="right"/>
              <w:rPr>
                <w:rFonts w:cs="Arial"/>
                <w:bCs/>
                <w:sz w:val="18"/>
                <w:szCs w:val="18"/>
              </w:rPr>
            </w:pPr>
            <w:r w:rsidRPr="00CC6437">
              <w:rPr>
                <w:rFonts w:cs="Arial"/>
                <w:bCs/>
                <w:sz w:val="18"/>
                <w:szCs w:val="18"/>
              </w:rPr>
              <w:t>641.848</w:t>
            </w:r>
          </w:p>
        </w:tc>
      </w:tr>
    </w:tbl>
    <w:bookmarkEnd w:id="0"/>
    <w:p w:rsidR="001D08D5" w:rsidRDefault="001D08D5" w:rsidP="001D08D5">
      <w:pPr>
        <w:spacing w:before="40" w:line="240" w:lineRule="auto"/>
        <w:rPr>
          <w:bCs/>
          <w:i/>
          <w:color w:val="17365D"/>
          <w:sz w:val="16"/>
          <w:szCs w:val="18"/>
        </w:rPr>
      </w:pPr>
      <w:r w:rsidRPr="00A77A2F">
        <w:rPr>
          <w:bCs/>
          <w:i/>
          <w:color w:val="17365D"/>
          <w:sz w:val="16"/>
          <w:szCs w:val="18"/>
        </w:rPr>
        <w:t>Izvor: Fina, Registar godišnjih financijskih izvještaja, obrada GFI-a za 201</w:t>
      </w:r>
      <w:r w:rsidR="006310AC">
        <w:rPr>
          <w:bCs/>
          <w:i/>
          <w:color w:val="17365D"/>
          <w:sz w:val="16"/>
          <w:szCs w:val="18"/>
        </w:rPr>
        <w:t>9</w:t>
      </w:r>
      <w:r w:rsidRPr="00A77A2F">
        <w:rPr>
          <w:bCs/>
          <w:i/>
          <w:color w:val="17365D"/>
          <w:sz w:val="16"/>
          <w:szCs w:val="18"/>
        </w:rPr>
        <w:t>. godinu</w:t>
      </w:r>
    </w:p>
    <w:p w:rsidR="005C2AC2" w:rsidRPr="00A0196D" w:rsidRDefault="00515E62" w:rsidP="00954F76">
      <w:pPr>
        <w:widowControl w:val="0"/>
        <w:spacing w:before="180" w:after="0"/>
        <w:rPr>
          <w:rFonts w:cstheme="minorBidi"/>
          <w:bCs/>
          <w:color w:val="17365D" w:themeColor="text2" w:themeShade="BF"/>
          <w:sz w:val="20"/>
        </w:rPr>
      </w:pPr>
      <w:r w:rsidRPr="00A0196D">
        <w:rPr>
          <w:rFonts w:cstheme="minorBidi"/>
          <w:bCs/>
          <w:color w:val="17365D" w:themeColor="text2" w:themeShade="BF"/>
          <w:sz w:val="20"/>
        </w:rPr>
        <w:t xml:space="preserve">Iz prezentiranih je podataka vidno da poduzetnici sa sjedištem u Rijeci imaju veliki udio u rezultatima poduzetnika na razini </w:t>
      </w:r>
      <w:r w:rsidR="00DD0960" w:rsidRPr="00A0196D">
        <w:rPr>
          <w:rFonts w:cstheme="minorBidi"/>
          <w:bCs/>
          <w:color w:val="17365D" w:themeColor="text2" w:themeShade="BF"/>
          <w:sz w:val="20"/>
        </w:rPr>
        <w:t xml:space="preserve">Primorsko-goranske </w:t>
      </w:r>
      <w:r w:rsidRPr="00A0196D">
        <w:rPr>
          <w:rFonts w:cstheme="minorBidi"/>
          <w:bCs/>
          <w:color w:val="17365D" w:themeColor="text2" w:themeShade="BF"/>
          <w:sz w:val="20"/>
        </w:rPr>
        <w:t xml:space="preserve">županije i Urbane aglomeracije Rijeka. Njihov je udio u broju poduzetnika Urbane aglomeracije Rijeka </w:t>
      </w:r>
      <w:r w:rsidR="00B91017" w:rsidRPr="00A0196D">
        <w:rPr>
          <w:rFonts w:cstheme="minorBidi"/>
          <w:bCs/>
          <w:color w:val="17365D" w:themeColor="text2" w:themeShade="BF"/>
          <w:sz w:val="20"/>
        </w:rPr>
        <w:t>65,</w:t>
      </w:r>
      <w:r w:rsidR="000E4B2A" w:rsidRPr="00A0196D">
        <w:rPr>
          <w:rFonts w:cstheme="minorBidi"/>
          <w:bCs/>
          <w:color w:val="17365D" w:themeColor="text2" w:themeShade="BF"/>
          <w:sz w:val="20"/>
        </w:rPr>
        <w:t>3</w:t>
      </w:r>
      <w:r w:rsidRPr="00A0196D">
        <w:rPr>
          <w:rFonts w:cstheme="minorBidi"/>
          <w:bCs/>
          <w:color w:val="17365D" w:themeColor="text2" w:themeShade="BF"/>
          <w:sz w:val="20"/>
        </w:rPr>
        <w:t xml:space="preserve">%, u broju zaposlenih </w:t>
      </w:r>
      <w:r w:rsidR="000E4B2A" w:rsidRPr="00A0196D">
        <w:rPr>
          <w:rFonts w:cstheme="minorBidi"/>
          <w:bCs/>
          <w:color w:val="17365D" w:themeColor="text2" w:themeShade="BF"/>
          <w:sz w:val="20"/>
        </w:rPr>
        <w:t>71,7</w:t>
      </w:r>
      <w:r w:rsidRPr="00A0196D">
        <w:rPr>
          <w:rFonts w:cstheme="minorBidi"/>
          <w:bCs/>
          <w:color w:val="17365D" w:themeColor="text2" w:themeShade="BF"/>
          <w:sz w:val="20"/>
        </w:rPr>
        <w:t>%, ukupnim prihodima 7</w:t>
      </w:r>
      <w:r w:rsidR="00F35951" w:rsidRPr="00A0196D">
        <w:rPr>
          <w:rFonts w:cstheme="minorBidi"/>
          <w:bCs/>
          <w:color w:val="17365D" w:themeColor="text2" w:themeShade="BF"/>
          <w:sz w:val="20"/>
        </w:rPr>
        <w:t>3</w:t>
      </w:r>
      <w:r w:rsidR="009F063D">
        <w:rPr>
          <w:rFonts w:cstheme="minorBidi"/>
          <w:bCs/>
          <w:color w:val="17365D" w:themeColor="text2" w:themeShade="BF"/>
          <w:sz w:val="20"/>
        </w:rPr>
        <w:t>,3</w:t>
      </w:r>
      <w:r w:rsidRPr="00A0196D">
        <w:rPr>
          <w:rFonts w:cstheme="minorBidi"/>
          <w:bCs/>
          <w:color w:val="17365D" w:themeColor="text2" w:themeShade="BF"/>
          <w:sz w:val="20"/>
        </w:rPr>
        <w:t>%, ukupnim rashodima 7</w:t>
      </w:r>
      <w:r w:rsidR="00F35951" w:rsidRPr="00A0196D">
        <w:rPr>
          <w:rFonts w:cstheme="minorBidi"/>
          <w:bCs/>
          <w:color w:val="17365D" w:themeColor="text2" w:themeShade="BF"/>
          <w:sz w:val="20"/>
        </w:rPr>
        <w:t>3,</w:t>
      </w:r>
      <w:r w:rsidR="000E4B2A" w:rsidRPr="00A0196D">
        <w:rPr>
          <w:rFonts w:cstheme="minorBidi"/>
          <w:bCs/>
          <w:color w:val="17365D" w:themeColor="text2" w:themeShade="BF"/>
          <w:sz w:val="20"/>
        </w:rPr>
        <w:t>2</w:t>
      </w:r>
      <w:r w:rsidRPr="00A0196D">
        <w:rPr>
          <w:rFonts w:cstheme="minorBidi"/>
          <w:bCs/>
          <w:color w:val="17365D" w:themeColor="text2" w:themeShade="BF"/>
          <w:sz w:val="20"/>
        </w:rPr>
        <w:t xml:space="preserve">%, dobiti razdoblja </w:t>
      </w:r>
      <w:r w:rsidR="000E4B2A" w:rsidRPr="00A0196D">
        <w:rPr>
          <w:rFonts w:cstheme="minorBidi"/>
          <w:bCs/>
          <w:color w:val="17365D" w:themeColor="text2" w:themeShade="BF"/>
          <w:sz w:val="20"/>
        </w:rPr>
        <w:t>73,9</w:t>
      </w:r>
      <w:r w:rsidRPr="00A0196D">
        <w:rPr>
          <w:rFonts w:cstheme="minorBidi"/>
          <w:bCs/>
          <w:color w:val="17365D" w:themeColor="text2" w:themeShade="BF"/>
          <w:sz w:val="20"/>
        </w:rPr>
        <w:t xml:space="preserve">%, gubitku razdoblja </w:t>
      </w:r>
      <w:r w:rsidR="000E4B2A" w:rsidRPr="00A0196D">
        <w:rPr>
          <w:rFonts w:cstheme="minorBidi"/>
          <w:bCs/>
          <w:color w:val="17365D" w:themeColor="text2" w:themeShade="BF"/>
          <w:sz w:val="20"/>
        </w:rPr>
        <w:t>69,7</w:t>
      </w:r>
      <w:r w:rsidR="000A5C74" w:rsidRPr="00A0196D">
        <w:rPr>
          <w:rFonts w:cstheme="minorBidi"/>
          <w:bCs/>
          <w:color w:val="17365D" w:themeColor="text2" w:themeShade="BF"/>
          <w:sz w:val="20"/>
        </w:rPr>
        <w:t xml:space="preserve">% i neto dobiti </w:t>
      </w:r>
      <w:r w:rsidR="000E4B2A" w:rsidRPr="00A0196D">
        <w:rPr>
          <w:rFonts w:cstheme="minorBidi"/>
          <w:bCs/>
          <w:color w:val="17365D" w:themeColor="text2" w:themeShade="BF"/>
          <w:sz w:val="20"/>
        </w:rPr>
        <w:t>77,6</w:t>
      </w:r>
      <w:r w:rsidR="000A5C74" w:rsidRPr="00A0196D">
        <w:rPr>
          <w:rFonts w:cstheme="minorBidi"/>
          <w:bCs/>
          <w:color w:val="17365D" w:themeColor="text2" w:themeShade="BF"/>
          <w:sz w:val="20"/>
        </w:rPr>
        <w:t>%.</w:t>
      </w:r>
      <w:r w:rsidR="00690C8C" w:rsidRPr="00A0196D">
        <w:rPr>
          <w:rFonts w:cstheme="minorBidi"/>
          <w:bCs/>
          <w:color w:val="17365D" w:themeColor="text2" w:themeShade="BF"/>
          <w:sz w:val="20"/>
        </w:rPr>
        <w:t xml:space="preserve"> </w:t>
      </w:r>
      <w:r w:rsidR="00E65163" w:rsidRPr="00A0196D">
        <w:rPr>
          <w:rFonts w:cstheme="minorBidi"/>
          <w:bCs/>
          <w:color w:val="17365D" w:themeColor="text2" w:themeShade="BF"/>
          <w:sz w:val="20"/>
        </w:rPr>
        <w:t>U 201</w:t>
      </w:r>
      <w:r w:rsidR="006310AC" w:rsidRPr="00A0196D">
        <w:rPr>
          <w:rFonts w:cstheme="minorBidi"/>
          <w:bCs/>
          <w:color w:val="17365D" w:themeColor="text2" w:themeShade="BF"/>
          <w:sz w:val="20"/>
        </w:rPr>
        <w:t>9</w:t>
      </w:r>
      <w:r w:rsidR="00E65163" w:rsidRPr="00A0196D">
        <w:rPr>
          <w:rFonts w:cstheme="minorBidi"/>
          <w:bCs/>
          <w:color w:val="17365D" w:themeColor="text2" w:themeShade="BF"/>
          <w:sz w:val="20"/>
        </w:rPr>
        <w:t xml:space="preserve">. godini poduzetnici Urbane aglomeracije Rijeke iskazali su pozitivan konsolidirani financijski rezultat u iznosu od </w:t>
      </w:r>
      <w:r w:rsidR="00954F76" w:rsidRPr="00A0196D">
        <w:rPr>
          <w:rFonts w:cstheme="minorBidi"/>
          <w:bCs/>
          <w:color w:val="17365D" w:themeColor="text2" w:themeShade="BF"/>
          <w:sz w:val="20"/>
        </w:rPr>
        <w:t>826,7</w:t>
      </w:r>
      <w:r w:rsidR="000A5C74" w:rsidRPr="00A0196D">
        <w:rPr>
          <w:rFonts w:cstheme="minorBidi"/>
          <w:bCs/>
          <w:color w:val="17365D" w:themeColor="text2" w:themeShade="BF"/>
          <w:sz w:val="20"/>
        </w:rPr>
        <w:t xml:space="preserve"> milij</w:t>
      </w:r>
      <w:r w:rsidR="00954F76" w:rsidRPr="00A0196D">
        <w:rPr>
          <w:rFonts w:cstheme="minorBidi"/>
          <w:bCs/>
          <w:color w:val="17365D" w:themeColor="text2" w:themeShade="BF"/>
          <w:sz w:val="20"/>
        </w:rPr>
        <w:t>una</w:t>
      </w:r>
      <w:r w:rsidR="00E65163" w:rsidRPr="00A0196D">
        <w:rPr>
          <w:rFonts w:cstheme="minorBidi"/>
          <w:bCs/>
          <w:color w:val="17365D" w:themeColor="text2" w:themeShade="BF"/>
          <w:sz w:val="20"/>
        </w:rPr>
        <w:t xml:space="preserve"> kuna</w:t>
      </w:r>
      <w:r w:rsidR="003E79B4" w:rsidRPr="00A0196D">
        <w:rPr>
          <w:rFonts w:cstheme="minorBidi"/>
          <w:bCs/>
          <w:color w:val="17365D" w:themeColor="text2" w:themeShade="BF"/>
          <w:sz w:val="20"/>
        </w:rPr>
        <w:t xml:space="preserve"> što je za </w:t>
      </w:r>
      <w:r w:rsidR="00954F76" w:rsidRPr="00A0196D">
        <w:rPr>
          <w:rFonts w:cstheme="minorBidi"/>
          <w:bCs/>
          <w:color w:val="17365D" w:themeColor="text2" w:themeShade="BF"/>
          <w:sz w:val="20"/>
        </w:rPr>
        <w:t>173,5</w:t>
      </w:r>
      <w:r w:rsidR="00156F2F" w:rsidRPr="00A0196D">
        <w:rPr>
          <w:rFonts w:cstheme="minorBidi"/>
          <w:bCs/>
          <w:color w:val="17365D" w:themeColor="text2" w:themeShade="BF"/>
          <w:sz w:val="20"/>
        </w:rPr>
        <w:t>%</w:t>
      </w:r>
      <w:r w:rsidR="003E79B4" w:rsidRPr="00A0196D">
        <w:rPr>
          <w:rFonts w:cstheme="minorBidi"/>
          <w:bCs/>
          <w:color w:val="17365D" w:themeColor="text2" w:themeShade="BF"/>
          <w:sz w:val="20"/>
        </w:rPr>
        <w:t xml:space="preserve"> više nego prethodne godine</w:t>
      </w:r>
      <w:r w:rsidR="00080961" w:rsidRPr="00A0196D">
        <w:rPr>
          <w:rFonts w:cstheme="minorBidi"/>
          <w:bCs/>
          <w:color w:val="17365D" w:themeColor="text2" w:themeShade="BF"/>
          <w:sz w:val="20"/>
        </w:rPr>
        <w:t xml:space="preserve"> (</w:t>
      </w:r>
      <w:r w:rsidR="00954F76" w:rsidRPr="00A0196D">
        <w:rPr>
          <w:rFonts w:cstheme="minorBidi"/>
          <w:bCs/>
          <w:color w:val="17365D" w:themeColor="text2" w:themeShade="BF"/>
          <w:sz w:val="20"/>
        </w:rPr>
        <w:t>302,3</w:t>
      </w:r>
      <w:r w:rsidR="00080961" w:rsidRPr="00A0196D">
        <w:rPr>
          <w:rFonts w:cstheme="minorBidi"/>
          <w:bCs/>
          <w:color w:val="17365D" w:themeColor="text2" w:themeShade="BF"/>
          <w:sz w:val="20"/>
        </w:rPr>
        <w:t xml:space="preserve"> milij</w:t>
      </w:r>
      <w:r w:rsidR="00D85A6F" w:rsidRPr="00A0196D">
        <w:rPr>
          <w:rFonts w:cstheme="minorBidi"/>
          <w:bCs/>
          <w:color w:val="17365D" w:themeColor="text2" w:themeShade="BF"/>
          <w:sz w:val="20"/>
        </w:rPr>
        <w:t>una</w:t>
      </w:r>
      <w:r w:rsidR="00080961" w:rsidRPr="00A0196D">
        <w:rPr>
          <w:rFonts w:cstheme="minorBidi"/>
          <w:bCs/>
          <w:color w:val="17365D" w:themeColor="text2" w:themeShade="BF"/>
          <w:sz w:val="20"/>
        </w:rPr>
        <w:t xml:space="preserve"> kuna)</w:t>
      </w:r>
      <w:r w:rsidR="005C2AC2" w:rsidRPr="00A0196D">
        <w:rPr>
          <w:rFonts w:cstheme="minorBidi"/>
          <w:bCs/>
          <w:color w:val="17365D" w:themeColor="text2" w:themeShade="BF"/>
          <w:sz w:val="20"/>
        </w:rPr>
        <w:t>.</w:t>
      </w:r>
    </w:p>
    <w:p w:rsidR="001D08D5" w:rsidRDefault="00E65163" w:rsidP="0013382A">
      <w:pPr>
        <w:widowControl w:val="0"/>
        <w:spacing w:before="180" w:after="40" w:line="240" w:lineRule="auto"/>
        <w:ind w:left="1134" w:hanging="1134"/>
        <w:rPr>
          <w:rFonts w:eastAsia="Calibri" w:cs="Arial"/>
          <w:b/>
          <w:color w:val="244061"/>
          <w:sz w:val="18"/>
          <w:szCs w:val="18"/>
          <w:lang w:eastAsia="en-US"/>
        </w:rPr>
      </w:pPr>
      <w:r w:rsidRPr="00E26D38">
        <w:rPr>
          <w:rFonts w:eastAsia="Calibri" w:cs="Arial"/>
          <w:b/>
          <w:color w:val="17365D"/>
          <w:sz w:val="18"/>
          <w:szCs w:val="18"/>
          <w:lang w:eastAsia="en-US"/>
        </w:rPr>
        <w:t xml:space="preserve">Tablica </w:t>
      </w:r>
      <w:r w:rsidR="00515E62">
        <w:rPr>
          <w:rFonts w:eastAsia="Calibri" w:cs="Arial"/>
          <w:b/>
          <w:color w:val="17365D"/>
          <w:sz w:val="18"/>
          <w:szCs w:val="18"/>
          <w:lang w:eastAsia="en-US"/>
        </w:rPr>
        <w:t>4</w:t>
      </w:r>
      <w:r w:rsidRPr="00E26D38">
        <w:rPr>
          <w:rFonts w:eastAsia="Calibri" w:cs="Arial"/>
          <w:b/>
          <w:color w:val="17365D"/>
          <w:sz w:val="18"/>
          <w:szCs w:val="18"/>
          <w:lang w:eastAsia="en-US"/>
        </w:rPr>
        <w:t>.</w:t>
      </w:r>
      <w:r w:rsidRPr="00E26D38">
        <w:rPr>
          <w:rFonts w:eastAsia="Calibri" w:cs="Arial"/>
          <w:b/>
          <w:color w:val="17365D"/>
          <w:sz w:val="18"/>
          <w:szCs w:val="18"/>
          <w:lang w:eastAsia="en-US"/>
        </w:rPr>
        <w:tab/>
      </w:r>
      <w:r w:rsidRPr="00E26D38">
        <w:rPr>
          <w:rFonts w:eastAsia="Calibri" w:cs="Arial"/>
          <w:b/>
          <w:color w:val="244061"/>
          <w:sz w:val="18"/>
          <w:szCs w:val="18"/>
          <w:lang w:eastAsia="en-US"/>
        </w:rPr>
        <w:t xml:space="preserve">Rang lista </w:t>
      </w:r>
      <w:r w:rsidR="00CA6C5F" w:rsidRPr="00CA6C5F">
        <w:rPr>
          <w:rFonts w:eastAsia="Calibri" w:cs="Arial"/>
          <w:b/>
          <w:color w:val="244061"/>
          <w:sz w:val="18"/>
          <w:szCs w:val="18"/>
          <w:lang w:eastAsia="en-US"/>
        </w:rPr>
        <w:t xml:space="preserve">TOP 10 </w:t>
      </w:r>
      <w:r w:rsidRPr="00E26D38">
        <w:rPr>
          <w:rFonts w:eastAsia="Calibri" w:cs="Arial"/>
          <w:b/>
          <w:color w:val="244061"/>
          <w:sz w:val="18"/>
          <w:szCs w:val="18"/>
          <w:lang w:eastAsia="en-US"/>
        </w:rPr>
        <w:t>pod</w:t>
      </w:r>
      <w:r w:rsidR="0013382A">
        <w:rPr>
          <w:rFonts w:eastAsia="Calibri" w:cs="Arial"/>
          <w:b/>
          <w:color w:val="244061"/>
          <w:sz w:val="18"/>
          <w:szCs w:val="18"/>
          <w:lang w:eastAsia="en-US"/>
        </w:rPr>
        <w:t xml:space="preserve">uzetnika </w:t>
      </w:r>
      <w:r w:rsidRPr="00E26D38">
        <w:rPr>
          <w:rFonts w:eastAsia="Calibri" w:cs="Arial"/>
          <w:b/>
          <w:color w:val="244061"/>
          <w:sz w:val="18"/>
          <w:szCs w:val="18"/>
          <w:lang w:eastAsia="en-US"/>
        </w:rPr>
        <w:t xml:space="preserve">prema </w:t>
      </w:r>
      <w:r w:rsidR="00A6313D" w:rsidRPr="00A6313D">
        <w:rPr>
          <w:rFonts w:eastAsia="Calibri" w:cs="Arial"/>
          <w:b/>
          <w:color w:val="244061"/>
          <w:sz w:val="18"/>
          <w:szCs w:val="18"/>
          <w:u w:val="single"/>
          <w:lang w:eastAsia="en-US"/>
        </w:rPr>
        <w:t>DOBITI RAZDOBLJA</w:t>
      </w:r>
      <w:r w:rsidRPr="00E26D38">
        <w:rPr>
          <w:rFonts w:eastAsia="Calibri" w:cs="Arial"/>
          <w:b/>
          <w:color w:val="244061"/>
          <w:sz w:val="18"/>
          <w:szCs w:val="18"/>
          <w:lang w:eastAsia="en-US"/>
        </w:rPr>
        <w:t xml:space="preserve"> na razini U</w:t>
      </w:r>
      <w:r w:rsidR="001D08D5">
        <w:rPr>
          <w:rFonts w:eastAsia="Calibri" w:cs="Arial"/>
          <w:b/>
          <w:color w:val="244061"/>
          <w:sz w:val="18"/>
          <w:szCs w:val="18"/>
          <w:lang w:eastAsia="en-US"/>
        </w:rPr>
        <w:t>AR-a</w:t>
      </w:r>
      <w:r w:rsidRPr="00E26D38">
        <w:rPr>
          <w:rFonts w:eastAsia="Calibri" w:cs="Arial"/>
          <w:b/>
          <w:color w:val="244061"/>
          <w:sz w:val="18"/>
          <w:szCs w:val="18"/>
          <w:lang w:eastAsia="en-US"/>
        </w:rPr>
        <w:t xml:space="preserve"> u 201</w:t>
      </w:r>
      <w:r w:rsidR="006310AC">
        <w:rPr>
          <w:rFonts w:eastAsia="Calibri" w:cs="Arial"/>
          <w:b/>
          <w:color w:val="244061"/>
          <w:sz w:val="18"/>
          <w:szCs w:val="18"/>
          <w:lang w:eastAsia="en-US"/>
        </w:rPr>
        <w:t>9</w:t>
      </w:r>
      <w:r w:rsidRPr="00E26D38">
        <w:rPr>
          <w:rFonts w:eastAsia="Calibri" w:cs="Arial"/>
          <w:b/>
          <w:color w:val="244061"/>
          <w:sz w:val="18"/>
          <w:szCs w:val="18"/>
          <w:lang w:eastAsia="en-US"/>
        </w:rPr>
        <w:t>. g</w:t>
      </w:r>
      <w:r w:rsidR="001D08D5">
        <w:rPr>
          <w:rFonts w:eastAsia="Calibri" w:cs="Arial"/>
          <w:b/>
          <w:color w:val="244061"/>
          <w:sz w:val="18"/>
          <w:szCs w:val="18"/>
          <w:lang w:eastAsia="en-US"/>
        </w:rPr>
        <w:t>odini</w:t>
      </w:r>
    </w:p>
    <w:p w:rsidR="00E65163" w:rsidRPr="0013382A" w:rsidRDefault="00E65163" w:rsidP="001D08D5">
      <w:pPr>
        <w:widowControl w:val="0"/>
        <w:spacing w:before="0" w:after="0" w:line="240" w:lineRule="auto"/>
        <w:ind w:left="1134" w:hanging="1134"/>
        <w:jc w:val="right"/>
        <w:rPr>
          <w:rFonts w:eastAsia="Calibri" w:cs="Arial"/>
          <w:i/>
          <w:color w:val="244061"/>
          <w:sz w:val="16"/>
          <w:szCs w:val="18"/>
          <w:lang w:eastAsia="en-US"/>
        </w:rPr>
      </w:pPr>
      <w:r w:rsidRPr="0013382A">
        <w:rPr>
          <w:rFonts w:eastAsia="Calibri" w:cs="Arial"/>
          <w:i/>
          <w:color w:val="244061"/>
          <w:sz w:val="16"/>
          <w:szCs w:val="18"/>
          <w:lang w:eastAsia="en-US"/>
        </w:rPr>
        <w:t>(iznosi u tisućama kuna)</w:t>
      </w:r>
    </w:p>
    <w:tbl>
      <w:tblPr>
        <w:tblW w:w="9638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361"/>
        <w:gridCol w:w="3515"/>
        <w:gridCol w:w="850"/>
        <w:gridCol w:w="1134"/>
        <w:gridCol w:w="1134"/>
        <w:gridCol w:w="1077"/>
      </w:tblGrid>
      <w:tr w:rsidR="00E93CB6" w:rsidRPr="00483813" w:rsidTr="003F3D26">
        <w:trPr>
          <w:trHeight w:val="425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E65163" w:rsidRPr="00CA6C5F" w:rsidRDefault="00B27E68" w:rsidP="00173132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CA6C5F">
              <w:rPr>
                <w:rFonts w:eastAsia="Calibri" w:cs="Arial"/>
                <w:b/>
                <w:color w:val="FFFFFF" w:themeColor="background1"/>
                <w:sz w:val="16"/>
                <w:szCs w:val="16"/>
                <w:lang w:eastAsia="en-US"/>
              </w:rPr>
              <w:t>Rang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6A6A6" w:themeColor="background1" w:themeShade="A6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E65163" w:rsidRPr="00E93CB6" w:rsidRDefault="00E65163" w:rsidP="00173132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93CB6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OIB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6A6A6" w:themeColor="background1" w:themeShade="A6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E65163" w:rsidRPr="00E93CB6" w:rsidRDefault="00E65163" w:rsidP="00173132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93CB6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Naziv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6A6A6" w:themeColor="background1" w:themeShade="A6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E65163" w:rsidRPr="00E93CB6" w:rsidRDefault="00CA6C5F" w:rsidP="00173132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Sjedište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6A6A6" w:themeColor="background1" w:themeShade="A6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E65163" w:rsidRPr="00E93CB6" w:rsidRDefault="00E65163" w:rsidP="00173132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93CB6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Broj zaposlenih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6A6A6" w:themeColor="background1" w:themeShade="A6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E65163" w:rsidRPr="00E93CB6" w:rsidRDefault="00E65163" w:rsidP="00173132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93CB6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Ukupni prihod</w:t>
            </w:r>
            <w:r w:rsidR="003F3D26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i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E65163" w:rsidRPr="00E93CB6" w:rsidRDefault="00C40BEA" w:rsidP="00173132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93CB6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Dobit razdoblja</w:t>
            </w:r>
          </w:p>
        </w:tc>
      </w:tr>
      <w:tr w:rsidR="00C411EC" w:rsidRPr="00483813" w:rsidTr="00325D36">
        <w:trPr>
          <w:trHeight w:val="272"/>
          <w:jc w:val="center"/>
        </w:trPr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C411EC" w:rsidRPr="00E93CB6" w:rsidRDefault="00C411EC" w:rsidP="003F3D26">
            <w:pPr>
              <w:spacing w:before="0" w:after="0" w:line="240" w:lineRule="auto"/>
              <w:jc w:val="center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E93CB6">
              <w:rPr>
                <w:rFonts w:cs="Arial"/>
                <w:color w:val="17365D" w:themeColor="text2" w:themeShade="BF"/>
                <w:sz w:val="18"/>
                <w:szCs w:val="18"/>
              </w:rPr>
              <w:t>1.</w:t>
            </w:r>
          </w:p>
        </w:tc>
        <w:tc>
          <w:tcPr>
            <w:tcW w:w="13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C411EC" w:rsidRPr="00454C30" w:rsidRDefault="00C411EC" w:rsidP="0014596F">
            <w:pPr>
              <w:spacing w:before="0" w:after="0"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454C30">
              <w:rPr>
                <w:rFonts w:cs="Arial"/>
                <w:color w:val="17365D" w:themeColor="text2" w:themeShade="BF"/>
                <w:sz w:val="18"/>
                <w:szCs w:val="18"/>
              </w:rPr>
              <w:t>92510683607</w:t>
            </w:r>
          </w:p>
        </w:tc>
        <w:tc>
          <w:tcPr>
            <w:tcW w:w="35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C411EC" w:rsidRPr="00454C30" w:rsidRDefault="00C411EC" w:rsidP="00454C30">
            <w:pPr>
              <w:spacing w:before="0" w:after="0"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6310AC">
              <w:rPr>
                <w:rFonts w:cs="Arial"/>
                <w:sz w:val="18"/>
                <w:szCs w:val="18"/>
              </w:rPr>
              <w:t>PLODINE d.d.</w:t>
            </w: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C411EC" w:rsidRPr="00454C30" w:rsidRDefault="00C411EC" w:rsidP="00454C30">
            <w:pPr>
              <w:spacing w:before="0" w:after="0" w:line="240" w:lineRule="auto"/>
              <w:jc w:val="center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>
              <w:rPr>
                <w:rFonts w:cs="Arial"/>
                <w:color w:val="17365D" w:themeColor="text2" w:themeShade="BF"/>
                <w:sz w:val="18"/>
                <w:szCs w:val="18"/>
              </w:rPr>
              <w:t>Rijeka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C411EC" w:rsidRPr="00C411EC" w:rsidRDefault="00C411EC" w:rsidP="003F3D26">
            <w:pPr>
              <w:spacing w:before="0" w:after="0" w:line="240" w:lineRule="auto"/>
              <w:ind w:right="57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C411EC">
              <w:rPr>
                <w:rFonts w:cs="Arial"/>
                <w:color w:val="17365D" w:themeColor="text2" w:themeShade="BF"/>
                <w:sz w:val="18"/>
                <w:szCs w:val="18"/>
              </w:rPr>
              <w:t>3.381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C411EC" w:rsidRPr="00C411EC" w:rsidRDefault="00C411EC" w:rsidP="003F3D26">
            <w:pPr>
              <w:spacing w:before="0" w:after="0" w:line="240" w:lineRule="auto"/>
              <w:ind w:right="57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C411EC">
              <w:rPr>
                <w:rFonts w:cs="Arial"/>
                <w:color w:val="17365D" w:themeColor="text2" w:themeShade="BF"/>
                <w:sz w:val="18"/>
                <w:szCs w:val="18"/>
              </w:rPr>
              <w:t>4.372.543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noWrap/>
            <w:vAlign w:val="center"/>
          </w:tcPr>
          <w:p w:rsidR="00C411EC" w:rsidRPr="003F3D26" w:rsidRDefault="00C411EC" w:rsidP="003F3D26">
            <w:pPr>
              <w:spacing w:before="0" w:after="0" w:line="240" w:lineRule="auto"/>
              <w:ind w:right="57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3F3D26">
              <w:rPr>
                <w:rFonts w:cs="Arial"/>
                <w:color w:val="17365D" w:themeColor="text2" w:themeShade="BF"/>
                <w:sz w:val="18"/>
                <w:szCs w:val="18"/>
              </w:rPr>
              <w:t>133.054</w:t>
            </w:r>
          </w:p>
        </w:tc>
      </w:tr>
      <w:tr w:rsidR="00C411EC" w:rsidRPr="00483813" w:rsidTr="00325D36">
        <w:trPr>
          <w:trHeight w:val="272"/>
          <w:jc w:val="center"/>
        </w:trPr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C411EC" w:rsidRPr="00E93CB6" w:rsidRDefault="00C411EC" w:rsidP="003F3D26">
            <w:pPr>
              <w:spacing w:before="0" w:after="0" w:line="240" w:lineRule="auto"/>
              <w:jc w:val="center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E93CB6">
              <w:rPr>
                <w:rFonts w:cs="Arial"/>
                <w:color w:val="17365D" w:themeColor="text2" w:themeShade="BF"/>
                <w:sz w:val="18"/>
                <w:szCs w:val="18"/>
              </w:rPr>
              <w:t>2.</w:t>
            </w:r>
          </w:p>
        </w:tc>
        <w:tc>
          <w:tcPr>
            <w:tcW w:w="13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C411EC" w:rsidRPr="00C411EC" w:rsidRDefault="00C411EC" w:rsidP="00C411EC">
            <w:pPr>
              <w:spacing w:before="0" w:after="0"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C411EC">
              <w:rPr>
                <w:rFonts w:cs="Arial"/>
                <w:color w:val="17365D" w:themeColor="text2" w:themeShade="BF"/>
                <w:sz w:val="18"/>
                <w:szCs w:val="18"/>
              </w:rPr>
              <w:t>20950636972</w:t>
            </w:r>
          </w:p>
        </w:tc>
        <w:tc>
          <w:tcPr>
            <w:tcW w:w="35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C411EC" w:rsidRPr="00C411EC" w:rsidRDefault="00C411EC" w:rsidP="00035BB1">
            <w:pPr>
              <w:spacing w:before="0" w:after="0"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C411EC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JGL </w:t>
            </w:r>
            <w:r w:rsidR="00035BB1">
              <w:rPr>
                <w:rFonts w:cs="Arial"/>
                <w:color w:val="17365D" w:themeColor="text2" w:themeShade="BF"/>
                <w:sz w:val="18"/>
                <w:szCs w:val="18"/>
              </w:rPr>
              <w:t>d.d.</w:t>
            </w: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C411EC" w:rsidRPr="00C411EC" w:rsidRDefault="00C411EC" w:rsidP="00035BB1">
            <w:pPr>
              <w:spacing w:before="0" w:after="0" w:line="240" w:lineRule="auto"/>
              <w:jc w:val="center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C411EC">
              <w:rPr>
                <w:rFonts w:cs="Arial"/>
                <w:color w:val="17365D" w:themeColor="text2" w:themeShade="BF"/>
                <w:sz w:val="18"/>
                <w:szCs w:val="18"/>
              </w:rPr>
              <w:t>Rijeka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C411EC" w:rsidRPr="00C411EC" w:rsidRDefault="00C411EC" w:rsidP="003F3D26">
            <w:pPr>
              <w:spacing w:before="0" w:after="0" w:line="240" w:lineRule="auto"/>
              <w:ind w:right="57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C411EC">
              <w:rPr>
                <w:rFonts w:cs="Arial"/>
                <w:color w:val="17365D" w:themeColor="text2" w:themeShade="BF"/>
                <w:sz w:val="18"/>
                <w:szCs w:val="18"/>
              </w:rPr>
              <w:t>510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C411EC" w:rsidRPr="00C411EC" w:rsidRDefault="00C411EC" w:rsidP="003F3D26">
            <w:pPr>
              <w:spacing w:before="0" w:after="0" w:line="240" w:lineRule="auto"/>
              <w:ind w:right="57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C411EC">
              <w:rPr>
                <w:rFonts w:cs="Arial"/>
                <w:color w:val="17365D" w:themeColor="text2" w:themeShade="BF"/>
                <w:sz w:val="18"/>
                <w:szCs w:val="18"/>
              </w:rPr>
              <w:t>575.915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noWrap/>
            <w:vAlign w:val="center"/>
          </w:tcPr>
          <w:p w:rsidR="00C411EC" w:rsidRPr="003F3D26" w:rsidRDefault="00C411EC" w:rsidP="003F3D26">
            <w:pPr>
              <w:spacing w:before="0" w:after="0" w:line="240" w:lineRule="auto"/>
              <w:ind w:right="57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3F3D26">
              <w:rPr>
                <w:rFonts w:cs="Arial"/>
                <w:color w:val="17365D" w:themeColor="text2" w:themeShade="BF"/>
                <w:sz w:val="18"/>
                <w:szCs w:val="18"/>
              </w:rPr>
              <w:t>77.877</w:t>
            </w:r>
          </w:p>
        </w:tc>
      </w:tr>
      <w:tr w:rsidR="00035BB1" w:rsidRPr="00483813" w:rsidTr="00325D36">
        <w:trPr>
          <w:trHeight w:val="272"/>
          <w:jc w:val="center"/>
        </w:trPr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035BB1" w:rsidRPr="00E93CB6" w:rsidRDefault="00035BB1" w:rsidP="003F3D26">
            <w:pPr>
              <w:spacing w:before="0" w:after="0" w:line="240" w:lineRule="auto"/>
              <w:jc w:val="center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E93CB6">
              <w:rPr>
                <w:rFonts w:cs="Arial"/>
                <w:color w:val="17365D" w:themeColor="text2" w:themeShade="BF"/>
                <w:sz w:val="18"/>
                <w:szCs w:val="18"/>
              </w:rPr>
              <w:t>3.</w:t>
            </w:r>
          </w:p>
        </w:tc>
        <w:tc>
          <w:tcPr>
            <w:tcW w:w="13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035BB1" w:rsidRPr="00035BB1" w:rsidRDefault="00035BB1" w:rsidP="00035BB1">
            <w:pPr>
              <w:spacing w:before="0" w:after="0"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035BB1">
              <w:rPr>
                <w:rFonts w:cs="Arial"/>
                <w:color w:val="17365D" w:themeColor="text2" w:themeShade="BF"/>
                <w:sz w:val="18"/>
                <w:szCs w:val="18"/>
              </w:rPr>
              <w:t>80300395055</w:t>
            </w:r>
          </w:p>
        </w:tc>
        <w:tc>
          <w:tcPr>
            <w:tcW w:w="35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035BB1" w:rsidRPr="00035BB1" w:rsidRDefault="00035BB1" w:rsidP="00035BB1">
            <w:pPr>
              <w:spacing w:before="0" w:after="0"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035BB1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JADRANSKA VRATA </w:t>
            </w:r>
            <w:r>
              <w:rPr>
                <w:rFonts w:cs="Arial"/>
                <w:color w:val="17365D" w:themeColor="text2" w:themeShade="BF"/>
                <w:sz w:val="18"/>
                <w:szCs w:val="18"/>
              </w:rPr>
              <w:t>d.d.</w:t>
            </w: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035BB1" w:rsidRPr="00035BB1" w:rsidRDefault="00035BB1" w:rsidP="00035BB1">
            <w:pPr>
              <w:spacing w:before="0" w:after="0" w:line="240" w:lineRule="auto"/>
              <w:jc w:val="center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035BB1">
              <w:rPr>
                <w:rFonts w:cs="Arial"/>
                <w:color w:val="17365D" w:themeColor="text2" w:themeShade="BF"/>
                <w:sz w:val="18"/>
                <w:szCs w:val="18"/>
              </w:rPr>
              <w:t>Rijeka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035BB1" w:rsidRPr="00035BB1" w:rsidRDefault="00035BB1" w:rsidP="003F3D26">
            <w:pPr>
              <w:spacing w:before="0" w:after="0" w:line="240" w:lineRule="auto"/>
              <w:ind w:right="57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035BB1">
              <w:rPr>
                <w:rFonts w:cs="Arial"/>
                <w:color w:val="17365D" w:themeColor="text2" w:themeShade="BF"/>
                <w:sz w:val="18"/>
                <w:szCs w:val="18"/>
              </w:rPr>
              <w:t>181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035BB1" w:rsidRPr="00035BB1" w:rsidRDefault="00035BB1" w:rsidP="003F3D26">
            <w:pPr>
              <w:spacing w:before="0" w:after="0" w:line="240" w:lineRule="auto"/>
              <w:ind w:right="57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035BB1">
              <w:rPr>
                <w:rFonts w:cs="Arial"/>
                <w:color w:val="17365D" w:themeColor="text2" w:themeShade="BF"/>
                <w:sz w:val="18"/>
                <w:szCs w:val="18"/>
              </w:rPr>
              <w:t>143.200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noWrap/>
            <w:vAlign w:val="center"/>
          </w:tcPr>
          <w:p w:rsidR="00035BB1" w:rsidRPr="003F3D26" w:rsidRDefault="00035BB1" w:rsidP="003F3D26">
            <w:pPr>
              <w:spacing w:before="0" w:after="0" w:line="240" w:lineRule="auto"/>
              <w:ind w:right="57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3F3D26">
              <w:rPr>
                <w:rFonts w:cs="Arial"/>
                <w:color w:val="17365D" w:themeColor="text2" w:themeShade="BF"/>
                <w:sz w:val="18"/>
                <w:szCs w:val="18"/>
              </w:rPr>
              <w:t>35.853</w:t>
            </w:r>
          </w:p>
        </w:tc>
      </w:tr>
      <w:tr w:rsidR="00035BB1" w:rsidRPr="00483813" w:rsidTr="00325D36">
        <w:trPr>
          <w:trHeight w:val="272"/>
          <w:jc w:val="center"/>
        </w:trPr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035BB1" w:rsidRPr="00E93CB6" w:rsidRDefault="00035BB1" w:rsidP="003F3D26">
            <w:pPr>
              <w:spacing w:before="0" w:after="0" w:line="240" w:lineRule="auto"/>
              <w:jc w:val="center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E93CB6">
              <w:rPr>
                <w:rFonts w:cs="Arial"/>
                <w:color w:val="17365D" w:themeColor="text2" w:themeShade="BF"/>
                <w:sz w:val="18"/>
                <w:szCs w:val="18"/>
              </w:rPr>
              <w:t>4.</w:t>
            </w:r>
          </w:p>
        </w:tc>
        <w:tc>
          <w:tcPr>
            <w:tcW w:w="13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035BB1" w:rsidRPr="00035BB1" w:rsidRDefault="00035BB1" w:rsidP="00035BB1">
            <w:pPr>
              <w:spacing w:before="0" w:after="0"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035BB1">
              <w:rPr>
                <w:rFonts w:cs="Arial"/>
                <w:color w:val="17365D" w:themeColor="text2" w:themeShade="BF"/>
                <w:sz w:val="18"/>
                <w:szCs w:val="18"/>
              </w:rPr>
              <w:t>17195049659</w:t>
            </w:r>
          </w:p>
        </w:tc>
        <w:tc>
          <w:tcPr>
            <w:tcW w:w="35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035BB1" w:rsidRPr="00035BB1" w:rsidRDefault="00035BB1" w:rsidP="00035BB1">
            <w:pPr>
              <w:spacing w:before="0" w:after="0"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035BB1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ACI </w:t>
            </w:r>
            <w:r>
              <w:rPr>
                <w:rFonts w:cs="Arial"/>
                <w:color w:val="17365D" w:themeColor="text2" w:themeShade="BF"/>
                <w:sz w:val="18"/>
                <w:szCs w:val="18"/>
              </w:rPr>
              <w:t>d.d.</w:t>
            </w: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035BB1" w:rsidRPr="00035BB1" w:rsidRDefault="00035BB1" w:rsidP="00035BB1">
            <w:pPr>
              <w:spacing w:before="0" w:after="0" w:line="240" w:lineRule="auto"/>
              <w:jc w:val="center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035BB1">
              <w:rPr>
                <w:rFonts w:cs="Arial"/>
                <w:color w:val="17365D" w:themeColor="text2" w:themeShade="BF"/>
                <w:sz w:val="18"/>
                <w:szCs w:val="18"/>
              </w:rPr>
              <w:t>Rijeka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035BB1" w:rsidRPr="00035BB1" w:rsidRDefault="00035BB1" w:rsidP="003F3D26">
            <w:pPr>
              <w:spacing w:before="0" w:after="0" w:line="240" w:lineRule="auto"/>
              <w:ind w:right="57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035BB1">
              <w:rPr>
                <w:rFonts w:cs="Arial"/>
                <w:color w:val="17365D" w:themeColor="text2" w:themeShade="BF"/>
                <w:sz w:val="18"/>
                <w:szCs w:val="18"/>
              </w:rPr>
              <w:t>358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035BB1" w:rsidRPr="00035BB1" w:rsidRDefault="00035BB1" w:rsidP="003F3D26">
            <w:pPr>
              <w:spacing w:before="0" w:after="0" w:line="240" w:lineRule="auto"/>
              <w:ind w:right="57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035BB1">
              <w:rPr>
                <w:rFonts w:cs="Arial"/>
                <w:color w:val="17365D" w:themeColor="text2" w:themeShade="BF"/>
                <w:sz w:val="18"/>
                <w:szCs w:val="18"/>
              </w:rPr>
              <w:t>237.439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noWrap/>
            <w:vAlign w:val="center"/>
          </w:tcPr>
          <w:p w:rsidR="00035BB1" w:rsidRPr="003F3D26" w:rsidRDefault="00035BB1" w:rsidP="003F3D26">
            <w:pPr>
              <w:spacing w:before="0" w:after="0" w:line="240" w:lineRule="auto"/>
              <w:ind w:right="57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3F3D26">
              <w:rPr>
                <w:rFonts w:cs="Arial"/>
                <w:color w:val="17365D" w:themeColor="text2" w:themeShade="BF"/>
                <w:sz w:val="18"/>
                <w:szCs w:val="18"/>
              </w:rPr>
              <w:t>31.842</w:t>
            </w:r>
          </w:p>
        </w:tc>
      </w:tr>
      <w:tr w:rsidR="00035BB1" w:rsidRPr="00483813" w:rsidTr="00325D36">
        <w:trPr>
          <w:trHeight w:val="272"/>
          <w:jc w:val="center"/>
        </w:trPr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035BB1" w:rsidRPr="00E93CB6" w:rsidRDefault="00035BB1" w:rsidP="003F3D26">
            <w:pPr>
              <w:spacing w:before="0" w:after="0" w:line="240" w:lineRule="auto"/>
              <w:jc w:val="center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E93CB6">
              <w:rPr>
                <w:rFonts w:cs="Arial"/>
                <w:color w:val="17365D" w:themeColor="text2" w:themeShade="BF"/>
                <w:sz w:val="18"/>
                <w:szCs w:val="18"/>
              </w:rPr>
              <w:t>5.</w:t>
            </w:r>
          </w:p>
        </w:tc>
        <w:tc>
          <w:tcPr>
            <w:tcW w:w="13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035BB1" w:rsidRPr="00035BB1" w:rsidRDefault="00035BB1" w:rsidP="00035BB1">
            <w:pPr>
              <w:spacing w:before="0" w:after="0"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035BB1">
              <w:rPr>
                <w:rFonts w:cs="Arial"/>
                <w:color w:val="17365D" w:themeColor="text2" w:themeShade="BF"/>
                <w:sz w:val="18"/>
                <w:szCs w:val="18"/>
              </w:rPr>
              <w:t>28922587775</w:t>
            </w:r>
          </w:p>
        </w:tc>
        <w:tc>
          <w:tcPr>
            <w:tcW w:w="35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035BB1" w:rsidRPr="00035BB1" w:rsidRDefault="00035BB1" w:rsidP="00035BB1">
            <w:pPr>
              <w:spacing w:before="0" w:after="0"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035BB1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KATARINA LINE </w:t>
            </w:r>
            <w:r>
              <w:rPr>
                <w:rFonts w:cs="Arial"/>
                <w:color w:val="17365D" w:themeColor="text2" w:themeShade="BF"/>
                <w:sz w:val="18"/>
                <w:szCs w:val="18"/>
              </w:rPr>
              <w:t>d.o.o.</w:t>
            </w: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035BB1" w:rsidRPr="00035BB1" w:rsidRDefault="00035BB1" w:rsidP="00035BB1">
            <w:pPr>
              <w:spacing w:before="0" w:after="0" w:line="240" w:lineRule="auto"/>
              <w:jc w:val="center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035BB1">
              <w:rPr>
                <w:rFonts w:cs="Arial"/>
                <w:color w:val="17365D" w:themeColor="text2" w:themeShade="BF"/>
                <w:sz w:val="18"/>
                <w:szCs w:val="18"/>
              </w:rPr>
              <w:t>Opatija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035BB1" w:rsidRPr="00035BB1" w:rsidRDefault="00035BB1" w:rsidP="003F3D26">
            <w:pPr>
              <w:spacing w:before="0" w:after="0" w:line="240" w:lineRule="auto"/>
              <w:ind w:right="57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035BB1">
              <w:rPr>
                <w:rFonts w:cs="Arial"/>
                <w:color w:val="17365D" w:themeColor="text2" w:themeShade="BF"/>
                <w:sz w:val="18"/>
                <w:szCs w:val="18"/>
              </w:rPr>
              <w:t>57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035BB1" w:rsidRPr="00035BB1" w:rsidRDefault="00035BB1" w:rsidP="003F3D26">
            <w:pPr>
              <w:spacing w:before="0" w:after="0" w:line="240" w:lineRule="auto"/>
              <w:ind w:right="57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035BB1">
              <w:rPr>
                <w:rFonts w:cs="Arial"/>
                <w:color w:val="17365D" w:themeColor="text2" w:themeShade="BF"/>
                <w:sz w:val="18"/>
                <w:szCs w:val="18"/>
              </w:rPr>
              <w:t>281.178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noWrap/>
            <w:vAlign w:val="center"/>
          </w:tcPr>
          <w:p w:rsidR="00035BB1" w:rsidRPr="003F3D26" w:rsidRDefault="00035BB1" w:rsidP="003F3D26">
            <w:pPr>
              <w:spacing w:before="0" w:after="0" w:line="240" w:lineRule="auto"/>
              <w:ind w:right="57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3F3D26">
              <w:rPr>
                <w:rFonts w:cs="Arial"/>
                <w:color w:val="17365D" w:themeColor="text2" w:themeShade="BF"/>
                <w:sz w:val="18"/>
                <w:szCs w:val="18"/>
              </w:rPr>
              <w:t>27.773</w:t>
            </w:r>
          </w:p>
        </w:tc>
      </w:tr>
      <w:tr w:rsidR="00035BB1" w:rsidRPr="00483813" w:rsidTr="00325D36">
        <w:trPr>
          <w:trHeight w:val="272"/>
          <w:jc w:val="center"/>
        </w:trPr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035BB1" w:rsidRPr="00E93CB6" w:rsidRDefault="00035BB1" w:rsidP="003F3D26">
            <w:pPr>
              <w:spacing w:before="0" w:after="0" w:line="240" w:lineRule="auto"/>
              <w:jc w:val="center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E93CB6">
              <w:rPr>
                <w:rFonts w:cs="Arial"/>
                <w:color w:val="17365D" w:themeColor="text2" w:themeShade="BF"/>
                <w:sz w:val="18"/>
                <w:szCs w:val="18"/>
              </w:rPr>
              <w:t>6.</w:t>
            </w:r>
          </w:p>
        </w:tc>
        <w:tc>
          <w:tcPr>
            <w:tcW w:w="13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035BB1" w:rsidRPr="00035BB1" w:rsidRDefault="00035BB1" w:rsidP="00035BB1">
            <w:pPr>
              <w:spacing w:before="0" w:after="0"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035BB1">
              <w:rPr>
                <w:rFonts w:cs="Arial"/>
                <w:color w:val="17365D" w:themeColor="text2" w:themeShade="BF"/>
                <w:sz w:val="18"/>
                <w:szCs w:val="18"/>
              </w:rPr>
              <w:t>96120180349</w:t>
            </w:r>
          </w:p>
        </w:tc>
        <w:tc>
          <w:tcPr>
            <w:tcW w:w="35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035BB1" w:rsidRPr="00035BB1" w:rsidRDefault="00035BB1" w:rsidP="00035BB1">
            <w:pPr>
              <w:spacing w:before="0" w:after="0"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035BB1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GIOMAX </w:t>
            </w:r>
            <w:r>
              <w:rPr>
                <w:rFonts w:cs="Arial"/>
                <w:color w:val="17365D" w:themeColor="text2" w:themeShade="BF"/>
                <w:sz w:val="18"/>
                <w:szCs w:val="18"/>
              </w:rPr>
              <w:t>d.o.o.</w:t>
            </w: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035BB1" w:rsidRPr="00035BB1" w:rsidRDefault="00035BB1" w:rsidP="00035BB1">
            <w:pPr>
              <w:spacing w:before="0" w:after="0" w:line="240" w:lineRule="auto"/>
              <w:jc w:val="center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035BB1">
              <w:rPr>
                <w:rFonts w:cs="Arial"/>
                <w:color w:val="17365D" w:themeColor="text2" w:themeShade="BF"/>
                <w:sz w:val="18"/>
                <w:szCs w:val="18"/>
              </w:rPr>
              <w:t>Rijeka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035BB1" w:rsidRPr="00035BB1" w:rsidRDefault="00035BB1" w:rsidP="003F3D26">
            <w:pPr>
              <w:spacing w:before="0" w:after="0" w:line="240" w:lineRule="auto"/>
              <w:ind w:right="57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035BB1">
              <w:rPr>
                <w:rFonts w:cs="Arial"/>
                <w:color w:val="17365D" w:themeColor="text2" w:themeShade="BF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035BB1" w:rsidRPr="00035BB1" w:rsidRDefault="00035BB1" w:rsidP="003F3D26">
            <w:pPr>
              <w:spacing w:before="0" w:after="0" w:line="240" w:lineRule="auto"/>
              <w:ind w:right="57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035BB1">
              <w:rPr>
                <w:rFonts w:cs="Arial"/>
                <w:color w:val="17365D" w:themeColor="text2" w:themeShade="BF"/>
                <w:sz w:val="18"/>
                <w:szCs w:val="18"/>
              </w:rPr>
              <w:t>70.704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noWrap/>
            <w:vAlign w:val="center"/>
          </w:tcPr>
          <w:p w:rsidR="00035BB1" w:rsidRPr="003F3D26" w:rsidRDefault="00035BB1" w:rsidP="003F3D26">
            <w:pPr>
              <w:spacing w:before="0" w:after="0" w:line="240" w:lineRule="auto"/>
              <w:ind w:right="57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3F3D26">
              <w:rPr>
                <w:rFonts w:cs="Arial"/>
                <w:color w:val="17365D" w:themeColor="text2" w:themeShade="BF"/>
                <w:sz w:val="18"/>
                <w:szCs w:val="18"/>
              </w:rPr>
              <w:t>22.965</w:t>
            </w:r>
          </w:p>
        </w:tc>
      </w:tr>
      <w:tr w:rsidR="00035BB1" w:rsidRPr="00483813" w:rsidTr="00325D36">
        <w:trPr>
          <w:trHeight w:val="272"/>
          <w:jc w:val="center"/>
        </w:trPr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035BB1" w:rsidRPr="00E93CB6" w:rsidRDefault="00035BB1" w:rsidP="003F3D26">
            <w:pPr>
              <w:spacing w:before="0" w:after="0" w:line="240" w:lineRule="auto"/>
              <w:jc w:val="center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E93CB6">
              <w:rPr>
                <w:rFonts w:cs="Arial"/>
                <w:color w:val="17365D" w:themeColor="text2" w:themeShade="BF"/>
                <w:sz w:val="18"/>
                <w:szCs w:val="18"/>
              </w:rPr>
              <w:t>7.</w:t>
            </w:r>
          </w:p>
        </w:tc>
        <w:tc>
          <w:tcPr>
            <w:tcW w:w="13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035BB1" w:rsidRPr="00035BB1" w:rsidRDefault="00035BB1" w:rsidP="00035BB1">
            <w:pPr>
              <w:spacing w:before="0" w:after="0"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035BB1">
              <w:rPr>
                <w:rFonts w:cs="Arial"/>
                <w:color w:val="17365D" w:themeColor="text2" w:themeShade="BF"/>
                <w:sz w:val="18"/>
                <w:szCs w:val="18"/>
              </w:rPr>
              <w:t>27531244647</w:t>
            </w:r>
          </w:p>
        </w:tc>
        <w:tc>
          <w:tcPr>
            <w:tcW w:w="35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035BB1" w:rsidRPr="00035BB1" w:rsidRDefault="00035BB1" w:rsidP="00035BB1">
            <w:pPr>
              <w:spacing w:before="0" w:after="0"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035BB1">
              <w:rPr>
                <w:rFonts w:cs="Arial"/>
                <w:color w:val="17365D" w:themeColor="text2" w:themeShade="BF"/>
                <w:sz w:val="18"/>
                <w:szCs w:val="18"/>
              </w:rPr>
              <w:t>BRODOGRADILIŠTE V</w:t>
            </w:r>
            <w:r>
              <w:rPr>
                <w:rFonts w:cs="Arial"/>
                <w:color w:val="17365D" w:themeColor="text2" w:themeShade="BF"/>
                <w:sz w:val="18"/>
                <w:szCs w:val="18"/>
              </w:rPr>
              <w:t>.</w:t>
            </w:r>
            <w:r w:rsidRPr="00035BB1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 LENAC </w:t>
            </w:r>
            <w:r>
              <w:rPr>
                <w:rFonts w:cs="Arial"/>
                <w:color w:val="17365D" w:themeColor="text2" w:themeShade="BF"/>
                <w:sz w:val="18"/>
                <w:szCs w:val="18"/>
              </w:rPr>
              <w:t>d.d.</w:t>
            </w: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035BB1" w:rsidRPr="00035BB1" w:rsidRDefault="00035BB1" w:rsidP="00035BB1">
            <w:pPr>
              <w:spacing w:before="0" w:after="0" w:line="240" w:lineRule="auto"/>
              <w:jc w:val="center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035BB1">
              <w:rPr>
                <w:rFonts w:cs="Arial"/>
                <w:color w:val="17365D" w:themeColor="text2" w:themeShade="BF"/>
                <w:sz w:val="18"/>
                <w:szCs w:val="18"/>
              </w:rPr>
              <w:t>Rijeka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035BB1" w:rsidRPr="00035BB1" w:rsidRDefault="00035BB1" w:rsidP="003F3D26">
            <w:pPr>
              <w:spacing w:before="0" w:after="0" w:line="240" w:lineRule="auto"/>
              <w:ind w:right="57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035BB1">
              <w:rPr>
                <w:rFonts w:cs="Arial"/>
                <w:color w:val="17365D" w:themeColor="text2" w:themeShade="BF"/>
                <w:sz w:val="18"/>
                <w:szCs w:val="18"/>
              </w:rPr>
              <w:t>431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035BB1" w:rsidRPr="00035BB1" w:rsidRDefault="00035BB1" w:rsidP="003F3D26">
            <w:pPr>
              <w:spacing w:before="0" w:after="0" w:line="240" w:lineRule="auto"/>
              <w:ind w:right="57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035BB1">
              <w:rPr>
                <w:rFonts w:cs="Arial"/>
                <w:color w:val="17365D" w:themeColor="text2" w:themeShade="BF"/>
                <w:sz w:val="18"/>
                <w:szCs w:val="18"/>
              </w:rPr>
              <w:t>319.810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noWrap/>
            <w:vAlign w:val="center"/>
          </w:tcPr>
          <w:p w:rsidR="00035BB1" w:rsidRPr="003F3D26" w:rsidRDefault="00035BB1" w:rsidP="003F3D26">
            <w:pPr>
              <w:spacing w:before="0" w:after="0" w:line="240" w:lineRule="auto"/>
              <w:ind w:right="57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3F3D26">
              <w:rPr>
                <w:rFonts w:cs="Arial"/>
                <w:color w:val="17365D" w:themeColor="text2" w:themeShade="BF"/>
                <w:sz w:val="18"/>
                <w:szCs w:val="18"/>
              </w:rPr>
              <w:t>20.838</w:t>
            </w:r>
          </w:p>
        </w:tc>
      </w:tr>
      <w:tr w:rsidR="00035BB1" w:rsidRPr="00483813" w:rsidTr="00325D36">
        <w:trPr>
          <w:trHeight w:val="272"/>
          <w:jc w:val="center"/>
        </w:trPr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035BB1" w:rsidRPr="00E93CB6" w:rsidRDefault="00035BB1" w:rsidP="003F3D26">
            <w:pPr>
              <w:spacing w:before="0" w:after="0" w:line="240" w:lineRule="auto"/>
              <w:jc w:val="center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E93CB6">
              <w:rPr>
                <w:rFonts w:cs="Arial"/>
                <w:color w:val="17365D" w:themeColor="text2" w:themeShade="BF"/>
                <w:sz w:val="18"/>
                <w:szCs w:val="18"/>
              </w:rPr>
              <w:t>8.</w:t>
            </w:r>
          </w:p>
        </w:tc>
        <w:tc>
          <w:tcPr>
            <w:tcW w:w="13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035BB1" w:rsidRPr="00035BB1" w:rsidRDefault="00035BB1" w:rsidP="00035BB1">
            <w:pPr>
              <w:spacing w:before="0" w:after="0"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035BB1">
              <w:rPr>
                <w:rFonts w:cs="Arial"/>
                <w:color w:val="17365D" w:themeColor="text2" w:themeShade="BF"/>
                <w:sz w:val="18"/>
                <w:szCs w:val="18"/>
              </w:rPr>
              <w:t>57260863791</w:t>
            </w:r>
          </w:p>
        </w:tc>
        <w:tc>
          <w:tcPr>
            <w:tcW w:w="35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035BB1" w:rsidRPr="00035BB1" w:rsidRDefault="00035BB1" w:rsidP="00035BB1">
            <w:pPr>
              <w:spacing w:before="0" w:after="0"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035BB1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POLIKLINIKA RIDENT </w:t>
            </w:r>
            <w:r>
              <w:rPr>
                <w:rFonts w:cs="Arial"/>
                <w:color w:val="17365D" w:themeColor="text2" w:themeShade="BF"/>
                <w:sz w:val="18"/>
                <w:szCs w:val="18"/>
              </w:rPr>
              <w:t>d.o.o.</w:t>
            </w: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035BB1" w:rsidRPr="00035BB1" w:rsidRDefault="00035BB1" w:rsidP="00035BB1">
            <w:pPr>
              <w:spacing w:before="0" w:after="0" w:line="240" w:lineRule="auto"/>
              <w:jc w:val="center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035BB1">
              <w:rPr>
                <w:rFonts w:cs="Arial"/>
                <w:color w:val="17365D" w:themeColor="text2" w:themeShade="BF"/>
                <w:sz w:val="18"/>
                <w:szCs w:val="18"/>
              </w:rPr>
              <w:t>Rijeka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035BB1" w:rsidRPr="00035BB1" w:rsidRDefault="00035BB1" w:rsidP="003F3D26">
            <w:pPr>
              <w:spacing w:before="0" w:after="0" w:line="240" w:lineRule="auto"/>
              <w:ind w:right="57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035BB1">
              <w:rPr>
                <w:rFonts w:cs="Arial"/>
                <w:color w:val="17365D" w:themeColor="text2" w:themeShade="BF"/>
                <w:sz w:val="18"/>
                <w:szCs w:val="18"/>
              </w:rPr>
              <w:t>188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035BB1" w:rsidRPr="00035BB1" w:rsidRDefault="00035BB1" w:rsidP="003F3D26">
            <w:pPr>
              <w:spacing w:before="0" w:after="0" w:line="240" w:lineRule="auto"/>
              <w:ind w:right="57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035BB1">
              <w:rPr>
                <w:rFonts w:cs="Arial"/>
                <w:color w:val="17365D" w:themeColor="text2" w:themeShade="BF"/>
                <w:sz w:val="18"/>
                <w:szCs w:val="18"/>
              </w:rPr>
              <w:t>134.285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noWrap/>
            <w:vAlign w:val="center"/>
          </w:tcPr>
          <w:p w:rsidR="00035BB1" w:rsidRPr="003F3D26" w:rsidRDefault="00035BB1" w:rsidP="003F3D26">
            <w:pPr>
              <w:spacing w:before="0" w:after="0" w:line="240" w:lineRule="auto"/>
              <w:ind w:right="57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3F3D26">
              <w:rPr>
                <w:rFonts w:cs="Arial"/>
                <w:color w:val="17365D" w:themeColor="text2" w:themeShade="BF"/>
                <w:sz w:val="18"/>
                <w:szCs w:val="18"/>
              </w:rPr>
              <w:t>19.967</w:t>
            </w:r>
          </w:p>
        </w:tc>
      </w:tr>
      <w:tr w:rsidR="00035BB1" w:rsidRPr="00483813" w:rsidTr="00325D36">
        <w:trPr>
          <w:trHeight w:val="272"/>
          <w:jc w:val="center"/>
        </w:trPr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035BB1" w:rsidRPr="00E93CB6" w:rsidRDefault="00035BB1" w:rsidP="003F3D26">
            <w:pPr>
              <w:spacing w:before="0" w:after="0" w:line="240" w:lineRule="auto"/>
              <w:jc w:val="center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E93CB6">
              <w:rPr>
                <w:rFonts w:cs="Arial"/>
                <w:color w:val="17365D" w:themeColor="text2" w:themeShade="BF"/>
                <w:sz w:val="18"/>
                <w:szCs w:val="18"/>
              </w:rPr>
              <w:t>9.</w:t>
            </w:r>
          </w:p>
        </w:tc>
        <w:tc>
          <w:tcPr>
            <w:tcW w:w="13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035BB1" w:rsidRPr="00035BB1" w:rsidRDefault="00035BB1" w:rsidP="00035BB1">
            <w:pPr>
              <w:spacing w:before="0" w:after="0"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035BB1">
              <w:rPr>
                <w:rFonts w:cs="Arial"/>
                <w:color w:val="17365D" w:themeColor="text2" w:themeShade="BF"/>
                <w:sz w:val="18"/>
                <w:szCs w:val="18"/>
              </w:rPr>
              <w:t>45522650856</w:t>
            </w:r>
          </w:p>
        </w:tc>
        <w:tc>
          <w:tcPr>
            <w:tcW w:w="35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035BB1" w:rsidRPr="00035BB1" w:rsidRDefault="00035BB1" w:rsidP="00035BB1">
            <w:pPr>
              <w:spacing w:before="0" w:after="0"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035BB1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MONTELEKTRO </w:t>
            </w:r>
            <w:r>
              <w:rPr>
                <w:rFonts w:cs="Arial"/>
                <w:color w:val="17365D" w:themeColor="text2" w:themeShade="BF"/>
                <w:sz w:val="18"/>
                <w:szCs w:val="18"/>
              </w:rPr>
              <w:t>d.o.o.</w:t>
            </w: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035BB1" w:rsidRPr="00035BB1" w:rsidRDefault="00035BB1" w:rsidP="00035BB1">
            <w:pPr>
              <w:spacing w:before="0" w:after="0" w:line="240" w:lineRule="auto"/>
              <w:jc w:val="center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035BB1">
              <w:rPr>
                <w:rFonts w:cs="Arial"/>
                <w:color w:val="17365D" w:themeColor="text2" w:themeShade="BF"/>
                <w:sz w:val="18"/>
                <w:szCs w:val="18"/>
              </w:rPr>
              <w:t>Kastav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035BB1" w:rsidRPr="00035BB1" w:rsidRDefault="00035BB1" w:rsidP="003F3D26">
            <w:pPr>
              <w:spacing w:before="0" w:after="0" w:line="240" w:lineRule="auto"/>
              <w:ind w:right="57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035BB1">
              <w:rPr>
                <w:rFonts w:cs="Arial"/>
                <w:color w:val="17365D" w:themeColor="text2" w:themeShade="BF"/>
                <w:sz w:val="18"/>
                <w:szCs w:val="18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035BB1" w:rsidRPr="00035BB1" w:rsidRDefault="00035BB1" w:rsidP="003F3D26">
            <w:pPr>
              <w:spacing w:before="0" w:after="0" w:line="240" w:lineRule="auto"/>
              <w:ind w:right="57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035BB1">
              <w:rPr>
                <w:rFonts w:cs="Arial"/>
                <w:color w:val="17365D" w:themeColor="text2" w:themeShade="BF"/>
                <w:sz w:val="18"/>
                <w:szCs w:val="18"/>
              </w:rPr>
              <w:t>209.475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noWrap/>
            <w:vAlign w:val="center"/>
          </w:tcPr>
          <w:p w:rsidR="00035BB1" w:rsidRPr="003F3D26" w:rsidRDefault="00035BB1" w:rsidP="003F3D26">
            <w:pPr>
              <w:spacing w:before="0" w:after="0" w:line="240" w:lineRule="auto"/>
              <w:ind w:right="57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3F3D26">
              <w:rPr>
                <w:rFonts w:cs="Arial"/>
                <w:color w:val="17365D" w:themeColor="text2" w:themeShade="BF"/>
                <w:sz w:val="18"/>
                <w:szCs w:val="18"/>
              </w:rPr>
              <w:t>18.677</w:t>
            </w:r>
          </w:p>
        </w:tc>
      </w:tr>
      <w:tr w:rsidR="00035BB1" w:rsidRPr="00483813" w:rsidTr="00325D36">
        <w:trPr>
          <w:trHeight w:val="272"/>
          <w:jc w:val="center"/>
        </w:trPr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FFFFFF" w:themeColor="background1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035BB1" w:rsidRPr="00E93CB6" w:rsidRDefault="00035BB1" w:rsidP="003F3D26">
            <w:pPr>
              <w:spacing w:before="0" w:after="0" w:line="240" w:lineRule="auto"/>
              <w:jc w:val="center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E93CB6">
              <w:rPr>
                <w:rFonts w:cs="Arial"/>
                <w:color w:val="17365D" w:themeColor="text2" w:themeShade="BF"/>
                <w:sz w:val="18"/>
                <w:szCs w:val="18"/>
              </w:rPr>
              <w:t>10.</w:t>
            </w:r>
          </w:p>
        </w:tc>
        <w:tc>
          <w:tcPr>
            <w:tcW w:w="13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FFFFFF" w:themeColor="background1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035BB1" w:rsidRPr="00035BB1" w:rsidRDefault="00035BB1" w:rsidP="00035BB1">
            <w:pPr>
              <w:spacing w:before="0" w:after="0"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035BB1">
              <w:rPr>
                <w:rFonts w:cs="Arial"/>
                <w:color w:val="17365D" w:themeColor="text2" w:themeShade="BF"/>
                <w:sz w:val="18"/>
                <w:szCs w:val="18"/>
              </w:rPr>
              <w:t>35346133565</w:t>
            </w:r>
          </w:p>
        </w:tc>
        <w:tc>
          <w:tcPr>
            <w:tcW w:w="35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FFFFFF" w:themeColor="background1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035BB1" w:rsidRPr="00035BB1" w:rsidRDefault="00035BB1" w:rsidP="00035BB1">
            <w:pPr>
              <w:spacing w:before="0" w:after="0"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035BB1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BRODOKOMERC NOVA </w:t>
            </w:r>
            <w:r>
              <w:rPr>
                <w:rFonts w:cs="Arial"/>
                <w:color w:val="17365D" w:themeColor="text2" w:themeShade="BF"/>
                <w:sz w:val="18"/>
                <w:szCs w:val="18"/>
              </w:rPr>
              <w:t>d.o.o.</w:t>
            </w: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FFFFFF" w:themeColor="background1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035BB1" w:rsidRPr="00035BB1" w:rsidRDefault="00035BB1" w:rsidP="00035BB1">
            <w:pPr>
              <w:spacing w:before="0" w:after="0" w:line="240" w:lineRule="auto"/>
              <w:jc w:val="center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035BB1">
              <w:rPr>
                <w:rFonts w:cs="Arial"/>
                <w:color w:val="17365D" w:themeColor="text2" w:themeShade="BF"/>
                <w:sz w:val="18"/>
                <w:szCs w:val="18"/>
              </w:rPr>
              <w:t>Rijeka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FFFFFF" w:themeColor="background1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035BB1" w:rsidRPr="00035BB1" w:rsidRDefault="00035BB1" w:rsidP="003F3D26">
            <w:pPr>
              <w:spacing w:before="0" w:after="0" w:line="240" w:lineRule="auto"/>
              <w:ind w:right="57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035BB1">
              <w:rPr>
                <w:rFonts w:cs="Arial"/>
                <w:color w:val="17365D" w:themeColor="text2" w:themeShade="BF"/>
                <w:sz w:val="18"/>
                <w:szCs w:val="18"/>
              </w:rPr>
              <w:t>430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035BB1" w:rsidRPr="00035BB1" w:rsidRDefault="00035BB1" w:rsidP="003F3D26">
            <w:pPr>
              <w:spacing w:before="0" w:after="0" w:line="240" w:lineRule="auto"/>
              <w:ind w:right="57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035BB1">
              <w:rPr>
                <w:rFonts w:cs="Arial"/>
                <w:color w:val="17365D" w:themeColor="text2" w:themeShade="BF"/>
                <w:sz w:val="18"/>
                <w:szCs w:val="18"/>
              </w:rPr>
              <w:t>215.833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noWrap/>
            <w:vAlign w:val="center"/>
          </w:tcPr>
          <w:p w:rsidR="00035BB1" w:rsidRPr="003F3D26" w:rsidRDefault="00035BB1" w:rsidP="003F3D26">
            <w:pPr>
              <w:spacing w:before="0" w:after="0" w:line="240" w:lineRule="auto"/>
              <w:ind w:right="57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3F3D26">
              <w:rPr>
                <w:rFonts w:cs="Arial"/>
                <w:color w:val="17365D" w:themeColor="text2" w:themeShade="BF"/>
                <w:sz w:val="18"/>
                <w:szCs w:val="18"/>
              </w:rPr>
              <w:t>17.115</w:t>
            </w:r>
          </w:p>
        </w:tc>
      </w:tr>
      <w:tr w:rsidR="00035BB1" w:rsidRPr="00483813" w:rsidTr="00325D36">
        <w:trPr>
          <w:trHeight w:val="272"/>
          <w:jc w:val="center"/>
        </w:trPr>
        <w:tc>
          <w:tcPr>
            <w:tcW w:w="6293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35BB1" w:rsidRPr="00E93CB6" w:rsidRDefault="00035BB1" w:rsidP="00173132">
            <w:pPr>
              <w:spacing w:before="0" w:after="0" w:line="240" w:lineRule="auto"/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</w:pPr>
            <w:r w:rsidRPr="00E93CB6"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  <w:t>Ukupno TOP 10 poduzetnika Urbane aglomeracije Rijeka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035BB1" w:rsidRPr="00454C30" w:rsidRDefault="00035BB1" w:rsidP="003F3D26">
            <w:pPr>
              <w:spacing w:before="0" w:after="0" w:line="240" w:lineRule="auto"/>
              <w:ind w:right="57"/>
              <w:jc w:val="right"/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  <w:t>5.697</w:t>
            </w:r>
            <w:r w:rsidRPr="00454C30"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035BB1" w:rsidRPr="00035BB1" w:rsidRDefault="00035BB1" w:rsidP="003F3D26">
            <w:pPr>
              <w:spacing w:before="0" w:after="0" w:line="240" w:lineRule="auto"/>
              <w:ind w:right="57"/>
              <w:jc w:val="right"/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</w:pPr>
            <w:r w:rsidRPr="00035BB1"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  <w:t>6.560.383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035BB1" w:rsidRPr="00035BB1" w:rsidRDefault="00035BB1" w:rsidP="003F3D26">
            <w:pPr>
              <w:spacing w:before="0" w:after="0" w:line="240" w:lineRule="auto"/>
              <w:ind w:right="57"/>
              <w:jc w:val="right"/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</w:pPr>
            <w:r w:rsidRPr="00035BB1"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  <w:t>405.961</w:t>
            </w:r>
          </w:p>
        </w:tc>
      </w:tr>
      <w:tr w:rsidR="00035BB1" w:rsidRPr="00483813" w:rsidTr="00325D36">
        <w:trPr>
          <w:trHeight w:val="272"/>
          <w:jc w:val="center"/>
        </w:trPr>
        <w:tc>
          <w:tcPr>
            <w:tcW w:w="6293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35BB1" w:rsidRPr="00E93CB6" w:rsidRDefault="00035BB1" w:rsidP="00173132">
            <w:pPr>
              <w:spacing w:before="0" w:after="0" w:line="240" w:lineRule="auto"/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</w:pPr>
            <w:r w:rsidRPr="00E93CB6"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  <w:t>Ukupno</w:t>
            </w:r>
            <w:r w:rsidR="008C1434"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  <w:t xml:space="preserve"> SVI</w:t>
            </w:r>
            <w:r w:rsidRPr="00E93CB6"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  <w:t xml:space="preserve"> poduzetnici Urbane aglomeracije Rijeka</w:t>
            </w:r>
            <w:r w:rsidR="008C1434"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  <w:t xml:space="preserve"> (7.691)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035BB1" w:rsidRPr="00E93CB6" w:rsidRDefault="00035BB1" w:rsidP="003F3D26">
            <w:pPr>
              <w:spacing w:before="0" w:after="0" w:line="240" w:lineRule="auto"/>
              <w:ind w:right="57"/>
              <w:jc w:val="right"/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</w:pPr>
            <w:r w:rsidRPr="00035BB1"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  <w:t>42.726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035BB1" w:rsidRPr="00035BB1" w:rsidRDefault="00035BB1" w:rsidP="003F3D26">
            <w:pPr>
              <w:spacing w:before="0" w:after="0" w:line="240" w:lineRule="auto"/>
              <w:ind w:right="57"/>
              <w:jc w:val="right"/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</w:pPr>
            <w:r w:rsidRPr="00035BB1"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  <w:t>27.715.579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035BB1" w:rsidRPr="00035BB1" w:rsidRDefault="00035BB1" w:rsidP="003F3D26">
            <w:pPr>
              <w:spacing w:before="0" w:after="0" w:line="240" w:lineRule="auto"/>
              <w:ind w:right="57"/>
              <w:jc w:val="right"/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</w:pPr>
            <w:r w:rsidRPr="00035BB1"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  <w:t>1.574.483</w:t>
            </w:r>
          </w:p>
        </w:tc>
      </w:tr>
    </w:tbl>
    <w:p w:rsidR="004003B8" w:rsidRDefault="004003B8" w:rsidP="004003B8">
      <w:pPr>
        <w:spacing w:before="40" w:line="240" w:lineRule="auto"/>
        <w:rPr>
          <w:bCs/>
          <w:i/>
          <w:color w:val="17365D"/>
          <w:sz w:val="16"/>
          <w:szCs w:val="18"/>
        </w:rPr>
      </w:pPr>
      <w:r w:rsidRPr="00A77A2F">
        <w:rPr>
          <w:bCs/>
          <w:i/>
          <w:color w:val="17365D"/>
          <w:sz w:val="16"/>
          <w:szCs w:val="18"/>
        </w:rPr>
        <w:t>Izvor: Fina, Registar godišnjih financijskih izvještaja, obrada GFI-a za 201</w:t>
      </w:r>
      <w:r>
        <w:rPr>
          <w:bCs/>
          <w:i/>
          <w:color w:val="17365D"/>
          <w:sz w:val="16"/>
          <w:szCs w:val="18"/>
        </w:rPr>
        <w:t>9</w:t>
      </w:r>
      <w:r w:rsidRPr="00A77A2F">
        <w:rPr>
          <w:bCs/>
          <w:i/>
          <w:color w:val="17365D"/>
          <w:sz w:val="16"/>
          <w:szCs w:val="18"/>
        </w:rPr>
        <w:t>. godinu</w:t>
      </w:r>
    </w:p>
    <w:p w:rsidR="00626754" w:rsidRDefault="00E65163" w:rsidP="00A61214">
      <w:pPr>
        <w:widowControl w:val="0"/>
        <w:spacing w:before="180" w:after="0"/>
        <w:rPr>
          <w:rFonts w:eastAsia="Calibri" w:cs="Arial"/>
          <w:color w:val="17365D" w:themeColor="text2" w:themeShade="BF"/>
          <w:sz w:val="20"/>
          <w:lang w:eastAsia="en-US"/>
        </w:rPr>
      </w:pPr>
      <w:r w:rsidRPr="00A0196D">
        <w:rPr>
          <w:rFonts w:eastAsia="Calibri" w:cs="Arial"/>
          <w:b/>
          <w:color w:val="17365D" w:themeColor="text2" w:themeShade="BF"/>
          <w:sz w:val="20"/>
          <w:lang w:eastAsia="en-US"/>
        </w:rPr>
        <w:t>TOP 10 poduzetnika</w:t>
      </w:r>
      <w:r w:rsidRPr="00A0196D">
        <w:rPr>
          <w:rFonts w:eastAsia="Calibri" w:cs="Arial"/>
          <w:color w:val="17365D" w:themeColor="text2" w:themeShade="BF"/>
          <w:sz w:val="20"/>
          <w:lang w:eastAsia="en-US"/>
        </w:rPr>
        <w:t xml:space="preserve"> </w:t>
      </w:r>
      <w:r w:rsidR="008B1071" w:rsidRPr="008B1071">
        <w:rPr>
          <w:rFonts w:eastAsia="Calibri" w:cs="Arial"/>
          <w:color w:val="17365D" w:themeColor="text2" w:themeShade="BF"/>
          <w:sz w:val="20"/>
          <w:lang w:eastAsia="en-US"/>
        </w:rPr>
        <w:t>prema dobiti razdoblja</w:t>
      </w:r>
      <w:r w:rsidR="008B1071">
        <w:rPr>
          <w:rFonts w:eastAsia="Calibri" w:cs="Arial"/>
          <w:color w:val="17365D" w:themeColor="text2" w:themeShade="BF"/>
          <w:sz w:val="20"/>
          <w:lang w:eastAsia="en-US"/>
        </w:rPr>
        <w:t>,</w:t>
      </w:r>
      <w:r w:rsidR="008B1071" w:rsidRPr="008B1071">
        <w:rPr>
          <w:rFonts w:eastAsia="Calibri" w:cs="Arial"/>
          <w:color w:val="17365D" w:themeColor="text2" w:themeShade="BF"/>
          <w:sz w:val="20"/>
          <w:lang w:eastAsia="en-US"/>
        </w:rPr>
        <w:t xml:space="preserve"> </w:t>
      </w:r>
      <w:r w:rsidR="00080961" w:rsidRPr="00A0196D">
        <w:rPr>
          <w:rFonts w:eastAsia="Calibri" w:cs="Arial"/>
          <w:color w:val="17365D" w:themeColor="text2" w:themeShade="BF"/>
          <w:sz w:val="20"/>
          <w:lang w:eastAsia="en-US"/>
        </w:rPr>
        <w:t xml:space="preserve">čije je sjedište u jednom od gradova/općina </w:t>
      </w:r>
      <w:r w:rsidR="00325D36">
        <w:rPr>
          <w:rFonts w:eastAsia="Calibri" w:cs="Arial"/>
          <w:color w:val="17365D" w:themeColor="text2" w:themeShade="BF"/>
          <w:sz w:val="20"/>
          <w:lang w:eastAsia="en-US"/>
        </w:rPr>
        <w:t>UAR-a</w:t>
      </w:r>
      <w:r w:rsidR="00C82B9B" w:rsidRPr="00A0196D">
        <w:rPr>
          <w:rFonts w:eastAsia="Calibri" w:cs="Arial"/>
          <w:color w:val="17365D" w:themeColor="text2" w:themeShade="BF"/>
          <w:sz w:val="20"/>
          <w:lang w:eastAsia="en-US"/>
        </w:rPr>
        <w:t>,</w:t>
      </w:r>
      <w:r w:rsidRPr="00A0196D">
        <w:rPr>
          <w:rFonts w:eastAsia="Calibri" w:cs="Arial"/>
          <w:color w:val="17365D" w:themeColor="text2" w:themeShade="BF"/>
          <w:sz w:val="20"/>
          <w:lang w:eastAsia="en-US"/>
        </w:rPr>
        <w:t xml:space="preserve"> u 201</w:t>
      </w:r>
      <w:r w:rsidR="006310AC" w:rsidRPr="00A0196D">
        <w:rPr>
          <w:rFonts w:eastAsia="Calibri" w:cs="Arial"/>
          <w:color w:val="17365D" w:themeColor="text2" w:themeShade="BF"/>
          <w:sz w:val="20"/>
          <w:lang w:eastAsia="en-US"/>
        </w:rPr>
        <w:t>9</w:t>
      </w:r>
      <w:r w:rsidRPr="00A0196D">
        <w:rPr>
          <w:rFonts w:eastAsia="Calibri" w:cs="Arial"/>
          <w:color w:val="17365D" w:themeColor="text2" w:themeShade="BF"/>
          <w:sz w:val="20"/>
          <w:lang w:eastAsia="en-US"/>
        </w:rPr>
        <w:t xml:space="preserve">. </w:t>
      </w:r>
      <w:r w:rsidR="00080961" w:rsidRPr="00A0196D">
        <w:rPr>
          <w:rFonts w:eastAsia="Calibri" w:cs="Arial"/>
          <w:color w:val="17365D" w:themeColor="text2" w:themeShade="BF"/>
          <w:sz w:val="20"/>
          <w:lang w:eastAsia="en-US"/>
        </w:rPr>
        <w:t>g</w:t>
      </w:r>
      <w:r w:rsidRPr="00A0196D">
        <w:rPr>
          <w:rFonts w:eastAsia="Calibri" w:cs="Arial"/>
          <w:color w:val="17365D" w:themeColor="text2" w:themeShade="BF"/>
          <w:sz w:val="20"/>
          <w:lang w:eastAsia="en-US"/>
        </w:rPr>
        <w:t>odini</w:t>
      </w:r>
      <w:r w:rsidR="00080961" w:rsidRPr="00A0196D">
        <w:rPr>
          <w:rFonts w:eastAsia="Calibri" w:cs="Arial"/>
          <w:color w:val="17365D" w:themeColor="text2" w:themeShade="BF"/>
          <w:sz w:val="20"/>
          <w:lang w:eastAsia="en-US"/>
        </w:rPr>
        <w:t xml:space="preserve"> </w:t>
      </w:r>
      <w:r w:rsidR="0063676D" w:rsidRPr="00A0196D">
        <w:rPr>
          <w:rFonts w:eastAsia="Calibri" w:cs="Arial"/>
          <w:color w:val="17365D" w:themeColor="text2" w:themeShade="BF"/>
          <w:sz w:val="20"/>
          <w:lang w:eastAsia="en-US"/>
        </w:rPr>
        <w:t>imali su</w:t>
      </w:r>
      <w:r w:rsidR="007F0DF9" w:rsidRPr="00A0196D">
        <w:rPr>
          <w:rFonts w:eastAsia="Calibri" w:cs="Arial"/>
          <w:color w:val="17365D" w:themeColor="text2" w:themeShade="BF"/>
          <w:sz w:val="20"/>
          <w:lang w:eastAsia="en-US"/>
        </w:rPr>
        <w:t xml:space="preserve"> </w:t>
      </w:r>
      <w:r w:rsidR="00954F76" w:rsidRPr="00A0196D">
        <w:rPr>
          <w:rFonts w:eastAsia="Calibri" w:cs="Arial"/>
          <w:color w:val="17365D" w:themeColor="text2" w:themeShade="BF"/>
          <w:sz w:val="20"/>
          <w:lang w:eastAsia="en-US"/>
        </w:rPr>
        <w:t>5.697</w:t>
      </w:r>
      <w:r w:rsidR="008472D5" w:rsidRPr="00A0196D">
        <w:rPr>
          <w:rFonts w:eastAsia="Calibri" w:cs="Arial"/>
          <w:color w:val="17365D" w:themeColor="text2" w:themeShade="BF"/>
          <w:sz w:val="20"/>
          <w:lang w:eastAsia="en-US"/>
        </w:rPr>
        <w:t xml:space="preserve"> </w:t>
      </w:r>
      <w:r w:rsidR="007F0DF9" w:rsidRPr="00A0196D">
        <w:rPr>
          <w:rFonts w:eastAsia="Calibri" w:cs="Arial"/>
          <w:color w:val="17365D" w:themeColor="text2" w:themeShade="BF"/>
          <w:sz w:val="20"/>
          <w:lang w:eastAsia="en-US"/>
        </w:rPr>
        <w:t xml:space="preserve">zaposlenih </w:t>
      </w:r>
      <w:r w:rsidR="0063676D" w:rsidRPr="00A0196D">
        <w:rPr>
          <w:rFonts w:eastAsia="Calibri" w:cs="Arial"/>
          <w:color w:val="17365D" w:themeColor="text2" w:themeShade="BF"/>
          <w:sz w:val="20"/>
          <w:lang w:eastAsia="en-US"/>
        </w:rPr>
        <w:t xml:space="preserve">što je </w:t>
      </w:r>
      <w:r w:rsidR="00325D36">
        <w:rPr>
          <w:rFonts w:eastAsia="Calibri" w:cs="Arial"/>
          <w:color w:val="17365D" w:themeColor="text2" w:themeShade="BF"/>
          <w:sz w:val="20"/>
          <w:lang w:eastAsia="en-US"/>
        </w:rPr>
        <w:t xml:space="preserve">udio od </w:t>
      </w:r>
      <w:r w:rsidR="00954F76" w:rsidRPr="00A0196D">
        <w:rPr>
          <w:rFonts w:eastAsia="Calibri" w:cs="Arial"/>
          <w:color w:val="17365D" w:themeColor="text2" w:themeShade="BF"/>
          <w:sz w:val="20"/>
          <w:lang w:eastAsia="en-US"/>
        </w:rPr>
        <w:t>13,3</w:t>
      </w:r>
      <w:r w:rsidR="007F0DF9" w:rsidRPr="00A0196D">
        <w:rPr>
          <w:rFonts w:eastAsia="Calibri" w:cs="Arial"/>
          <w:color w:val="17365D" w:themeColor="text2" w:themeShade="BF"/>
          <w:sz w:val="20"/>
          <w:lang w:eastAsia="en-US"/>
        </w:rPr>
        <w:t xml:space="preserve">% </w:t>
      </w:r>
      <w:r w:rsidR="00325D36">
        <w:rPr>
          <w:rFonts w:eastAsia="Calibri" w:cs="Arial"/>
          <w:color w:val="17365D" w:themeColor="text2" w:themeShade="BF"/>
          <w:sz w:val="20"/>
          <w:lang w:eastAsia="en-US"/>
        </w:rPr>
        <w:t>u</w:t>
      </w:r>
      <w:r w:rsidR="007F0DF9" w:rsidRPr="00A0196D">
        <w:rPr>
          <w:rFonts w:eastAsia="Calibri" w:cs="Arial"/>
          <w:color w:val="17365D" w:themeColor="text2" w:themeShade="BF"/>
          <w:sz w:val="20"/>
          <w:lang w:eastAsia="en-US"/>
        </w:rPr>
        <w:t xml:space="preserve"> broj</w:t>
      </w:r>
      <w:r w:rsidR="0063676D" w:rsidRPr="00A0196D">
        <w:rPr>
          <w:rFonts w:eastAsia="Calibri" w:cs="Arial"/>
          <w:color w:val="17365D" w:themeColor="text2" w:themeShade="BF"/>
          <w:sz w:val="20"/>
          <w:lang w:eastAsia="en-US"/>
        </w:rPr>
        <w:t>u</w:t>
      </w:r>
      <w:r w:rsidR="007F0DF9" w:rsidRPr="00A0196D">
        <w:rPr>
          <w:rFonts w:eastAsia="Calibri" w:cs="Arial"/>
          <w:color w:val="17365D" w:themeColor="text2" w:themeShade="BF"/>
          <w:sz w:val="20"/>
          <w:lang w:eastAsia="en-US"/>
        </w:rPr>
        <w:t xml:space="preserve"> zaposlenih kod poduzetnika U</w:t>
      </w:r>
      <w:r w:rsidR="00325D36">
        <w:rPr>
          <w:rFonts w:eastAsia="Calibri" w:cs="Arial"/>
          <w:color w:val="17365D" w:themeColor="text2" w:themeShade="BF"/>
          <w:sz w:val="20"/>
          <w:lang w:eastAsia="en-US"/>
        </w:rPr>
        <w:t>AR-a</w:t>
      </w:r>
      <w:r w:rsidR="007F0DF9" w:rsidRPr="00A0196D">
        <w:rPr>
          <w:rFonts w:eastAsia="Calibri" w:cs="Arial"/>
          <w:color w:val="17365D" w:themeColor="text2" w:themeShade="BF"/>
          <w:sz w:val="20"/>
          <w:lang w:eastAsia="en-US"/>
        </w:rPr>
        <w:t>,</w:t>
      </w:r>
      <w:r w:rsidRPr="00A0196D">
        <w:rPr>
          <w:rFonts w:eastAsia="Calibri" w:cs="Arial"/>
          <w:color w:val="17365D" w:themeColor="text2" w:themeShade="BF"/>
          <w:sz w:val="20"/>
          <w:lang w:eastAsia="en-US"/>
        </w:rPr>
        <w:t xml:space="preserve"> ostvarili su </w:t>
      </w:r>
      <w:r w:rsidR="0020405E" w:rsidRPr="00A0196D">
        <w:rPr>
          <w:rFonts w:eastAsia="Calibri" w:cs="Arial"/>
          <w:color w:val="17365D" w:themeColor="text2" w:themeShade="BF"/>
          <w:sz w:val="20"/>
          <w:lang w:eastAsia="en-US"/>
        </w:rPr>
        <w:t>ukup</w:t>
      </w:r>
      <w:r w:rsidR="00325D36">
        <w:rPr>
          <w:rFonts w:eastAsia="Calibri" w:cs="Arial"/>
          <w:color w:val="17365D" w:themeColor="text2" w:themeShade="BF"/>
          <w:sz w:val="20"/>
          <w:lang w:eastAsia="en-US"/>
        </w:rPr>
        <w:t>ne</w:t>
      </w:r>
      <w:r w:rsidR="0020405E" w:rsidRPr="00A0196D">
        <w:rPr>
          <w:rFonts w:eastAsia="Calibri" w:cs="Arial"/>
          <w:color w:val="17365D" w:themeColor="text2" w:themeShade="BF"/>
          <w:sz w:val="20"/>
          <w:lang w:eastAsia="en-US"/>
        </w:rPr>
        <w:t xml:space="preserve"> prihod</w:t>
      </w:r>
      <w:r w:rsidR="00325D36">
        <w:rPr>
          <w:rFonts w:eastAsia="Calibri" w:cs="Arial"/>
          <w:color w:val="17365D" w:themeColor="text2" w:themeShade="BF"/>
          <w:sz w:val="20"/>
          <w:lang w:eastAsia="en-US"/>
        </w:rPr>
        <w:t>e</w:t>
      </w:r>
      <w:r w:rsidR="0020405E" w:rsidRPr="00A0196D">
        <w:rPr>
          <w:rFonts w:eastAsia="Calibri" w:cs="Arial"/>
          <w:color w:val="17365D" w:themeColor="text2" w:themeShade="BF"/>
          <w:sz w:val="20"/>
          <w:lang w:eastAsia="en-US"/>
        </w:rPr>
        <w:t xml:space="preserve"> u iznosu od </w:t>
      </w:r>
      <w:r w:rsidR="005E23E6" w:rsidRPr="00A0196D">
        <w:rPr>
          <w:rFonts w:eastAsia="Calibri" w:cs="Arial"/>
          <w:color w:val="17365D" w:themeColor="text2" w:themeShade="BF"/>
          <w:sz w:val="20"/>
          <w:lang w:eastAsia="en-US"/>
        </w:rPr>
        <w:t>6,</w:t>
      </w:r>
      <w:proofErr w:type="spellStart"/>
      <w:r w:rsidR="00954F76" w:rsidRPr="00A0196D">
        <w:rPr>
          <w:rFonts w:eastAsia="Calibri" w:cs="Arial"/>
          <w:color w:val="17365D" w:themeColor="text2" w:themeShade="BF"/>
          <w:sz w:val="20"/>
          <w:lang w:eastAsia="en-US"/>
        </w:rPr>
        <w:t>6</w:t>
      </w:r>
      <w:proofErr w:type="spellEnd"/>
      <w:r w:rsidR="0020405E" w:rsidRPr="00A0196D">
        <w:rPr>
          <w:rFonts w:eastAsia="Calibri" w:cs="Arial"/>
          <w:color w:val="17365D" w:themeColor="text2" w:themeShade="BF"/>
          <w:sz w:val="20"/>
          <w:lang w:eastAsia="en-US"/>
        </w:rPr>
        <w:t xml:space="preserve"> milijard</w:t>
      </w:r>
      <w:r w:rsidR="005E23E6" w:rsidRPr="00A0196D">
        <w:rPr>
          <w:rFonts w:eastAsia="Calibri" w:cs="Arial"/>
          <w:color w:val="17365D" w:themeColor="text2" w:themeShade="BF"/>
          <w:sz w:val="20"/>
          <w:lang w:eastAsia="en-US"/>
        </w:rPr>
        <w:t>i</w:t>
      </w:r>
      <w:r w:rsidR="0020405E" w:rsidRPr="00A0196D">
        <w:rPr>
          <w:rFonts w:eastAsia="Calibri" w:cs="Arial"/>
          <w:color w:val="17365D" w:themeColor="text2" w:themeShade="BF"/>
          <w:sz w:val="20"/>
          <w:lang w:eastAsia="en-US"/>
        </w:rPr>
        <w:t xml:space="preserve"> kuna ili </w:t>
      </w:r>
      <w:r w:rsidR="00325D36">
        <w:rPr>
          <w:rFonts w:eastAsia="Calibri" w:cs="Arial"/>
          <w:color w:val="17365D" w:themeColor="text2" w:themeShade="BF"/>
          <w:sz w:val="20"/>
          <w:lang w:eastAsia="en-US"/>
        </w:rPr>
        <w:t xml:space="preserve">udio od </w:t>
      </w:r>
      <w:r w:rsidR="00954F76" w:rsidRPr="00A0196D">
        <w:rPr>
          <w:rFonts w:eastAsia="Calibri" w:cs="Arial"/>
          <w:color w:val="17365D" w:themeColor="text2" w:themeShade="BF"/>
          <w:sz w:val="20"/>
          <w:lang w:eastAsia="en-US"/>
        </w:rPr>
        <w:t>23,</w:t>
      </w:r>
      <w:r w:rsidR="006A6DA7">
        <w:rPr>
          <w:rFonts w:eastAsia="Calibri" w:cs="Arial"/>
          <w:color w:val="17365D" w:themeColor="text2" w:themeShade="BF"/>
          <w:sz w:val="20"/>
          <w:lang w:eastAsia="en-US"/>
        </w:rPr>
        <w:t>7</w:t>
      </w:r>
      <w:r w:rsidR="0020405E" w:rsidRPr="00A0196D">
        <w:rPr>
          <w:rFonts w:eastAsia="Calibri" w:cs="Arial"/>
          <w:color w:val="17365D" w:themeColor="text2" w:themeShade="BF"/>
          <w:sz w:val="20"/>
          <w:lang w:eastAsia="en-US"/>
        </w:rPr>
        <w:t xml:space="preserve">% </w:t>
      </w:r>
      <w:r w:rsidR="00325D36">
        <w:rPr>
          <w:rFonts w:eastAsia="Calibri" w:cs="Arial"/>
          <w:color w:val="17365D" w:themeColor="text2" w:themeShade="BF"/>
          <w:sz w:val="20"/>
          <w:lang w:eastAsia="en-US"/>
        </w:rPr>
        <w:t xml:space="preserve">u </w:t>
      </w:r>
      <w:r w:rsidR="007F0DF9" w:rsidRPr="00A0196D">
        <w:rPr>
          <w:rFonts w:eastAsia="Calibri" w:cs="Arial"/>
          <w:color w:val="17365D" w:themeColor="text2" w:themeShade="BF"/>
          <w:sz w:val="20"/>
          <w:lang w:eastAsia="en-US"/>
        </w:rPr>
        <w:t>ukupn</w:t>
      </w:r>
      <w:r w:rsidR="00325D36">
        <w:rPr>
          <w:rFonts w:eastAsia="Calibri" w:cs="Arial"/>
          <w:color w:val="17365D" w:themeColor="text2" w:themeShade="BF"/>
          <w:sz w:val="20"/>
          <w:lang w:eastAsia="en-US"/>
        </w:rPr>
        <w:t>im</w:t>
      </w:r>
      <w:r w:rsidR="007F0DF9" w:rsidRPr="00A0196D">
        <w:rPr>
          <w:rFonts w:eastAsia="Calibri" w:cs="Arial"/>
          <w:color w:val="17365D" w:themeColor="text2" w:themeShade="BF"/>
          <w:sz w:val="20"/>
          <w:lang w:eastAsia="en-US"/>
        </w:rPr>
        <w:t xml:space="preserve"> </w:t>
      </w:r>
      <w:r w:rsidR="0020405E" w:rsidRPr="00A0196D">
        <w:rPr>
          <w:rFonts w:eastAsia="Calibri" w:cs="Arial"/>
          <w:color w:val="17365D" w:themeColor="text2" w:themeShade="BF"/>
          <w:sz w:val="20"/>
          <w:lang w:eastAsia="en-US"/>
        </w:rPr>
        <w:t>prihod</w:t>
      </w:r>
      <w:r w:rsidR="00325D36">
        <w:rPr>
          <w:rFonts w:eastAsia="Calibri" w:cs="Arial"/>
          <w:color w:val="17365D" w:themeColor="text2" w:themeShade="BF"/>
          <w:sz w:val="20"/>
          <w:lang w:eastAsia="en-US"/>
        </w:rPr>
        <w:t>im</w:t>
      </w:r>
      <w:r w:rsidR="0020405E" w:rsidRPr="00A0196D">
        <w:rPr>
          <w:rFonts w:eastAsia="Calibri" w:cs="Arial"/>
          <w:color w:val="17365D" w:themeColor="text2" w:themeShade="BF"/>
          <w:sz w:val="20"/>
          <w:lang w:eastAsia="en-US"/>
        </w:rPr>
        <w:t xml:space="preserve">a </w:t>
      </w:r>
      <w:r w:rsidR="007F0DF9" w:rsidRPr="00A0196D">
        <w:rPr>
          <w:rFonts w:eastAsia="Calibri" w:cs="Arial"/>
          <w:color w:val="17365D" w:themeColor="text2" w:themeShade="BF"/>
          <w:sz w:val="20"/>
          <w:lang w:eastAsia="en-US"/>
        </w:rPr>
        <w:t>p</w:t>
      </w:r>
      <w:r w:rsidR="0020405E" w:rsidRPr="00A0196D">
        <w:rPr>
          <w:rFonts w:eastAsia="Calibri" w:cs="Arial"/>
          <w:color w:val="17365D" w:themeColor="text2" w:themeShade="BF"/>
          <w:sz w:val="20"/>
          <w:lang w:eastAsia="en-US"/>
        </w:rPr>
        <w:t>oduzetnika U</w:t>
      </w:r>
      <w:r w:rsidR="00325D36">
        <w:rPr>
          <w:rFonts w:eastAsia="Calibri" w:cs="Arial"/>
          <w:color w:val="17365D" w:themeColor="text2" w:themeShade="BF"/>
          <w:sz w:val="20"/>
          <w:lang w:eastAsia="en-US"/>
        </w:rPr>
        <w:t>AR-a</w:t>
      </w:r>
      <w:r w:rsidR="0020405E" w:rsidRPr="00A0196D">
        <w:rPr>
          <w:rFonts w:eastAsia="Calibri" w:cs="Arial"/>
          <w:color w:val="17365D" w:themeColor="text2" w:themeShade="BF"/>
          <w:sz w:val="20"/>
          <w:lang w:eastAsia="en-US"/>
        </w:rPr>
        <w:t xml:space="preserve"> te </w:t>
      </w:r>
      <w:r w:rsidRPr="00A0196D">
        <w:rPr>
          <w:rFonts w:eastAsia="Calibri" w:cs="Arial"/>
          <w:color w:val="17365D" w:themeColor="text2" w:themeShade="BF"/>
          <w:sz w:val="20"/>
          <w:lang w:eastAsia="en-US"/>
        </w:rPr>
        <w:t xml:space="preserve">dobit razdoblja u iznosu od </w:t>
      </w:r>
      <w:r w:rsidR="00954F76" w:rsidRPr="00A0196D">
        <w:rPr>
          <w:rFonts w:eastAsia="Calibri" w:cs="Arial"/>
          <w:color w:val="17365D" w:themeColor="text2" w:themeShade="BF"/>
          <w:sz w:val="20"/>
          <w:lang w:eastAsia="en-US"/>
        </w:rPr>
        <w:t>406</w:t>
      </w:r>
      <w:r w:rsidRPr="00A0196D">
        <w:rPr>
          <w:rFonts w:eastAsia="Calibri" w:cs="Arial"/>
          <w:color w:val="17365D" w:themeColor="text2" w:themeShade="BF"/>
          <w:sz w:val="20"/>
          <w:lang w:eastAsia="en-US"/>
        </w:rPr>
        <w:t xml:space="preserve"> milijun</w:t>
      </w:r>
      <w:r w:rsidR="005E23E6" w:rsidRPr="00A0196D">
        <w:rPr>
          <w:rFonts w:eastAsia="Calibri" w:cs="Arial"/>
          <w:color w:val="17365D" w:themeColor="text2" w:themeShade="BF"/>
          <w:sz w:val="20"/>
          <w:lang w:eastAsia="en-US"/>
        </w:rPr>
        <w:t>a</w:t>
      </w:r>
      <w:r w:rsidRPr="00A0196D">
        <w:rPr>
          <w:rFonts w:eastAsia="Calibri" w:cs="Arial"/>
          <w:color w:val="17365D" w:themeColor="text2" w:themeShade="BF"/>
          <w:sz w:val="20"/>
          <w:lang w:eastAsia="en-US"/>
        </w:rPr>
        <w:t xml:space="preserve"> kuna ili </w:t>
      </w:r>
      <w:r w:rsidR="00954F76" w:rsidRPr="00A0196D">
        <w:rPr>
          <w:rFonts w:eastAsia="Calibri" w:cs="Arial"/>
          <w:color w:val="17365D" w:themeColor="text2" w:themeShade="BF"/>
          <w:sz w:val="20"/>
          <w:lang w:eastAsia="en-US"/>
        </w:rPr>
        <w:t>25,8</w:t>
      </w:r>
      <w:r w:rsidRPr="00A0196D">
        <w:rPr>
          <w:rFonts w:eastAsia="Calibri" w:cs="Arial"/>
          <w:color w:val="17365D" w:themeColor="text2" w:themeShade="BF"/>
          <w:sz w:val="20"/>
          <w:lang w:eastAsia="en-US"/>
        </w:rPr>
        <w:t>% ukupne dobiti razdoblja poduzetnika U</w:t>
      </w:r>
      <w:r w:rsidR="00325D36">
        <w:rPr>
          <w:rFonts w:eastAsia="Calibri" w:cs="Arial"/>
          <w:color w:val="17365D" w:themeColor="text2" w:themeShade="BF"/>
          <w:sz w:val="20"/>
          <w:lang w:eastAsia="en-US"/>
        </w:rPr>
        <w:t>AR-a</w:t>
      </w:r>
      <w:r w:rsidRPr="00A0196D">
        <w:rPr>
          <w:rFonts w:eastAsia="Calibri" w:cs="Arial"/>
          <w:color w:val="17365D" w:themeColor="text2" w:themeShade="BF"/>
          <w:sz w:val="20"/>
          <w:lang w:eastAsia="en-US"/>
        </w:rPr>
        <w:t>.</w:t>
      </w:r>
    </w:p>
    <w:p w:rsidR="00483813" w:rsidRPr="009F2F41" w:rsidRDefault="00483813" w:rsidP="00325D36">
      <w:pPr>
        <w:pageBreakBefore/>
        <w:widowControl w:val="0"/>
        <w:tabs>
          <w:tab w:val="left" w:pos="1134"/>
        </w:tabs>
        <w:spacing w:before="60" w:after="40" w:line="240" w:lineRule="auto"/>
        <w:rPr>
          <w:rFonts w:cs="Arial"/>
          <w:b/>
          <w:color w:val="17365D"/>
          <w:sz w:val="18"/>
          <w:szCs w:val="18"/>
        </w:rPr>
      </w:pPr>
      <w:r w:rsidRPr="009F2F41">
        <w:rPr>
          <w:rFonts w:cs="Arial"/>
          <w:b/>
          <w:color w:val="17365D"/>
          <w:sz w:val="18"/>
          <w:szCs w:val="18"/>
        </w:rPr>
        <w:lastRenderedPageBreak/>
        <w:t>Slika 1.</w:t>
      </w:r>
      <w:r w:rsidRPr="009F2F41">
        <w:rPr>
          <w:rFonts w:cs="Arial"/>
          <w:b/>
          <w:color w:val="17365D"/>
          <w:sz w:val="18"/>
          <w:szCs w:val="18"/>
        </w:rPr>
        <w:tab/>
        <w:t xml:space="preserve">Prikaz </w:t>
      </w:r>
      <w:r w:rsidR="00A13298">
        <w:rPr>
          <w:rFonts w:cs="Arial"/>
          <w:b/>
          <w:color w:val="17365D"/>
          <w:sz w:val="18"/>
          <w:szCs w:val="18"/>
        </w:rPr>
        <w:t>osnovnih r</w:t>
      </w:r>
      <w:r w:rsidRPr="009F2F41">
        <w:rPr>
          <w:rFonts w:cs="Arial"/>
          <w:b/>
          <w:color w:val="17365D"/>
          <w:sz w:val="18"/>
          <w:szCs w:val="18"/>
        </w:rPr>
        <w:t xml:space="preserve">ezultata poslovanja poduzetnika </w:t>
      </w:r>
      <w:r w:rsidR="00A13298">
        <w:rPr>
          <w:rFonts w:cs="Arial"/>
          <w:b/>
          <w:color w:val="17365D"/>
          <w:sz w:val="18"/>
          <w:szCs w:val="18"/>
        </w:rPr>
        <w:t xml:space="preserve">društva </w:t>
      </w:r>
      <w:r>
        <w:rPr>
          <w:rFonts w:cs="Arial"/>
          <w:b/>
          <w:color w:val="17365D"/>
          <w:sz w:val="18"/>
          <w:szCs w:val="18"/>
        </w:rPr>
        <w:t xml:space="preserve">PLODINE </w:t>
      </w:r>
      <w:r w:rsidRPr="009F2F41">
        <w:rPr>
          <w:rFonts w:cs="Arial"/>
          <w:b/>
          <w:color w:val="17365D"/>
          <w:sz w:val="18"/>
          <w:szCs w:val="18"/>
        </w:rPr>
        <w:t xml:space="preserve">d.o.o. </w:t>
      </w:r>
      <w:r>
        <w:rPr>
          <w:rFonts w:cs="Arial"/>
          <w:b/>
          <w:color w:val="17365D"/>
          <w:sz w:val="18"/>
          <w:szCs w:val="18"/>
        </w:rPr>
        <w:t xml:space="preserve">iz </w:t>
      </w:r>
      <w:r w:rsidR="003F3D26">
        <w:rPr>
          <w:rFonts w:cs="Arial"/>
          <w:b/>
          <w:color w:val="17365D"/>
          <w:sz w:val="18"/>
          <w:szCs w:val="18"/>
        </w:rPr>
        <w:t>Rijeke</w:t>
      </w:r>
      <w:r>
        <w:rPr>
          <w:rFonts w:cs="Arial"/>
          <w:b/>
          <w:color w:val="17365D"/>
          <w:sz w:val="18"/>
          <w:szCs w:val="18"/>
        </w:rPr>
        <w:t xml:space="preserve"> -</w:t>
      </w:r>
      <w:r w:rsidRPr="009F2F41">
        <w:rPr>
          <w:rFonts w:cs="Arial"/>
          <w:b/>
          <w:color w:val="17365D"/>
          <w:sz w:val="18"/>
          <w:szCs w:val="18"/>
        </w:rPr>
        <w:t xml:space="preserve"> </w:t>
      </w:r>
      <w:r w:rsidRPr="009F2F41">
        <w:rPr>
          <w:rFonts w:eastAsia="Calibri" w:cs="Arial"/>
          <w:i/>
          <w:color w:val="0000FF"/>
          <w:sz w:val="18"/>
          <w:szCs w:val="18"/>
          <w:u w:val="single"/>
        </w:rPr>
        <w:t>info.BIZ servis</w:t>
      </w:r>
    </w:p>
    <w:p w:rsidR="00CD74C7" w:rsidRPr="00A0196D" w:rsidRDefault="00CD74C7" w:rsidP="00483813">
      <w:pPr>
        <w:widowControl w:val="0"/>
        <w:spacing w:before="0" w:after="0" w:line="240" w:lineRule="auto"/>
        <w:rPr>
          <w:rFonts w:eastAsia="Calibri" w:cs="Arial"/>
          <w:color w:val="17365D" w:themeColor="text2" w:themeShade="BF"/>
          <w:sz w:val="20"/>
          <w:lang w:eastAsia="en-US"/>
        </w:rPr>
      </w:pPr>
      <w:r>
        <w:rPr>
          <w:noProof/>
          <w:lang w:val="en-US" w:eastAsia="en-US"/>
        </w:rPr>
        <w:drawing>
          <wp:inline distT="0" distB="0" distL="0" distR="0" wp14:anchorId="30E08C6F" wp14:editId="76F446C2">
            <wp:extent cx="5976000" cy="2442155"/>
            <wp:effectExtent l="0" t="0" r="571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t="8522" r="1484" b="19907"/>
                    <a:stretch/>
                  </pic:blipFill>
                  <pic:spPr bwMode="auto">
                    <a:xfrm>
                      <a:off x="0" y="0"/>
                      <a:ext cx="5976000" cy="24421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D74C7" w:rsidRPr="009F2F41" w:rsidRDefault="00CD74C7" w:rsidP="00BC3095">
      <w:pPr>
        <w:widowControl w:val="0"/>
        <w:spacing w:before="40" w:after="0" w:line="288" w:lineRule="auto"/>
        <w:rPr>
          <w:rFonts w:cs="Arial"/>
          <w:i/>
          <w:color w:val="17365D" w:themeColor="text2" w:themeShade="BF"/>
          <w:sz w:val="16"/>
          <w:szCs w:val="16"/>
        </w:rPr>
      </w:pPr>
      <w:r w:rsidRPr="009F2F41">
        <w:rPr>
          <w:rFonts w:cs="Arial"/>
          <w:i/>
          <w:color w:val="17365D" w:themeColor="text2" w:themeShade="BF"/>
          <w:sz w:val="16"/>
          <w:szCs w:val="16"/>
        </w:rPr>
        <w:t xml:space="preserve">Izvor: Financijska agencija, servis </w:t>
      </w:r>
      <w:hyperlink r:id="rId11" w:history="1">
        <w:r w:rsidRPr="009F2F41">
          <w:rPr>
            <w:rStyle w:val="Hiperveza"/>
            <w:rFonts w:cs="Arial"/>
            <w:i/>
            <w:sz w:val="16"/>
            <w:szCs w:val="16"/>
          </w:rPr>
          <w:t>info.BIZ</w:t>
        </w:r>
      </w:hyperlink>
    </w:p>
    <w:p w:rsidR="00D6295D" w:rsidRPr="00A0196D" w:rsidRDefault="00D6295D" w:rsidP="00CD74C7">
      <w:pPr>
        <w:widowControl w:val="0"/>
        <w:spacing w:before="180" w:after="0"/>
        <w:rPr>
          <w:rFonts w:eastAsia="Calibri" w:cs="Arial"/>
          <w:color w:val="17365D" w:themeColor="text2" w:themeShade="BF"/>
          <w:sz w:val="20"/>
          <w:lang w:eastAsia="en-US"/>
        </w:rPr>
      </w:pPr>
      <w:r w:rsidRPr="00A0196D">
        <w:rPr>
          <w:rFonts w:eastAsia="Calibri" w:cs="Arial"/>
          <w:color w:val="17365D" w:themeColor="text2" w:themeShade="BF"/>
          <w:sz w:val="20"/>
          <w:lang w:eastAsia="en-US"/>
        </w:rPr>
        <w:t>U 201</w:t>
      </w:r>
      <w:r w:rsidR="006310AC" w:rsidRPr="00A0196D">
        <w:rPr>
          <w:rFonts w:eastAsia="Calibri" w:cs="Arial"/>
          <w:color w:val="17365D" w:themeColor="text2" w:themeShade="BF"/>
          <w:sz w:val="20"/>
          <w:lang w:eastAsia="en-US"/>
        </w:rPr>
        <w:t>9</w:t>
      </w:r>
      <w:r w:rsidRPr="00A0196D">
        <w:rPr>
          <w:rFonts w:eastAsia="Calibri" w:cs="Arial"/>
          <w:color w:val="17365D" w:themeColor="text2" w:themeShade="BF"/>
          <w:sz w:val="20"/>
          <w:lang w:eastAsia="en-US"/>
        </w:rPr>
        <w:t xml:space="preserve">. godini poduzetnici, čije je sjedište u jednom od gradova i općina obuhvaćenih Urbanom aglomeracijom Rijeka, ostvarili su ukupan prihod u iznosu od </w:t>
      </w:r>
      <w:r w:rsidR="00954F76" w:rsidRPr="00A0196D">
        <w:rPr>
          <w:rFonts w:eastAsia="Calibri" w:cs="Arial"/>
          <w:color w:val="17365D" w:themeColor="text2" w:themeShade="BF"/>
          <w:sz w:val="20"/>
          <w:lang w:eastAsia="en-US"/>
        </w:rPr>
        <w:t>27,7</w:t>
      </w:r>
      <w:r w:rsidRPr="00A0196D">
        <w:rPr>
          <w:rFonts w:eastAsia="Calibri" w:cs="Arial"/>
          <w:color w:val="17365D" w:themeColor="text2" w:themeShade="BF"/>
          <w:sz w:val="20"/>
          <w:lang w:eastAsia="en-US"/>
        </w:rPr>
        <w:t xml:space="preserve"> milijardi kuna (njihov udio u ukupnim prihodima poduzetnika Primorsko-goranske županije iznosi </w:t>
      </w:r>
      <w:r w:rsidR="00E67617" w:rsidRPr="00A0196D">
        <w:rPr>
          <w:rFonts w:eastAsia="Calibri" w:cs="Arial"/>
          <w:color w:val="17365D" w:themeColor="text2" w:themeShade="BF"/>
          <w:sz w:val="20"/>
          <w:lang w:eastAsia="en-US"/>
        </w:rPr>
        <w:t>6</w:t>
      </w:r>
      <w:r w:rsidR="00E363DF" w:rsidRPr="00A0196D">
        <w:rPr>
          <w:rFonts w:eastAsia="Calibri" w:cs="Arial"/>
          <w:color w:val="17365D" w:themeColor="text2" w:themeShade="BF"/>
          <w:sz w:val="20"/>
          <w:lang w:eastAsia="en-US"/>
        </w:rPr>
        <w:t>7</w:t>
      </w:r>
      <w:r w:rsidRPr="00A0196D">
        <w:rPr>
          <w:rFonts w:eastAsia="Calibri" w:cs="Arial"/>
          <w:color w:val="17365D" w:themeColor="text2" w:themeShade="BF"/>
          <w:sz w:val="20"/>
          <w:lang w:eastAsia="en-US"/>
        </w:rPr>
        <w:t xml:space="preserve">,7%) te neto dobit u iznosu od </w:t>
      </w:r>
      <w:r w:rsidR="00954F76" w:rsidRPr="00A0196D">
        <w:rPr>
          <w:rFonts w:eastAsia="Calibri" w:cs="Arial"/>
          <w:color w:val="17365D" w:themeColor="text2" w:themeShade="BF"/>
          <w:sz w:val="20"/>
          <w:lang w:eastAsia="en-US"/>
        </w:rPr>
        <w:t>827 milijuna</w:t>
      </w:r>
      <w:r w:rsidR="00E67617" w:rsidRPr="00A0196D">
        <w:rPr>
          <w:rFonts w:eastAsia="Calibri" w:cs="Arial"/>
          <w:color w:val="17365D" w:themeColor="text2" w:themeShade="BF"/>
          <w:sz w:val="20"/>
          <w:lang w:eastAsia="en-US"/>
        </w:rPr>
        <w:t xml:space="preserve"> kuna</w:t>
      </w:r>
      <w:r w:rsidRPr="00A0196D">
        <w:rPr>
          <w:rFonts w:eastAsia="Calibri" w:cs="Arial"/>
          <w:color w:val="17365D" w:themeColor="text2" w:themeShade="BF"/>
          <w:sz w:val="20"/>
          <w:lang w:eastAsia="en-US"/>
        </w:rPr>
        <w:t xml:space="preserve"> (njihov udio u neto dobiti poduzetnika Primorsko-goranske županije iznosi </w:t>
      </w:r>
      <w:r w:rsidR="00954F76" w:rsidRPr="00A0196D">
        <w:rPr>
          <w:rFonts w:eastAsia="Calibri" w:cs="Arial"/>
          <w:color w:val="17365D" w:themeColor="text2" w:themeShade="BF"/>
          <w:sz w:val="20"/>
          <w:lang w:eastAsia="en-US"/>
        </w:rPr>
        <w:t>79,7</w:t>
      </w:r>
      <w:r w:rsidRPr="00A0196D">
        <w:rPr>
          <w:rFonts w:eastAsia="Calibri" w:cs="Arial"/>
          <w:color w:val="17365D" w:themeColor="text2" w:themeShade="BF"/>
          <w:sz w:val="20"/>
          <w:lang w:eastAsia="en-US"/>
        </w:rPr>
        <w:t>%).</w:t>
      </w:r>
    </w:p>
    <w:p w:rsidR="00E65163" w:rsidRPr="00E26D38" w:rsidRDefault="00E65163" w:rsidP="004003B8">
      <w:pPr>
        <w:widowControl w:val="0"/>
        <w:spacing w:before="180" w:after="40" w:line="240" w:lineRule="auto"/>
        <w:ind w:left="1134" w:hanging="1134"/>
        <w:jc w:val="left"/>
        <w:rPr>
          <w:rFonts w:eastAsia="Calibri" w:cs="Arial"/>
          <w:b/>
          <w:color w:val="244061"/>
          <w:sz w:val="18"/>
          <w:szCs w:val="18"/>
          <w:lang w:eastAsia="en-US"/>
        </w:rPr>
      </w:pPr>
      <w:r w:rsidRPr="00E26D38">
        <w:rPr>
          <w:rFonts w:eastAsia="Calibri" w:cs="Arial"/>
          <w:b/>
          <w:color w:val="17365D"/>
          <w:sz w:val="18"/>
          <w:szCs w:val="18"/>
          <w:lang w:eastAsia="en-US"/>
        </w:rPr>
        <w:t xml:space="preserve">Grafikon </w:t>
      </w:r>
      <w:r w:rsidR="004327E0" w:rsidRPr="00E26D38">
        <w:rPr>
          <w:rFonts w:eastAsia="Calibri" w:cs="Arial"/>
          <w:b/>
          <w:color w:val="17365D"/>
          <w:sz w:val="18"/>
          <w:szCs w:val="18"/>
          <w:lang w:eastAsia="en-US"/>
        </w:rPr>
        <w:t>1</w:t>
      </w:r>
      <w:r w:rsidRPr="00E26D38">
        <w:rPr>
          <w:rFonts w:eastAsia="Calibri" w:cs="Arial"/>
          <w:b/>
          <w:color w:val="17365D"/>
          <w:sz w:val="18"/>
          <w:szCs w:val="18"/>
          <w:lang w:eastAsia="en-US"/>
        </w:rPr>
        <w:t>.</w:t>
      </w:r>
      <w:r w:rsidRPr="00E26D38">
        <w:rPr>
          <w:rFonts w:eastAsia="Calibri" w:cs="Arial"/>
          <w:b/>
          <w:color w:val="17365D"/>
          <w:sz w:val="18"/>
          <w:szCs w:val="18"/>
          <w:lang w:eastAsia="en-US"/>
        </w:rPr>
        <w:tab/>
      </w:r>
      <w:r w:rsidRPr="00E26D38">
        <w:rPr>
          <w:rFonts w:eastAsia="Calibri" w:cs="Arial"/>
          <w:b/>
          <w:color w:val="244061"/>
          <w:sz w:val="18"/>
          <w:szCs w:val="18"/>
          <w:lang w:eastAsia="en-US"/>
        </w:rPr>
        <w:t>Udio ukupn</w:t>
      </w:r>
      <w:r w:rsidR="003A429F">
        <w:rPr>
          <w:rFonts w:eastAsia="Calibri" w:cs="Arial"/>
          <w:b/>
          <w:color w:val="244061"/>
          <w:sz w:val="18"/>
          <w:szCs w:val="18"/>
          <w:lang w:eastAsia="en-US"/>
        </w:rPr>
        <w:t>ih</w:t>
      </w:r>
      <w:r w:rsidRPr="00E26D38">
        <w:rPr>
          <w:rFonts w:eastAsia="Calibri" w:cs="Arial"/>
          <w:b/>
          <w:color w:val="244061"/>
          <w:sz w:val="18"/>
          <w:szCs w:val="18"/>
          <w:lang w:eastAsia="en-US"/>
        </w:rPr>
        <w:t xml:space="preserve"> prihoda i neto dobiti poduzetnika U</w:t>
      </w:r>
      <w:r w:rsidR="003A429F">
        <w:rPr>
          <w:rFonts w:eastAsia="Calibri" w:cs="Arial"/>
          <w:b/>
          <w:color w:val="244061"/>
          <w:sz w:val="18"/>
          <w:szCs w:val="18"/>
          <w:lang w:eastAsia="en-US"/>
        </w:rPr>
        <w:t>AR-a</w:t>
      </w:r>
      <w:r w:rsidRPr="00E26D38">
        <w:rPr>
          <w:rFonts w:eastAsia="Calibri" w:cs="Arial"/>
          <w:b/>
          <w:color w:val="244061"/>
          <w:sz w:val="18"/>
          <w:szCs w:val="18"/>
          <w:lang w:eastAsia="en-US"/>
        </w:rPr>
        <w:t xml:space="preserve"> u ukupn</w:t>
      </w:r>
      <w:r w:rsidR="003A429F">
        <w:rPr>
          <w:rFonts w:eastAsia="Calibri" w:cs="Arial"/>
          <w:b/>
          <w:color w:val="244061"/>
          <w:sz w:val="18"/>
          <w:szCs w:val="18"/>
          <w:lang w:eastAsia="en-US"/>
        </w:rPr>
        <w:t>im</w:t>
      </w:r>
      <w:r w:rsidRPr="00E26D38">
        <w:rPr>
          <w:rFonts w:eastAsia="Calibri" w:cs="Arial"/>
          <w:b/>
          <w:color w:val="244061"/>
          <w:sz w:val="18"/>
          <w:szCs w:val="18"/>
          <w:lang w:eastAsia="en-US"/>
        </w:rPr>
        <w:t xml:space="preserve"> prihod</w:t>
      </w:r>
      <w:r w:rsidR="003A429F">
        <w:rPr>
          <w:rFonts w:eastAsia="Calibri" w:cs="Arial"/>
          <w:b/>
          <w:color w:val="244061"/>
          <w:sz w:val="18"/>
          <w:szCs w:val="18"/>
          <w:lang w:eastAsia="en-US"/>
        </w:rPr>
        <w:t>ima</w:t>
      </w:r>
      <w:r w:rsidRPr="00E26D38">
        <w:rPr>
          <w:rFonts w:eastAsia="Calibri" w:cs="Arial"/>
          <w:b/>
          <w:color w:val="244061"/>
          <w:sz w:val="18"/>
          <w:szCs w:val="18"/>
          <w:lang w:eastAsia="en-US"/>
        </w:rPr>
        <w:t xml:space="preserve"> i neto dobiti poduzetnika Primorsko-goranske županije u 201</w:t>
      </w:r>
      <w:r w:rsidR="006310AC">
        <w:rPr>
          <w:rFonts w:eastAsia="Calibri" w:cs="Arial"/>
          <w:b/>
          <w:color w:val="244061"/>
          <w:sz w:val="18"/>
          <w:szCs w:val="18"/>
          <w:lang w:eastAsia="en-US"/>
        </w:rPr>
        <w:t>9</w:t>
      </w:r>
      <w:r w:rsidRPr="00E26D38">
        <w:rPr>
          <w:rFonts w:eastAsia="Calibri" w:cs="Arial"/>
          <w:b/>
          <w:color w:val="244061"/>
          <w:sz w:val="18"/>
          <w:szCs w:val="18"/>
          <w:lang w:eastAsia="en-US"/>
        </w:rPr>
        <w:t>. godini</w:t>
      </w:r>
    </w:p>
    <w:p w:rsidR="009C7CFA" w:rsidRDefault="00706706" w:rsidP="0068571B">
      <w:pPr>
        <w:widowControl w:val="0"/>
        <w:spacing w:before="0" w:after="40" w:line="240" w:lineRule="auto"/>
        <w:ind w:left="1134" w:hanging="1134"/>
        <w:jc w:val="center"/>
        <w:rPr>
          <w:bCs/>
          <w:i/>
          <w:color w:val="17365D"/>
          <w:sz w:val="16"/>
          <w:szCs w:val="18"/>
        </w:rPr>
      </w:pPr>
      <w:r>
        <w:rPr>
          <w:bCs/>
          <w:i/>
          <w:noProof/>
          <w:color w:val="17365D"/>
          <w:sz w:val="16"/>
          <w:szCs w:val="18"/>
          <w:lang w:val="en-US" w:eastAsia="en-US"/>
        </w:rPr>
        <w:drawing>
          <wp:inline distT="0" distB="0" distL="0" distR="0" wp14:anchorId="3B8F4C88" wp14:editId="0377C0D9">
            <wp:extent cx="6120000" cy="1944000"/>
            <wp:effectExtent l="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194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65163" w:rsidRPr="002E14BE" w:rsidRDefault="00E65163" w:rsidP="0063676D">
      <w:pPr>
        <w:widowControl w:val="0"/>
        <w:spacing w:before="40" w:after="0" w:line="240" w:lineRule="auto"/>
        <w:ind w:left="1134" w:hanging="1134"/>
        <w:rPr>
          <w:rFonts w:eastAsia="Calibri" w:cs="Arial"/>
          <w:color w:val="244061"/>
          <w:sz w:val="18"/>
          <w:szCs w:val="18"/>
          <w:lang w:eastAsia="en-US"/>
        </w:rPr>
      </w:pPr>
      <w:r w:rsidRPr="00A77A2F">
        <w:rPr>
          <w:bCs/>
          <w:i/>
          <w:color w:val="17365D"/>
          <w:sz w:val="16"/>
          <w:szCs w:val="18"/>
        </w:rPr>
        <w:t>Izvor: Fina, Registar godišnjih financijskih izvještaja, obrada GFI-a za 201</w:t>
      </w:r>
      <w:r w:rsidR="006310AC">
        <w:rPr>
          <w:bCs/>
          <w:i/>
          <w:color w:val="17365D"/>
          <w:sz w:val="16"/>
          <w:szCs w:val="18"/>
        </w:rPr>
        <w:t>9</w:t>
      </w:r>
      <w:r w:rsidRPr="00A77A2F">
        <w:rPr>
          <w:bCs/>
          <w:i/>
          <w:color w:val="17365D"/>
          <w:sz w:val="16"/>
          <w:szCs w:val="18"/>
        </w:rPr>
        <w:t>. godinu</w:t>
      </w:r>
    </w:p>
    <w:p w:rsidR="00FC31F7" w:rsidRDefault="00E65163" w:rsidP="001D08D5">
      <w:pPr>
        <w:widowControl w:val="0"/>
        <w:spacing w:before="180" w:after="0"/>
        <w:rPr>
          <w:bCs/>
          <w:color w:val="17365D" w:themeColor="text2" w:themeShade="BF"/>
          <w:sz w:val="20"/>
        </w:rPr>
      </w:pPr>
      <w:r w:rsidRPr="00A0196D">
        <w:rPr>
          <w:b/>
          <w:bCs/>
          <w:color w:val="17365D" w:themeColor="text2" w:themeShade="BF"/>
          <w:sz w:val="20"/>
        </w:rPr>
        <w:t xml:space="preserve">Prema </w:t>
      </w:r>
      <w:r w:rsidRPr="00A0196D">
        <w:rPr>
          <w:rFonts w:cs="Arial"/>
          <w:b/>
          <w:color w:val="17365D" w:themeColor="text2" w:themeShade="BF"/>
          <w:sz w:val="20"/>
        </w:rPr>
        <w:t>produktivnosti</w:t>
      </w:r>
      <w:r w:rsidRPr="00A0196D">
        <w:rPr>
          <w:bCs/>
          <w:color w:val="17365D" w:themeColor="text2" w:themeShade="BF"/>
          <w:sz w:val="20"/>
        </w:rPr>
        <w:t xml:space="preserve"> (prihodu po zaposlenom), </w:t>
      </w:r>
      <w:r w:rsidR="00313E09" w:rsidRPr="00A0196D">
        <w:rPr>
          <w:bCs/>
          <w:color w:val="17365D" w:themeColor="text2" w:themeShade="BF"/>
          <w:sz w:val="20"/>
        </w:rPr>
        <w:t xml:space="preserve">prvi </w:t>
      </w:r>
      <w:r w:rsidRPr="00A0196D">
        <w:rPr>
          <w:bCs/>
          <w:color w:val="17365D" w:themeColor="text2" w:themeShade="BF"/>
          <w:sz w:val="20"/>
        </w:rPr>
        <w:t xml:space="preserve">su poduzetnici </w:t>
      </w:r>
      <w:r w:rsidR="00167A79" w:rsidRPr="00A0196D">
        <w:rPr>
          <w:bCs/>
          <w:color w:val="17365D" w:themeColor="text2" w:themeShade="BF"/>
          <w:sz w:val="20"/>
        </w:rPr>
        <w:t xml:space="preserve">sa sjedištem u </w:t>
      </w:r>
      <w:r w:rsidRPr="00A0196D">
        <w:rPr>
          <w:bCs/>
          <w:color w:val="17365D" w:themeColor="text2" w:themeShade="BF"/>
          <w:sz w:val="20"/>
        </w:rPr>
        <w:t>Kastv</w:t>
      </w:r>
      <w:r w:rsidR="00167A79" w:rsidRPr="00A0196D">
        <w:rPr>
          <w:bCs/>
          <w:color w:val="17365D" w:themeColor="text2" w:themeShade="BF"/>
          <w:sz w:val="20"/>
        </w:rPr>
        <w:t>u</w:t>
      </w:r>
      <w:r w:rsidRPr="00A0196D">
        <w:rPr>
          <w:bCs/>
          <w:color w:val="17365D" w:themeColor="text2" w:themeShade="BF"/>
          <w:sz w:val="20"/>
        </w:rPr>
        <w:t xml:space="preserve"> s </w:t>
      </w:r>
      <w:r w:rsidR="00E363DF" w:rsidRPr="00A0196D">
        <w:rPr>
          <w:bCs/>
          <w:color w:val="17365D" w:themeColor="text2" w:themeShade="BF"/>
          <w:sz w:val="20"/>
        </w:rPr>
        <w:t>9</w:t>
      </w:r>
      <w:r w:rsidR="00954F76" w:rsidRPr="00A0196D">
        <w:rPr>
          <w:bCs/>
          <w:color w:val="17365D" w:themeColor="text2" w:themeShade="BF"/>
          <w:sz w:val="20"/>
        </w:rPr>
        <w:t xml:space="preserve">38 </w:t>
      </w:r>
      <w:r w:rsidRPr="00A0196D">
        <w:rPr>
          <w:bCs/>
          <w:color w:val="17365D" w:themeColor="text2" w:themeShade="BF"/>
          <w:sz w:val="20"/>
        </w:rPr>
        <w:t>tisuća kuna</w:t>
      </w:r>
      <w:r w:rsidR="007440B1" w:rsidRPr="00A0196D">
        <w:rPr>
          <w:bCs/>
          <w:color w:val="17365D" w:themeColor="text2" w:themeShade="BF"/>
          <w:sz w:val="20"/>
        </w:rPr>
        <w:t>, s</w:t>
      </w:r>
      <w:r w:rsidR="00FC31F7" w:rsidRPr="00A0196D">
        <w:rPr>
          <w:bCs/>
          <w:color w:val="17365D" w:themeColor="text2" w:themeShade="BF"/>
          <w:sz w:val="20"/>
        </w:rPr>
        <w:t xml:space="preserve">lijede poduzetnici sa sjedištem u </w:t>
      </w:r>
      <w:r w:rsidR="00E363DF" w:rsidRPr="00A0196D">
        <w:rPr>
          <w:bCs/>
          <w:color w:val="17365D" w:themeColor="text2" w:themeShade="BF"/>
          <w:sz w:val="20"/>
        </w:rPr>
        <w:t>Opatiji</w:t>
      </w:r>
      <w:r w:rsidR="00FC31F7" w:rsidRPr="00A0196D">
        <w:rPr>
          <w:bCs/>
          <w:color w:val="17365D" w:themeColor="text2" w:themeShade="BF"/>
          <w:sz w:val="20"/>
        </w:rPr>
        <w:t xml:space="preserve"> sa 6</w:t>
      </w:r>
      <w:r w:rsidR="00954F76" w:rsidRPr="00A0196D">
        <w:rPr>
          <w:bCs/>
          <w:color w:val="17365D" w:themeColor="text2" w:themeShade="BF"/>
          <w:sz w:val="20"/>
        </w:rPr>
        <w:t>82</w:t>
      </w:r>
      <w:r w:rsidR="00FC31F7" w:rsidRPr="00A0196D">
        <w:rPr>
          <w:bCs/>
          <w:color w:val="17365D" w:themeColor="text2" w:themeShade="BF"/>
          <w:sz w:val="20"/>
        </w:rPr>
        <w:t xml:space="preserve"> tisuć</w:t>
      </w:r>
      <w:r w:rsidR="00954F76" w:rsidRPr="00A0196D">
        <w:rPr>
          <w:bCs/>
          <w:color w:val="17365D" w:themeColor="text2" w:themeShade="BF"/>
          <w:sz w:val="20"/>
        </w:rPr>
        <w:t>e</w:t>
      </w:r>
      <w:r w:rsidR="00FC31F7" w:rsidRPr="00A0196D">
        <w:rPr>
          <w:bCs/>
          <w:color w:val="17365D" w:themeColor="text2" w:themeShade="BF"/>
          <w:sz w:val="20"/>
        </w:rPr>
        <w:t xml:space="preserve"> kuna te poduzetnici sa sjedištem u </w:t>
      </w:r>
      <w:r w:rsidR="00E363DF" w:rsidRPr="00A0196D">
        <w:rPr>
          <w:bCs/>
          <w:color w:val="17365D" w:themeColor="text2" w:themeShade="BF"/>
          <w:sz w:val="20"/>
        </w:rPr>
        <w:t xml:space="preserve">Rijeci </w:t>
      </w:r>
      <w:r w:rsidR="00FC31F7" w:rsidRPr="00A0196D">
        <w:rPr>
          <w:bCs/>
          <w:color w:val="17365D" w:themeColor="text2" w:themeShade="BF"/>
          <w:sz w:val="20"/>
        </w:rPr>
        <w:t xml:space="preserve">sa </w:t>
      </w:r>
      <w:r w:rsidR="00E363DF" w:rsidRPr="00A0196D">
        <w:rPr>
          <w:bCs/>
          <w:color w:val="17365D" w:themeColor="text2" w:themeShade="BF"/>
          <w:sz w:val="20"/>
        </w:rPr>
        <w:t>66</w:t>
      </w:r>
      <w:r w:rsidR="00954F76" w:rsidRPr="00A0196D">
        <w:rPr>
          <w:bCs/>
          <w:color w:val="17365D" w:themeColor="text2" w:themeShade="BF"/>
          <w:sz w:val="20"/>
        </w:rPr>
        <w:t>3</w:t>
      </w:r>
      <w:r w:rsidR="00FC31F7" w:rsidRPr="00A0196D">
        <w:rPr>
          <w:bCs/>
          <w:color w:val="17365D" w:themeColor="text2" w:themeShade="BF"/>
          <w:sz w:val="20"/>
        </w:rPr>
        <w:t xml:space="preserve"> tisuć</w:t>
      </w:r>
      <w:r w:rsidR="00E363DF" w:rsidRPr="00A0196D">
        <w:rPr>
          <w:bCs/>
          <w:color w:val="17365D" w:themeColor="text2" w:themeShade="BF"/>
          <w:sz w:val="20"/>
        </w:rPr>
        <w:t>e</w:t>
      </w:r>
      <w:r w:rsidR="00FC31F7" w:rsidRPr="00A0196D">
        <w:rPr>
          <w:bCs/>
          <w:color w:val="17365D" w:themeColor="text2" w:themeShade="BF"/>
          <w:sz w:val="20"/>
        </w:rPr>
        <w:t xml:space="preserve"> kuna prihoda po zaposlenom. Za usporedbu, produktivnost poduzetnika na razini Primorsko-goranske županije iznosila je </w:t>
      </w:r>
      <w:r w:rsidR="00E363DF" w:rsidRPr="00A0196D">
        <w:rPr>
          <w:bCs/>
          <w:color w:val="17365D" w:themeColor="text2" w:themeShade="BF"/>
          <w:sz w:val="20"/>
        </w:rPr>
        <w:t>63</w:t>
      </w:r>
      <w:r w:rsidR="00303721" w:rsidRPr="00A0196D">
        <w:rPr>
          <w:bCs/>
          <w:color w:val="17365D" w:themeColor="text2" w:themeShade="BF"/>
          <w:sz w:val="20"/>
        </w:rPr>
        <w:t>4</w:t>
      </w:r>
      <w:r w:rsidR="00FC31F7" w:rsidRPr="00A0196D">
        <w:rPr>
          <w:bCs/>
          <w:color w:val="17365D" w:themeColor="text2" w:themeShade="BF"/>
          <w:sz w:val="20"/>
        </w:rPr>
        <w:t xml:space="preserve"> tisuć</w:t>
      </w:r>
      <w:r w:rsidR="00E363DF" w:rsidRPr="00A0196D">
        <w:rPr>
          <w:bCs/>
          <w:color w:val="17365D" w:themeColor="text2" w:themeShade="BF"/>
          <w:sz w:val="20"/>
        </w:rPr>
        <w:t>a</w:t>
      </w:r>
      <w:r w:rsidR="00FC31F7" w:rsidRPr="00A0196D">
        <w:rPr>
          <w:bCs/>
          <w:color w:val="17365D" w:themeColor="text2" w:themeShade="BF"/>
          <w:sz w:val="20"/>
        </w:rPr>
        <w:t xml:space="preserve"> kuna, a na razini RH </w:t>
      </w:r>
      <w:r w:rsidR="00303721" w:rsidRPr="00A0196D">
        <w:rPr>
          <w:bCs/>
          <w:color w:val="17365D" w:themeColor="text2" w:themeShade="BF"/>
          <w:sz w:val="20"/>
        </w:rPr>
        <w:t>821</w:t>
      </w:r>
      <w:r w:rsidR="00FC31F7" w:rsidRPr="00A0196D">
        <w:rPr>
          <w:bCs/>
          <w:color w:val="17365D" w:themeColor="text2" w:themeShade="BF"/>
          <w:sz w:val="20"/>
        </w:rPr>
        <w:t xml:space="preserve"> tisuć</w:t>
      </w:r>
      <w:r w:rsidR="00303721" w:rsidRPr="00A0196D">
        <w:rPr>
          <w:bCs/>
          <w:color w:val="17365D" w:themeColor="text2" w:themeShade="BF"/>
          <w:sz w:val="20"/>
        </w:rPr>
        <w:t>u</w:t>
      </w:r>
      <w:r w:rsidR="00FC31F7" w:rsidRPr="00A0196D">
        <w:rPr>
          <w:bCs/>
          <w:color w:val="17365D" w:themeColor="text2" w:themeShade="BF"/>
          <w:sz w:val="20"/>
        </w:rPr>
        <w:t xml:space="preserve"> kuna prihoda po zaposlenom.</w:t>
      </w:r>
    </w:p>
    <w:p w:rsidR="00325D36" w:rsidRPr="00325D36" w:rsidRDefault="00325D36" w:rsidP="00325D36">
      <w:pPr>
        <w:widowControl w:val="0"/>
        <w:tabs>
          <w:tab w:val="left" w:pos="1134"/>
        </w:tabs>
        <w:spacing w:before="180" w:after="40" w:line="240" w:lineRule="auto"/>
        <w:rPr>
          <w:bCs/>
          <w:color w:val="244061" w:themeColor="accent1" w:themeShade="80"/>
          <w:sz w:val="16"/>
          <w:szCs w:val="16"/>
        </w:rPr>
      </w:pPr>
      <w:r w:rsidRPr="001D08D5">
        <w:rPr>
          <w:b/>
          <w:bCs/>
          <w:color w:val="244061" w:themeColor="accent1" w:themeShade="80"/>
          <w:sz w:val="18"/>
          <w:szCs w:val="18"/>
        </w:rPr>
        <w:t>Grafikon 2.</w:t>
      </w:r>
      <w:r w:rsidRPr="001D08D5">
        <w:rPr>
          <w:b/>
          <w:bCs/>
          <w:color w:val="244061" w:themeColor="accent1" w:themeShade="80"/>
          <w:sz w:val="18"/>
          <w:szCs w:val="18"/>
        </w:rPr>
        <w:tab/>
      </w:r>
      <w:r w:rsidRPr="00B05A48">
        <w:rPr>
          <w:b/>
          <w:bCs/>
          <w:color w:val="244061" w:themeColor="accent1" w:themeShade="80"/>
          <w:sz w:val="18"/>
          <w:szCs w:val="18"/>
        </w:rPr>
        <w:t>Prihod po zaposlenom u 201</w:t>
      </w:r>
      <w:r>
        <w:rPr>
          <w:b/>
          <w:bCs/>
          <w:color w:val="244061" w:themeColor="accent1" w:themeShade="80"/>
          <w:sz w:val="18"/>
          <w:szCs w:val="18"/>
        </w:rPr>
        <w:t>9</w:t>
      </w:r>
      <w:r w:rsidRPr="00B05A48">
        <w:rPr>
          <w:b/>
          <w:bCs/>
          <w:color w:val="244061" w:themeColor="accent1" w:themeShade="80"/>
          <w:sz w:val="18"/>
          <w:szCs w:val="18"/>
        </w:rPr>
        <w:t>. godini na razini Urbane aglomeracije Rijeka</w:t>
      </w:r>
      <w:r w:rsidRPr="00B05A48">
        <w:rPr>
          <w:b/>
          <w:bCs/>
          <w:color w:val="244061" w:themeColor="accent1" w:themeShade="80"/>
          <w:sz w:val="18"/>
          <w:szCs w:val="18"/>
        </w:rPr>
        <w:tab/>
      </w:r>
      <w:r w:rsidRPr="00B05A48">
        <w:rPr>
          <w:bCs/>
          <w:color w:val="244061" w:themeColor="accent1" w:themeShade="80"/>
          <w:sz w:val="16"/>
          <w:szCs w:val="16"/>
        </w:rPr>
        <w:t>(iznosi u tisućama kuna)</w:t>
      </w:r>
    </w:p>
    <w:p w:rsidR="00651385" w:rsidRPr="00325D36" w:rsidRDefault="00651385" w:rsidP="00325D36">
      <w:pPr>
        <w:widowControl w:val="0"/>
        <w:spacing w:before="0" w:after="0" w:line="240" w:lineRule="auto"/>
        <w:rPr>
          <w:bCs/>
          <w:color w:val="17365D" w:themeColor="text2" w:themeShade="BF"/>
          <w:sz w:val="18"/>
          <w:szCs w:val="18"/>
        </w:rPr>
      </w:pPr>
      <w:r>
        <w:rPr>
          <w:b/>
          <w:bCs/>
          <w:noProof/>
          <w:color w:val="17365D" w:themeColor="text2" w:themeShade="BF"/>
          <w:sz w:val="20"/>
          <w:lang w:val="en-US" w:eastAsia="en-US"/>
        </w:rPr>
        <w:drawing>
          <wp:inline distT="0" distB="0" distL="0" distR="0" wp14:anchorId="763B1FD5" wp14:editId="5541303B">
            <wp:extent cx="6156000" cy="2088000"/>
            <wp:effectExtent l="0" t="0" r="0" b="7620"/>
            <wp:docPr id="13" name="Slika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000" cy="20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C597E" w:rsidRDefault="006C597E" w:rsidP="006C597E">
      <w:pPr>
        <w:pageBreakBefore/>
        <w:widowControl w:val="0"/>
        <w:spacing w:before="60" w:after="180"/>
        <w:rPr>
          <w:bCs/>
          <w:color w:val="17365D" w:themeColor="text2" w:themeShade="BF"/>
          <w:sz w:val="20"/>
        </w:rPr>
      </w:pPr>
      <w:r w:rsidRPr="00294CB0">
        <w:rPr>
          <w:b/>
          <w:bCs/>
          <w:color w:val="17365D" w:themeColor="text2" w:themeShade="BF"/>
          <w:sz w:val="20"/>
        </w:rPr>
        <w:lastRenderedPageBreak/>
        <w:t>Prosječna mjesečna neto plaća</w:t>
      </w:r>
      <w:r w:rsidRPr="00294CB0">
        <w:rPr>
          <w:bCs/>
          <w:color w:val="17365D" w:themeColor="text2" w:themeShade="BF"/>
          <w:sz w:val="20"/>
        </w:rPr>
        <w:t xml:space="preserve"> obračunata zaposlenima kod poduzetnika sa sjedištem na području Urbane aglomeracije Rijeke u 2019. godini</w:t>
      </w:r>
      <w:r>
        <w:rPr>
          <w:bCs/>
          <w:color w:val="17365D" w:themeColor="text2" w:themeShade="BF"/>
          <w:sz w:val="20"/>
        </w:rPr>
        <w:t>,</w:t>
      </w:r>
      <w:r w:rsidRPr="00294CB0">
        <w:rPr>
          <w:bCs/>
          <w:color w:val="17365D" w:themeColor="text2" w:themeShade="BF"/>
          <w:sz w:val="20"/>
        </w:rPr>
        <w:t xml:space="preserve"> iznosila je 5.660 kuna, </w:t>
      </w:r>
      <w:r>
        <w:rPr>
          <w:bCs/>
          <w:color w:val="17365D" w:themeColor="text2" w:themeShade="BF"/>
          <w:sz w:val="20"/>
        </w:rPr>
        <w:t>što je</w:t>
      </w:r>
      <w:r w:rsidRPr="00294CB0">
        <w:rPr>
          <w:bCs/>
          <w:color w:val="17365D" w:themeColor="text2" w:themeShade="BF"/>
          <w:sz w:val="20"/>
        </w:rPr>
        <w:t xml:space="preserve"> 3,</w:t>
      </w:r>
      <w:proofErr w:type="spellStart"/>
      <w:r w:rsidRPr="00294CB0">
        <w:rPr>
          <w:bCs/>
          <w:color w:val="17365D" w:themeColor="text2" w:themeShade="BF"/>
          <w:sz w:val="20"/>
        </w:rPr>
        <w:t>3</w:t>
      </w:r>
      <w:proofErr w:type="spellEnd"/>
      <w:r w:rsidRPr="00294CB0">
        <w:rPr>
          <w:bCs/>
          <w:color w:val="17365D" w:themeColor="text2" w:themeShade="BF"/>
          <w:sz w:val="20"/>
        </w:rPr>
        <w:t xml:space="preserve">% više u odnosu na </w:t>
      </w:r>
      <w:r>
        <w:rPr>
          <w:bCs/>
          <w:color w:val="17365D" w:themeColor="text2" w:themeShade="BF"/>
          <w:sz w:val="20"/>
        </w:rPr>
        <w:t xml:space="preserve">2018. </w:t>
      </w:r>
      <w:r w:rsidRPr="00294CB0">
        <w:rPr>
          <w:bCs/>
          <w:color w:val="17365D" w:themeColor="text2" w:themeShade="BF"/>
          <w:sz w:val="20"/>
        </w:rPr>
        <w:t>godinu (5.477 kuna) te 1,2% više od iznosa prosječn</w:t>
      </w:r>
      <w:r>
        <w:rPr>
          <w:bCs/>
          <w:color w:val="17365D" w:themeColor="text2" w:themeShade="BF"/>
          <w:sz w:val="20"/>
        </w:rPr>
        <w:t>u</w:t>
      </w:r>
      <w:r w:rsidRPr="00294CB0">
        <w:rPr>
          <w:bCs/>
          <w:color w:val="17365D" w:themeColor="text2" w:themeShade="BF"/>
          <w:sz w:val="20"/>
        </w:rPr>
        <w:t xml:space="preserve"> mjesečn</w:t>
      </w:r>
      <w:r>
        <w:rPr>
          <w:bCs/>
          <w:color w:val="17365D" w:themeColor="text2" w:themeShade="BF"/>
          <w:sz w:val="20"/>
        </w:rPr>
        <w:t>u</w:t>
      </w:r>
      <w:r w:rsidRPr="00294CB0">
        <w:rPr>
          <w:bCs/>
          <w:color w:val="17365D" w:themeColor="text2" w:themeShade="BF"/>
          <w:sz w:val="20"/>
        </w:rPr>
        <w:t xml:space="preserve"> neto plać</w:t>
      </w:r>
      <w:r>
        <w:rPr>
          <w:bCs/>
          <w:color w:val="17365D" w:themeColor="text2" w:themeShade="BF"/>
          <w:sz w:val="20"/>
        </w:rPr>
        <w:t>u</w:t>
      </w:r>
      <w:r w:rsidRPr="00294CB0">
        <w:rPr>
          <w:bCs/>
          <w:color w:val="17365D" w:themeColor="text2" w:themeShade="BF"/>
          <w:sz w:val="20"/>
        </w:rPr>
        <w:t xml:space="preserve"> koja je u 2019. godini obračunana zaposlenima kod poduzetnika sa sjedištem u Primorsko-goranskoj županiji (5.595 kuna). </w:t>
      </w:r>
    </w:p>
    <w:p w:rsidR="00651385" w:rsidRPr="00CE145E" w:rsidRDefault="00651385" w:rsidP="006C597E">
      <w:pPr>
        <w:widowControl w:val="0"/>
        <w:tabs>
          <w:tab w:val="left" w:pos="1134"/>
        </w:tabs>
        <w:spacing w:before="0" w:after="40" w:line="240" w:lineRule="auto"/>
        <w:ind w:left="1134" w:hanging="1134"/>
        <w:jc w:val="left"/>
        <w:rPr>
          <w:b/>
          <w:bCs/>
          <w:color w:val="17365D" w:themeColor="text2" w:themeShade="BF"/>
          <w:sz w:val="18"/>
          <w:szCs w:val="18"/>
        </w:rPr>
      </w:pPr>
      <w:r w:rsidRPr="00CE145E">
        <w:rPr>
          <w:b/>
          <w:bCs/>
          <w:color w:val="244061" w:themeColor="accent1" w:themeShade="80"/>
          <w:sz w:val="18"/>
          <w:szCs w:val="18"/>
        </w:rPr>
        <w:t>Grafikon 3.</w:t>
      </w:r>
      <w:r w:rsidRPr="00CE145E">
        <w:rPr>
          <w:b/>
          <w:bCs/>
          <w:color w:val="244061" w:themeColor="accent1" w:themeShade="80"/>
          <w:sz w:val="18"/>
          <w:szCs w:val="18"/>
        </w:rPr>
        <w:tab/>
      </w:r>
      <w:r w:rsidR="00CE145E" w:rsidRPr="00CE145E">
        <w:rPr>
          <w:b/>
          <w:bCs/>
          <w:color w:val="17365D" w:themeColor="text2" w:themeShade="BF"/>
          <w:sz w:val="18"/>
          <w:szCs w:val="18"/>
        </w:rPr>
        <w:t>Prosječna mjesečna neto plaća</w:t>
      </w:r>
      <w:r w:rsidR="00CE145E" w:rsidRPr="00CE145E">
        <w:rPr>
          <w:bCs/>
          <w:color w:val="17365D" w:themeColor="text2" w:themeShade="BF"/>
          <w:sz w:val="18"/>
          <w:szCs w:val="18"/>
        </w:rPr>
        <w:t xml:space="preserve"> </w:t>
      </w:r>
      <w:r w:rsidR="00CE145E" w:rsidRPr="00CE145E">
        <w:rPr>
          <w:b/>
          <w:bCs/>
          <w:color w:val="17365D" w:themeColor="text2" w:themeShade="BF"/>
          <w:sz w:val="18"/>
          <w:szCs w:val="18"/>
        </w:rPr>
        <w:t xml:space="preserve">obračunata zaposlenima kod poduzetnika u RH, </w:t>
      </w:r>
      <w:r w:rsidR="00BC3095">
        <w:rPr>
          <w:b/>
          <w:bCs/>
          <w:color w:val="17365D" w:themeColor="text2" w:themeShade="BF"/>
          <w:sz w:val="18"/>
          <w:szCs w:val="18"/>
        </w:rPr>
        <w:t xml:space="preserve">u </w:t>
      </w:r>
      <w:r w:rsidR="00CE145E" w:rsidRPr="00CE145E">
        <w:rPr>
          <w:b/>
          <w:bCs/>
          <w:color w:val="17365D" w:themeColor="text2" w:themeShade="BF"/>
          <w:sz w:val="18"/>
          <w:szCs w:val="18"/>
        </w:rPr>
        <w:t>UAR</w:t>
      </w:r>
      <w:r w:rsidR="00BC3095">
        <w:rPr>
          <w:b/>
          <w:bCs/>
          <w:color w:val="17365D" w:themeColor="text2" w:themeShade="BF"/>
          <w:sz w:val="18"/>
          <w:szCs w:val="18"/>
        </w:rPr>
        <w:t xml:space="preserve">-u i kodu </w:t>
      </w:r>
      <w:r w:rsidR="00BC3095" w:rsidRPr="00BC3095">
        <w:rPr>
          <w:b/>
          <w:bCs/>
          <w:color w:val="17365D" w:themeColor="text2" w:themeShade="BF"/>
          <w:sz w:val="18"/>
          <w:szCs w:val="18"/>
        </w:rPr>
        <w:t>TOP 5 gradova/općina UAR-a</w:t>
      </w:r>
      <w:r w:rsidR="00BC3095">
        <w:rPr>
          <w:b/>
          <w:bCs/>
          <w:color w:val="17365D" w:themeColor="text2" w:themeShade="BF"/>
          <w:sz w:val="18"/>
          <w:szCs w:val="18"/>
        </w:rPr>
        <w:t xml:space="preserve"> po visini prosječne mjesečne neto plaće</w:t>
      </w:r>
    </w:p>
    <w:p w:rsidR="00483813" w:rsidRDefault="00483813" w:rsidP="00483813">
      <w:pPr>
        <w:widowControl w:val="0"/>
        <w:spacing w:before="0" w:after="0"/>
        <w:rPr>
          <w:bCs/>
          <w:i/>
          <w:color w:val="244061"/>
          <w:sz w:val="16"/>
          <w:szCs w:val="16"/>
        </w:rPr>
      </w:pPr>
      <w:r>
        <w:rPr>
          <w:bCs/>
          <w:noProof/>
          <w:color w:val="17365D" w:themeColor="text2" w:themeShade="BF"/>
          <w:sz w:val="20"/>
          <w:lang w:val="en-US" w:eastAsia="en-US"/>
        </w:rPr>
        <w:drawing>
          <wp:inline distT="0" distB="0" distL="0" distR="0" wp14:anchorId="2DACCFDF" wp14:editId="59AF58AE">
            <wp:extent cx="6022800" cy="2376000"/>
            <wp:effectExtent l="0" t="0" r="0" b="5715"/>
            <wp:docPr id="11" name="Slika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2800" cy="237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030D7">
        <w:rPr>
          <w:bCs/>
          <w:i/>
          <w:color w:val="244061"/>
          <w:sz w:val="16"/>
          <w:szCs w:val="16"/>
        </w:rPr>
        <w:t>Izvor: Fina, Registar godišnjih financijskih izvještaja</w:t>
      </w:r>
      <w:r>
        <w:rPr>
          <w:bCs/>
          <w:i/>
          <w:color w:val="244061"/>
          <w:sz w:val="16"/>
          <w:szCs w:val="16"/>
        </w:rPr>
        <w:t xml:space="preserve">, </w:t>
      </w:r>
      <w:r w:rsidRPr="00F51E56">
        <w:rPr>
          <w:bCs/>
          <w:i/>
          <w:color w:val="244061"/>
          <w:sz w:val="16"/>
          <w:szCs w:val="16"/>
        </w:rPr>
        <w:t>obrada GFI-a za 201</w:t>
      </w:r>
      <w:r>
        <w:rPr>
          <w:bCs/>
          <w:i/>
          <w:color w:val="244061"/>
          <w:sz w:val="16"/>
          <w:szCs w:val="16"/>
        </w:rPr>
        <w:t>9</w:t>
      </w:r>
      <w:r w:rsidRPr="00F51E56">
        <w:rPr>
          <w:bCs/>
          <w:i/>
          <w:color w:val="244061"/>
          <w:sz w:val="16"/>
          <w:szCs w:val="16"/>
        </w:rPr>
        <w:t>. godinu</w:t>
      </w:r>
    </w:p>
    <w:p w:rsidR="00A0196D" w:rsidRPr="004A6759" w:rsidRDefault="00E65163" w:rsidP="00483813">
      <w:pPr>
        <w:widowControl w:val="0"/>
        <w:spacing w:before="180" w:after="0"/>
        <w:rPr>
          <w:bCs/>
          <w:color w:val="17365D" w:themeColor="text2" w:themeShade="BF"/>
          <w:sz w:val="20"/>
        </w:rPr>
      </w:pPr>
      <w:r w:rsidRPr="00B64C34">
        <w:rPr>
          <w:b/>
          <w:bCs/>
          <w:color w:val="17365D" w:themeColor="text2" w:themeShade="BF"/>
          <w:sz w:val="20"/>
        </w:rPr>
        <w:t>Najv</w:t>
      </w:r>
      <w:r w:rsidR="000B4C65" w:rsidRPr="00B64C34">
        <w:rPr>
          <w:b/>
          <w:bCs/>
          <w:color w:val="17365D" w:themeColor="text2" w:themeShade="BF"/>
          <w:sz w:val="20"/>
        </w:rPr>
        <w:t>iša</w:t>
      </w:r>
      <w:r w:rsidRPr="00B64C34">
        <w:rPr>
          <w:bCs/>
          <w:color w:val="17365D" w:themeColor="text2" w:themeShade="BF"/>
          <w:sz w:val="20"/>
        </w:rPr>
        <w:t xml:space="preserve"> prosječna mjesečna neto plaća obračunata je </w:t>
      </w:r>
      <w:r w:rsidR="00167A79" w:rsidRPr="00B64C34">
        <w:rPr>
          <w:bCs/>
          <w:color w:val="17365D" w:themeColor="text2" w:themeShade="BF"/>
          <w:sz w:val="20"/>
        </w:rPr>
        <w:t xml:space="preserve">zaposlenima </w:t>
      </w:r>
      <w:r w:rsidRPr="00B64C34">
        <w:rPr>
          <w:bCs/>
          <w:color w:val="17365D" w:themeColor="text2" w:themeShade="BF"/>
          <w:sz w:val="20"/>
        </w:rPr>
        <w:t xml:space="preserve">kod poduzetnika </w:t>
      </w:r>
      <w:r w:rsidR="00152A99" w:rsidRPr="00B64C34">
        <w:rPr>
          <w:bCs/>
          <w:color w:val="17365D" w:themeColor="text2" w:themeShade="BF"/>
          <w:sz w:val="20"/>
        </w:rPr>
        <w:t>sa sjedištem u</w:t>
      </w:r>
      <w:r w:rsidRPr="00B64C34">
        <w:rPr>
          <w:bCs/>
          <w:color w:val="17365D" w:themeColor="text2" w:themeShade="BF"/>
          <w:sz w:val="20"/>
        </w:rPr>
        <w:t xml:space="preserve"> </w:t>
      </w:r>
      <w:r w:rsidR="00B64C34" w:rsidRPr="00B64C34">
        <w:rPr>
          <w:bCs/>
          <w:color w:val="17365D" w:themeColor="text2" w:themeShade="BF"/>
          <w:sz w:val="20"/>
        </w:rPr>
        <w:t>Rijeci</w:t>
      </w:r>
      <w:r w:rsidRPr="00B64C34">
        <w:rPr>
          <w:bCs/>
          <w:color w:val="17365D" w:themeColor="text2" w:themeShade="BF"/>
          <w:sz w:val="20"/>
        </w:rPr>
        <w:t xml:space="preserve"> (</w:t>
      </w:r>
      <w:r w:rsidR="00161CA1" w:rsidRPr="00B64C34">
        <w:rPr>
          <w:bCs/>
          <w:color w:val="17365D" w:themeColor="text2" w:themeShade="BF"/>
          <w:sz w:val="20"/>
        </w:rPr>
        <w:t>5</w:t>
      </w:r>
      <w:r w:rsidRPr="00B64C34">
        <w:rPr>
          <w:bCs/>
          <w:color w:val="17365D" w:themeColor="text2" w:themeShade="BF"/>
          <w:sz w:val="20"/>
        </w:rPr>
        <w:t>.</w:t>
      </w:r>
      <w:r w:rsidR="001252F1" w:rsidRPr="00B64C34">
        <w:rPr>
          <w:bCs/>
          <w:color w:val="17365D" w:themeColor="text2" w:themeShade="BF"/>
          <w:sz w:val="20"/>
        </w:rPr>
        <w:t>8</w:t>
      </w:r>
      <w:r w:rsidR="00B64C34" w:rsidRPr="00B64C34">
        <w:rPr>
          <w:bCs/>
          <w:color w:val="17365D" w:themeColor="text2" w:themeShade="BF"/>
          <w:sz w:val="20"/>
        </w:rPr>
        <w:t>4</w:t>
      </w:r>
      <w:r w:rsidR="001252F1" w:rsidRPr="00B64C34">
        <w:rPr>
          <w:bCs/>
          <w:color w:val="17365D" w:themeColor="text2" w:themeShade="BF"/>
          <w:sz w:val="20"/>
        </w:rPr>
        <w:t>8</w:t>
      </w:r>
      <w:r w:rsidRPr="00B64C34">
        <w:rPr>
          <w:bCs/>
          <w:color w:val="17365D" w:themeColor="text2" w:themeShade="BF"/>
          <w:sz w:val="20"/>
        </w:rPr>
        <w:t xml:space="preserve"> kuna), </w:t>
      </w:r>
      <w:r w:rsidR="00AC569A" w:rsidRPr="00B64C34">
        <w:rPr>
          <w:bCs/>
          <w:color w:val="17365D" w:themeColor="text2" w:themeShade="BF"/>
          <w:sz w:val="20"/>
        </w:rPr>
        <w:t xml:space="preserve">a slijede poduzetnici </w:t>
      </w:r>
      <w:r w:rsidR="00550D41" w:rsidRPr="00B64C34">
        <w:rPr>
          <w:bCs/>
          <w:color w:val="17365D" w:themeColor="text2" w:themeShade="BF"/>
          <w:sz w:val="20"/>
        </w:rPr>
        <w:t xml:space="preserve">u </w:t>
      </w:r>
      <w:r w:rsidR="00B64C34" w:rsidRPr="00B64C34">
        <w:rPr>
          <w:bCs/>
          <w:color w:val="17365D" w:themeColor="text2" w:themeShade="BF"/>
          <w:sz w:val="20"/>
        </w:rPr>
        <w:t>Opatiji</w:t>
      </w:r>
      <w:r w:rsidR="00AC569A" w:rsidRPr="00B64C34">
        <w:rPr>
          <w:bCs/>
          <w:color w:val="17365D" w:themeColor="text2" w:themeShade="BF"/>
          <w:sz w:val="20"/>
        </w:rPr>
        <w:t xml:space="preserve"> (5.</w:t>
      </w:r>
      <w:r w:rsidR="00B64C34" w:rsidRPr="00B64C34">
        <w:rPr>
          <w:bCs/>
          <w:color w:val="17365D" w:themeColor="text2" w:themeShade="BF"/>
          <w:sz w:val="20"/>
        </w:rPr>
        <w:t>783</w:t>
      </w:r>
      <w:r w:rsidR="00550D41" w:rsidRPr="00B64C34">
        <w:rPr>
          <w:bCs/>
          <w:color w:val="17365D" w:themeColor="text2" w:themeShade="BF"/>
          <w:sz w:val="20"/>
        </w:rPr>
        <w:t xml:space="preserve"> kun</w:t>
      </w:r>
      <w:r w:rsidR="00B64C34" w:rsidRPr="00B64C34">
        <w:rPr>
          <w:bCs/>
          <w:color w:val="17365D" w:themeColor="text2" w:themeShade="BF"/>
          <w:sz w:val="20"/>
        </w:rPr>
        <w:t>e</w:t>
      </w:r>
      <w:r w:rsidR="00AC569A" w:rsidRPr="00B64C34">
        <w:rPr>
          <w:bCs/>
          <w:color w:val="17365D" w:themeColor="text2" w:themeShade="BF"/>
          <w:sz w:val="20"/>
        </w:rPr>
        <w:t xml:space="preserve">), </w:t>
      </w:r>
      <w:r w:rsidRPr="00B64C34">
        <w:rPr>
          <w:bCs/>
          <w:color w:val="17365D" w:themeColor="text2" w:themeShade="BF"/>
          <w:sz w:val="20"/>
        </w:rPr>
        <w:t>Kastvu (</w:t>
      </w:r>
      <w:r w:rsidR="00550D41" w:rsidRPr="00B64C34">
        <w:rPr>
          <w:bCs/>
          <w:color w:val="17365D" w:themeColor="text2" w:themeShade="BF"/>
          <w:sz w:val="20"/>
        </w:rPr>
        <w:t>5.</w:t>
      </w:r>
      <w:r w:rsidR="00B64C34" w:rsidRPr="00B64C34">
        <w:rPr>
          <w:bCs/>
          <w:color w:val="17365D" w:themeColor="text2" w:themeShade="BF"/>
          <w:sz w:val="20"/>
        </w:rPr>
        <w:t>644</w:t>
      </w:r>
      <w:r w:rsidRPr="00B64C34">
        <w:rPr>
          <w:bCs/>
          <w:color w:val="17365D" w:themeColor="text2" w:themeShade="BF"/>
          <w:sz w:val="20"/>
        </w:rPr>
        <w:t xml:space="preserve"> kun</w:t>
      </w:r>
      <w:r w:rsidR="001252F1" w:rsidRPr="00B64C34">
        <w:rPr>
          <w:bCs/>
          <w:color w:val="17365D" w:themeColor="text2" w:themeShade="BF"/>
          <w:sz w:val="20"/>
        </w:rPr>
        <w:t>e</w:t>
      </w:r>
      <w:r w:rsidRPr="00B64C34">
        <w:rPr>
          <w:bCs/>
          <w:color w:val="17365D" w:themeColor="text2" w:themeShade="BF"/>
          <w:sz w:val="20"/>
        </w:rPr>
        <w:t xml:space="preserve">), </w:t>
      </w:r>
      <w:r w:rsidR="00161CA1" w:rsidRPr="00B64C34">
        <w:rPr>
          <w:bCs/>
          <w:color w:val="17365D" w:themeColor="text2" w:themeShade="BF"/>
          <w:sz w:val="20"/>
        </w:rPr>
        <w:t xml:space="preserve">Kraljevici </w:t>
      </w:r>
      <w:r w:rsidRPr="00B64C34">
        <w:rPr>
          <w:bCs/>
          <w:color w:val="17365D" w:themeColor="text2" w:themeShade="BF"/>
          <w:sz w:val="20"/>
        </w:rPr>
        <w:t>(</w:t>
      </w:r>
      <w:r w:rsidR="00B64C34" w:rsidRPr="00B64C34">
        <w:rPr>
          <w:bCs/>
          <w:color w:val="17365D" w:themeColor="text2" w:themeShade="BF"/>
          <w:sz w:val="20"/>
        </w:rPr>
        <w:t>5.378</w:t>
      </w:r>
      <w:r w:rsidRPr="00B64C34">
        <w:rPr>
          <w:bCs/>
          <w:color w:val="17365D" w:themeColor="text2" w:themeShade="BF"/>
          <w:sz w:val="20"/>
        </w:rPr>
        <w:t xml:space="preserve"> kun</w:t>
      </w:r>
      <w:r w:rsidR="00550D41" w:rsidRPr="00B64C34">
        <w:rPr>
          <w:bCs/>
          <w:color w:val="17365D" w:themeColor="text2" w:themeShade="BF"/>
          <w:sz w:val="20"/>
        </w:rPr>
        <w:t>a</w:t>
      </w:r>
      <w:r w:rsidRPr="00B64C34">
        <w:rPr>
          <w:bCs/>
          <w:color w:val="17365D" w:themeColor="text2" w:themeShade="BF"/>
          <w:sz w:val="20"/>
        </w:rPr>
        <w:t xml:space="preserve">) i </w:t>
      </w:r>
      <w:r w:rsidR="00B64C34" w:rsidRPr="00B64C34">
        <w:rPr>
          <w:bCs/>
          <w:color w:val="17365D" w:themeColor="text2" w:themeShade="BF"/>
          <w:sz w:val="20"/>
        </w:rPr>
        <w:t>Klani</w:t>
      </w:r>
      <w:r w:rsidRPr="00B64C34">
        <w:rPr>
          <w:bCs/>
          <w:color w:val="17365D" w:themeColor="text2" w:themeShade="BF"/>
          <w:sz w:val="20"/>
        </w:rPr>
        <w:t xml:space="preserve"> (</w:t>
      </w:r>
      <w:r w:rsidR="00B64C34" w:rsidRPr="00B64C34">
        <w:rPr>
          <w:bCs/>
          <w:color w:val="17365D" w:themeColor="text2" w:themeShade="BF"/>
          <w:sz w:val="20"/>
        </w:rPr>
        <w:t>4.912</w:t>
      </w:r>
      <w:r w:rsidRPr="00B64C34">
        <w:rPr>
          <w:bCs/>
          <w:color w:val="17365D" w:themeColor="text2" w:themeShade="BF"/>
          <w:sz w:val="20"/>
        </w:rPr>
        <w:t xml:space="preserve"> kun</w:t>
      </w:r>
      <w:r w:rsidR="00B64C34" w:rsidRPr="00B64C34">
        <w:rPr>
          <w:bCs/>
          <w:color w:val="17365D" w:themeColor="text2" w:themeShade="BF"/>
          <w:sz w:val="20"/>
        </w:rPr>
        <w:t>a</w:t>
      </w:r>
      <w:r w:rsidRPr="00B64C34">
        <w:rPr>
          <w:bCs/>
          <w:color w:val="17365D" w:themeColor="text2" w:themeShade="BF"/>
          <w:sz w:val="20"/>
        </w:rPr>
        <w:t>).</w:t>
      </w:r>
      <w:r w:rsidR="00F86BD0" w:rsidRPr="004A6759">
        <w:rPr>
          <w:bCs/>
          <w:color w:val="17365D" w:themeColor="text2" w:themeShade="BF"/>
          <w:sz w:val="20"/>
        </w:rPr>
        <w:t xml:space="preserve"> </w:t>
      </w:r>
      <w:r w:rsidR="00F86BD0" w:rsidRPr="004A6759">
        <w:rPr>
          <w:b/>
          <w:bCs/>
          <w:color w:val="17365D" w:themeColor="text2" w:themeShade="BF"/>
          <w:sz w:val="20"/>
        </w:rPr>
        <w:t>Najniža</w:t>
      </w:r>
      <w:r w:rsidR="00F86BD0" w:rsidRPr="004A6759">
        <w:rPr>
          <w:bCs/>
          <w:color w:val="17365D" w:themeColor="text2" w:themeShade="BF"/>
          <w:sz w:val="20"/>
        </w:rPr>
        <w:t xml:space="preserve"> mjesečna prosječna neto plaća obračunata je zaposlenima kod poduzetnika u općini </w:t>
      </w:r>
      <w:r w:rsidR="001252F1" w:rsidRPr="004A6759">
        <w:rPr>
          <w:bCs/>
          <w:color w:val="17365D" w:themeColor="text2" w:themeShade="BF"/>
          <w:sz w:val="20"/>
        </w:rPr>
        <w:t>Mošćenička Draga</w:t>
      </w:r>
      <w:r w:rsidR="00F86BD0" w:rsidRPr="004A6759">
        <w:rPr>
          <w:bCs/>
          <w:color w:val="17365D" w:themeColor="text2" w:themeShade="BF"/>
          <w:sz w:val="20"/>
        </w:rPr>
        <w:t xml:space="preserve"> (</w:t>
      </w:r>
      <w:r w:rsidR="004A6759" w:rsidRPr="004A6759">
        <w:rPr>
          <w:bCs/>
          <w:color w:val="17365D" w:themeColor="text2" w:themeShade="BF"/>
          <w:sz w:val="20"/>
        </w:rPr>
        <w:t>3.853</w:t>
      </w:r>
      <w:r w:rsidR="00F86BD0" w:rsidRPr="004A6759">
        <w:rPr>
          <w:bCs/>
          <w:color w:val="17365D" w:themeColor="text2" w:themeShade="BF"/>
          <w:sz w:val="20"/>
        </w:rPr>
        <w:t xml:space="preserve"> kun</w:t>
      </w:r>
      <w:r w:rsidR="00550D41" w:rsidRPr="004A6759">
        <w:rPr>
          <w:bCs/>
          <w:color w:val="17365D" w:themeColor="text2" w:themeShade="BF"/>
          <w:sz w:val="20"/>
        </w:rPr>
        <w:t>e</w:t>
      </w:r>
      <w:r w:rsidR="00F86BD0" w:rsidRPr="004A6759">
        <w:rPr>
          <w:bCs/>
          <w:color w:val="17365D" w:themeColor="text2" w:themeShade="BF"/>
          <w:sz w:val="20"/>
        </w:rPr>
        <w:t>).</w:t>
      </w:r>
      <w:r w:rsidR="00DB7E33" w:rsidRPr="004A6759">
        <w:rPr>
          <w:bCs/>
          <w:color w:val="17365D" w:themeColor="text2" w:themeShade="BF"/>
          <w:sz w:val="20"/>
        </w:rPr>
        <w:t xml:space="preserve"> </w:t>
      </w:r>
    </w:p>
    <w:p w:rsidR="00483813" w:rsidRDefault="002B31B2" w:rsidP="00483813">
      <w:pPr>
        <w:widowControl w:val="0"/>
        <w:spacing w:after="0"/>
        <w:rPr>
          <w:bCs/>
          <w:color w:val="244061" w:themeColor="accent1" w:themeShade="80"/>
          <w:sz w:val="20"/>
        </w:rPr>
      </w:pPr>
      <w:r w:rsidRPr="006310AC">
        <w:rPr>
          <w:bCs/>
          <w:color w:val="244061" w:themeColor="accent1" w:themeShade="80"/>
          <w:sz w:val="20"/>
        </w:rPr>
        <w:t>Za usporedbu, prosječna mjesečna obračunana neto plaća zaposlenih kod poduzetnika na razini RH u 201</w:t>
      </w:r>
      <w:r w:rsidR="006310AC" w:rsidRPr="006310AC">
        <w:rPr>
          <w:bCs/>
          <w:color w:val="244061" w:themeColor="accent1" w:themeShade="80"/>
          <w:sz w:val="20"/>
        </w:rPr>
        <w:t>9</w:t>
      </w:r>
      <w:r w:rsidR="00AB1E1F" w:rsidRPr="006310AC">
        <w:rPr>
          <w:bCs/>
          <w:color w:val="244061" w:themeColor="accent1" w:themeShade="80"/>
          <w:sz w:val="20"/>
        </w:rPr>
        <w:t>.</w:t>
      </w:r>
      <w:r w:rsidRPr="006310AC">
        <w:rPr>
          <w:bCs/>
          <w:color w:val="244061" w:themeColor="accent1" w:themeShade="80"/>
          <w:sz w:val="20"/>
        </w:rPr>
        <w:t xml:space="preserve"> godini je iznosila 5.</w:t>
      </w:r>
      <w:r w:rsidR="00511D92">
        <w:rPr>
          <w:bCs/>
          <w:color w:val="244061" w:themeColor="accent1" w:themeShade="80"/>
          <w:sz w:val="20"/>
        </w:rPr>
        <w:t>815</w:t>
      </w:r>
      <w:r w:rsidRPr="006310AC">
        <w:rPr>
          <w:bCs/>
          <w:color w:val="244061" w:themeColor="accent1" w:themeShade="80"/>
          <w:sz w:val="20"/>
        </w:rPr>
        <w:t xml:space="preserve"> kun</w:t>
      </w:r>
      <w:r w:rsidR="00511D92">
        <w:rPr>
          <w:bCs/>
          <w:color w:val="244061" w:themeColor="accent1" w:themeShade="80"/>
          <w:sz w:val="20"/>
        </w:rPr>
        <w:t>a</w:t>
      </w:r>
      <w:r w:rsidR="00167A79" w:rsidRPr="004A6759">
        <w:rPr>
          <w:bCs/>
          <w:color w:val="244061" w:themeColor="accent1" w:themeShade="80"/>
          <w:sz w:val="20"/>
        </w:rPr>
        <w:t>. I</w:t>
      </w:r>
      <w:r w:rsidR="00BB1397" w:rsidRPr="004A6759">
        <w:rPr>
          <w:bCs/>
          <w:color w:val="244061" w:themeColor="accent1" w:themeShade="80"/>
          <w:sz w:val="20"/>
        </w:rPr>
        <w:t xml:space="preserve">znad toga prosjeka </w:t>
      </w:r>
      <w:r w:rsidR="000B4C65" w:rsidRPr="004A6759">
        <w:rPr>
          <w:bCs/>
          <w:color w:val="244061" w:themeColor="accent1" w:themeShade="80"/>
          <w:sz w:val="20"/>
        </w:rPr>
        <w:t xml:space="preserve">samo </w:t>
      </w:r>
      <w:r w:rsidR="00167A79" w:rsidRPr="004A6759">
        <w:rPr>
          <w:bCs/>
          <w:color w:val="244061" w:themeColor="accent1" w:themeShade="80"/>
          <w:sz w:val="20"/>
        </w:rPr>
        <w:t xml:space="preserve">su </w:t>
      </w:r>
      <w:r w:rsidRPr="004A6759">
        <w:rPr>
          <w:bCs/>
          <w:color w:val="244061" w:themeColor="accent1" w:themeShade="80"/>
          <w:sz w:val="20"/>
        </w:rPr>
        <w:t xml:space="preserve">poduzetnici </w:t>
      </w:r>
      <w:r w:rsidR="00152A99" w:rsidRPr="004A6759">
        <w:rPr>
          <w:bCs/>
          <w:color w:val="244061" w:themeColor="accent1" w:themeShade="80"/>
          <w:sz w:val="20"/>
        </w:rPr>
        <w:t xml:space="preserve">sa sjedištem u </w:t>
      </w:r>
      <w:r w:rsidR="004A6759" w:rsidRPr="004A6759">
        <w:rPr>
          <w:bCs/>
          <w:color w:val="244061" w:themeColor="accent1" w:themeShade="80"/>
          <w:sz w:val="20"/>
        </w:rPr>
        <w:t xml:space="preserve">Rijeci </w:t>
      </w:r>
      <w:r w:rsidR="00BB1397" w:rsidRPr="004A6759">
        <w:rPr>
          <w:bCs/>
          <w:color w:val="244061" w:themeColor="accent1" w:themeShade="80"/>
          <w:sz w:val="20"/>
        </w:rPr>
        <w:t>(</w:t>
      </w:r>
      <w:r w:rsidR="004A6759" w:rsidRPr="004A6759">
        <w:rPr>
          <w:bCs/>
          <w:color w:val="244061" w:themeColor="accent1" w:themeShade="80"/>
          <w:sz w:val="20"/>
        </w:rPr>
        <w:t>0</w:t>
      </w:r>
      <w:r w:rsidR="00550D41" w:rsidRPr="004A6759">
        <w:rPr>
          <w:bCs/>
          <w:color w:val="244061" w:themeColor="accent1" w:themeShade="80"/>
          <w:sz w:val="20"/>
        </w:rPr>
        <w:t>,6</w:t>
      </w:r>
      <w:r w:rsidRPr="004A6759">
        <w:rPr>
          <w:bCs/>
          <w:color w:val="244061" w:themeColor="accent1" w:themeShade="80"/>
          <w:sz w:val="20"/>
        </w:rPr>
        <w:t>%</w:t>
      </w:r>
      <w:r w:rsidR="00550D41" w:rsidRPr="004A6759">
        <w:rPr>
          <w:bCs/>
          <w:color w:val="244061" w:themeColor="accent1" w:themeShade="80"/>
          <w:sz w:val="20"/>
        </w:rPr>
        <w:t xml:space="preserve">), </w:t>
      </w:r>
      <w:r w:rsidR="00BB1397" w:rsidRPr="004A6759">
        <w:rPr>
          <w:bCs/>
          <w:color w:val="244061" w:themeColor="accent1" w:themeShade="80"/>
          <w:sz w:val="20"/>
        </w:rPr>
        <w:t>d</w:t>
      </w:r>
      <w:r w:rsidRPr="004A6759">
        <w:rPr>
          <w:bCs/>
          <w:color w:val="244061" w:themeColor="accent1" w:themeShade="80"/>
          <w:sz w:val="20"/>
        </w:rPr>
        <w:t xml:space="preserve">ok </w:t>
      </w:r>
      <w:r w:rsidR="00BE6F73" w:rsidRPr="004A6759">
        <w:rPr>
          <w:bCs/>
          <w:color w:val="244061" w:themeColor="accent1" w:themeShade="80"/>
          <w:sz w:val="20"/>
        </w:rPr>
        <w:t xml:space="preserve">su </w:t>
      </w:r>
      <w:r w:rsidRPr="004A6759">
        <w:rPr>
          <w:bCs/>
          <w:color w:val="244061" w:themeColor="accent1" w:themeShade="80"/>
          <w:sz w:val="20"/>
        </w:rPr>
        <w:t xml:space="preserve">poduzetnici </w:t>
      </w:r>
      <w:r w:rsidR="00BB1397" w:rsidRPr="004A6759">
        <w:rPr>
          <w:bCs/>
          <w:color w:val="244061" w:themeColor="accent1" w:themeShade="80"/>
          <w:sz w:val="20"/>
        </w:rPr>
        <w:t xml:space="preserve">u </w:t>
      </w:r>
      <w:r w:rsidR="00550D41" w:rsidRPr="004A6759">
        <w:rPr>
          <w:bCs/>
          <w:color w:val="244061" w:themeColor="accent1" w:themeShade="80"/>
          <w:sz w:val="20"/>
        </w:rPr>
        <w:t xml:space="preserve">svim </w:t>
      </w:r>
      <w:r w:rsidR="00BB1397" w:rsidRPr="004A6759">
        <w:rPr>
          <w:bCs/>
          <w:color w:val="244061" w:themeColor="accent1" w:themeShade="80"/>
          <w:sz w:val="20"/>
        </w:rPr>
        <w:t xml:space="preserve">ostalim gradovima i općina obuhvaćenim </w:t>
      </w:r>
      <w:r w:rsidRPr="004A6759">
        <w:rPr>
          <w:bCs/>
          <w:color w:val="244061" w:themeColor="accent1" w:themeShade="80"/>
          <w:sz w:val="20"/>
        </w:rPr>
        <w:t>Urban</w:t>
      </w:r>
      <w:r w:rsidR="00BB1397" w:rsidRPr="004A6759">
        <w:rPr>
          <w:bCs/>
          <w:color w:val="244061" w:themeColor="accent1" w:themeShade="80"/>
          <w:sz w:val="20"/>
        </w:rPr>
        <w:t>om aglomeracijom</w:t>
      </w:r>
      <w:r w:rsidRPr="004A6759">
        <w:rPr>
          <w:bCs/>
          <w:color w:val="244061" w:themeColor="accent1" w:themeShade="80"/>
          <w:sz w:val="20"/>
        </w:rPr>
        <w:t xml:space="preserve"> Rijeka </w:t>
      </w:r>
      <w:r w:rsidR="00152A99" w:rsidRPr="004A6759">
        <w:rPr>
          <w:bCs/>
          <w:color w:val="244061" w:themeColor="accent1" w:themeShade="80"/>
          <w:sz w:val="20"/>
        </w:rPr>
        <w:t xml:space="preserve">zaposlenima </w:t>
      </w:r>
      <w:r w:rsidRPr="004A6759">
        <w:rPr>
          <w:bCs/>
          <w:color w:val="244061" w:themeColor="accent1" w:themeShade="80"/>
          <w:sz w:val="20"/>
        </w:rPr>
        <w:t>obračunali nižu plaću od prosjeka na razini RH</w:t>
      </w:r>
      <w:r w:rsidR="00F86BD0" w:rsidRPr="004A6759">
        <w:rPr>
          <w:bCs/>
          <w:color w:val="244061" w:themeColor="accent1" w:themeShade="80"/>
          <w:sz w:val="20"/>
        </w:rPr>
        <w:t>.</w:t>
      </w:r>
    </w:p>
    <w:p w:rsidR="00325D36" w:rsidRPr="00325D36" w:rsidRDefault="00325D36" w:rsidP="0068571B">
      <w:pPr>
        <w:pBdr>
          <w:top w:val="single" w:sz="4" w:space="1" w:color="548DD4" w:themeColor="text2" w:themeTint="99"/>
          <w:left w:val="single" w:sz="4" w:space="4" w:color="548DD4" w:themeColor="text2" w:themeTint="99"/>
          <w:bottom w:val="single" w:sz="4" w:space="1" w:color="548DD4" w:themeColor="text2" w:themeTint="99"/>
          <w:right w:val="single" w:sz="4" w:space="4" w:color="548DD4" w:themeColor="text2" w:themeTint="99"/>
        </w:pBdr>
        <w:autoSpaceDE w:val="0"/>
        <w:autoSpaceDN w:val="0"/>
        <w:adjustRightInd w:val="0"/>
        <w:spacing w:after="0"/>
        <w:rPr>
          <w:rFonts w:eastAsia="Calibri" w:cs="Arial"/>
          <w:color w:val="104160"/>
          <w:sz w:val="20"/>
          <w:lang w:eastAsia="en-US"/>
        </w:rPr>
      </w:pPr>
      <w:r w:rsidRPr="00325D36">
        <w:rPr>
          <w:rFonts w:eastAsia="Calibri" w:cs="Arial"/>
          <w:color w:val="104160"/>
          <w:sz w:val="20"/>
          <w:lang w:eastAsia="en-US"/>
        </w:rPr>
        <w:t xml:space="preserve">Usporedba rezultata poduzetnika obuhvaćenih Urbanom aglomeracijom Rijeka od  2015. (osnovana u rujnu) do 2019. godine, s rezultatima poduzetnika na razini Primorsko-goranske županije, pokazala je da je broj poduzetnika rastao približno isto na razini oba skupa, 19,3% na razini PGŽ-a, a 19,6% na razini UAR-a, dok su broj zaposlenih, ukupni prihodi, ukupni rashodi, dobit razdoblja, neto dobit i izvoz više rasli kod poduzetnika na razini županije u odnosu na poduzetnike na razini aglomeracije. Kod poduzetnika na razini UAR-a više je rastao uvoz (62,5%) i prosječne mjesečne neto obračunane plaće (19,8%), dok je na razini PGŽ-a uvoz rastao 33,4%, a plaće 17,8%. </w:t>
      </w:r>
    </w:p>
    <w:p w:rsidR="004327E0" w:rsidRPr="00132FFE" w:rsidRDefault="00483813" w:rsidP="00483813">
      <w:pPr>
        <w:widowControl w:val="0"/>
        <w:spacing w:after="0"/>
        <w:rPr>
          <w:i/>
          <w:color w:val="1F497D"/>
          <w:sz w:val="2"/>
          <w:szCs w:val="16"/>
        </w:rPr>
      </w:pPr>
      <w:r w:rsidRPr="00132FFE">
        <w:rPr>
          <w:i/>
          <w:color w:val="1F497D"/>
          <w:sz w:val="2"/>
          <w:szCs w:val="16"/>
        </w:rPr>
        <w:t xml:space="preserve"> </w:t>
      </w:r>
    </w:p>
    <w:tbl>
      <w:tblPr>
        <w:tblW w:w="9752" w:type="dxa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7712"/>
        <w:gridCol w:w="2040"/>
      </w:tblGrid>
      <w:tr w:rsidR="00483813" w:rsidRPr="00483813" w:rsidTr="001C75FC">
        <w:trPr>
          <w:trHeight w:val="1871"/>
          <w:jc w:val="center"/>
        </w:trPr>
        <w:tc>
          <w:tcPr>
            <w:tcW w:w="771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483813" w:rsidRPr="0068571B" w:rsidRDefault="00544938" w:rsidP="00483813">
            <w:pPr>
              <w:widowControl w:val="0"/>
              <w:tabs>
                <w:tab w:val="left" w:pos="343"/>
              </w:tabs>
              <w:spacing w:before="60" w:after="0"/>
              <w:rPr>
                <w:rFonts w:cs="Arial"/>
                <w:i/>
                <w:color w:val="244061"/>
                <w:sz w:val="17"/>
                <w:szCs w:val="17"/>
                <w:shd w:val="clear" w:color="auto" w:fill="FFFFFF"/>
              </w:rPr>
            </w:pPr>
            <w:hyperlink r:id="rId15" w:history="1">
              <w:r w:rsidR="00483813" w:rsidRPr="001C75FC">
                <w:rPr>
                  <w:rFonts w:cs="Arial"/>
                  <w:b/>
                  <w:bCs/>
                  <w:i/>
                  <w:color w:val="0000FF"/>
                  <w:sz w:val="17"/>
                  <w:szCs w:val="17"/>
                  <w:u w:val="single"/>
                  <w:shd w:val="clear" w:color="auto" w:fill="FFFFFF"/>
                </w:rPr>
                <w:t>Info.BIZ</w:t>
              </w:r>
            </w:hyperlink>
            <w:r w:rsidR="00483813" w:rsidRPr="001C75FC">
              <w:rPr>
                <w:rFonts w:cs="Arial"/>
                <w:b/>
                <w:i/>
                <w:color w:val="0000FF"/>
                <w:sz w:val="17"/>
                <w:szCs w:val="17"/>
                <w:u w:val="single"/>
                <w:shd w:val="clear" w:color="auto" w:fill="FFFFFF"/>
              </w:rPr>
              <w:t xml:space="preserve"> </w:t>
            </w:r>
            <w:r w:rsidR="00483813" w:rsidRPr="001C75FC">
              <w:rPr>
                <w:rFonts w:cs="Arial"/>
                <w:b/>
                <w:i/>
                <w:color w:val="244061"/>
                <w:sz w:val="17"/>
                <w:szCs w:val="17"/>
                <w:shd w:val="clear" w:color="auto" w:fill="FFFFFF"/>
              </w:rPr>
              <w:t>servis</w:t>
            </w:r>
            <w:r w:rsidR="00483813" w:rsidRPr="0068571B">
              <w:rPr>
                <w:rFonts w:cs="Arial"/>
                <w:i/>
                <w:color w:val="244061"/>
                <w:sz w:val="17"/>
                <w:szCs w:val="17"/>
                <w:shd w:val="clear" w:color="auto" w:fill="FFFFFF"/>
              </w:rPr>
              <w:t xml:space="preserve"> pruža uvid u informacije o uspješnosti poslovanja i financijskom položaju svih poslovnih subjekata te o poslovnoj okolini u kojoj oni djeluju. Najveća je i najažurnija baza poslovnih informacija za </w:t>
            </w:r>
            <w:r w:rsidR="00483813" w:rsidRPr="0068571B">
              <w:rPr>
                <w:rFonts w:cs="Arial"/>
                <w:i/>
                <w:color w:val="244061"/>
                <w:sz w:val="17"/>
                <w:szCs w:val="17"/>
                <w:shd w:val="clear" w:color="auto" w:fill="D9D9D9"/>
              </w:rPr>
              <w:t xml:space="preserve">više od </w:t>
            </w:r>
            <w:r w:rsidR="00483813" w:rsidRPr="0068571B">
              <w:rPr>
                <w:rFonts w:cs="Arial"/>
                <w:b/>
                <w:i/>
                <w:color w:val="244061"/>
                <w:sz w:val="17"/>
                <w:szCs w:val="17"/>
                <w:shd w:val="clear" w:color="auto" w:fill="D9D9D9"/>
              </w:rPr>
              <w:t>830.000 poslovnih subjekata iz više od 30 izvora</w:t>
            </w:r>
            <w:r w:rsidR="00483813" w:rsidRPr="0068571B">
              <w:rPr>
                <w:rFonts w:cs="Arial"/>
                <w:b/>
                <w:i/>
                <w:color w:val="244061"/>
                <w:sz w:val="17"/>
                <w:szCs w:val="17"/>
                <w:shd w:val="clear" w:color="auto" w:fill="FFFFFF"/>
              </w:rPr>
              <w:t>.</w:t>
            </w:r>
            <w:r w:rsidR="00483813" w:rsidRPr="0068571B">
              <w:rPr>
                <w:rFonts w:cs="Arial"/>
                <w:i/>
                <w:color w:val="244061"/>
                <w:sz w:val="17"/>
                <w:szCs w:val="17"/>
                <w:shd w:val="clear" w:color="auto" w:fill="FFFFFF"/>
              </w:rPr>
              <w:t xml:space="preserve"> Omog</w:t>
            </w:r>
            <w:bookmarkStart w:id="1" w:name="_GoBack"/>
            <w:r w:rsidR="00483813" w:rsidRPr="0068571B">
              <w:rPr>
                <w:rFonts w:cs="Arial"/>
                <w:i/>
                <w:color w:val="244061"/>
                <w:sz w:val="17"/>
                <w:szCs w:val="17"/>
                <w:shd w:val="clear" w:color="auto" w:fill="FFFFFF"/>
              </w:rPr>
              <w:t>u</w:t>
            </w:r>
            <w:bookmarkEnd w:id="1"/>
            <w:r w:rsidR="00483813" w:rsidRPr="0068571B">
              <w:rPr>
                <w:rFonts w:cs="Arial"/>
                <w:i/>
                <w:color w:val="244061"/>
                <w:sz w:val="17"/>
                <w:szCs w:val="17"/>
                <w:shd w:val="clear" w:color="auto" w:fill="FFFFFF"/>
              </w:rPr>
              <w:t>ćuje brže, jednostavnije i sigurnije donošenje poslovnih odluka, sustavno praćenje klijenata, olakšava izradu poslovnih analiza te praćenje trendova i prepoznavanje potencijala na tržištu.</w:t>
            </w:r>
          </w:p>
          <w:p w:rsidR="00483813" w:rsidRPr="0068571B" w:rsidRDefault="00483813" w:rsidP="00483813">
            <w:pPr>
              <w:widowControl w:val="0"/>
              <w:tabs>
                <w:tab w:val="left" w:pos="343"/>
              </w:tabs>
              <w:spacing w:after="0"/>
              <w:rPr>
                <w:rFonts w:eastAsia="Calibri" w:cs="Arial"/>
                <w:i/>
                <w:color w:val="007AFF"/>
                <w:sz w:val="17"/>
                <w:szCs w:val="17"/>
                <w:lang w:eastAsia="en-US"/>
              </w:rPr>
            </w:pPr>
            <w:r w:rsidRPr="0068571B">
              <w:rPr>
                <w:rFonts w:eastAsia="Calibri" w:cs="Arial"/>
                <w:i/>
                <w:color w:val="244061"/>
                <w:sz w:val="17"/>
                <w:szCs w:val="17"/>
                <w:shd w:val="clear" w:color="auto" w:fill="D9D9D9"/>
                <w:lang w:eastAsia="en-US"/>
              </w:rPr>
              <w:t>Ako ste zainteresirani i želite ugovoriti uslugu ili kupiti veći broj paketa</w:t>
            </w:r>
            <w:r w:rsidRPr="0068571B">
              <w:rPr>
                <w:rFonts w:eastAsia="Calibri" w:cs="Arial"/>
                <w:i/>
                <w:color w:val="007AFF"/>
                <w:sz w:val="17"/>
                <w:szCs w:val="17"/>
                <w:u w:val="single"/>
                <w:lang w:eastAsia="en-US"/>
              </w:rPr>
              <w:t xml:space="preserve">: </w:t>
            </w:r>
            <w:hyperlink r:id="rId16" w:history="1">
              <w:r w:rsidRPr="0068571B">
                <w:rPr>
                  <w:rFonts w:cs="Arial"/>
                  <w:bCs/>
                  <w:i/>
                  <w:color w:val="0000FF"/>
                  <w:sz w:val="17"/>
                  <w:szCs w:val="17"/>
                  <w:u w:val="single"/>
                  <w:shd w:val="clear" w:color="auto" w:fill="FFFFFF"/>
                </w:rPr>
                <w:t>prodaja@fina.hr</w:t>
              </w:r>
            </w:hyperlink>
          </w:p>
          <w:p w:rsidR="00483813" w:rsidRPr="00483813" w:rsidRDefault="00483813" w:rsidP="00483813">
            <w:pPr>
              <w:widowControl w:val="0"/>
              <w:tabs>
                <w:tab w:val="left" w:pos="343"/>
              </w:tabs>
              <w:spacing w:before="0" w:after="0"/>
              <w:rPr>
                <w:rFonts w:eastAsia="Calibri" w:cs="Arial"/>
                <w:i/>
                <w:color w:val="0000FF"/>
                <w:sz w:val="16"/>
                <w:szCs w:val="16"/>
                <w:u w:val="single"/>
              </w:rPr>
            </w:pPr>
            <w:r w:rsidRPr="0068571B">
              <w:rPr>
                <w:rFonts w:eastAsia="Calibri" w:cs="Arial"/>
                <w:i/>
                <w:color w:val="244061"/>
                <w:sz w:val="17"/>
                <w:szCs w:val="17"/>
                <w:shd w:val="clear" w:color="auto" w:fill="D9D9D9"/>
                <w:lang w:eastAsia="en-US"/>
              </w:rPr>
              <w:t>Ako trebate korisničku podršku</w:t>
            </w:r>
            <w:r w:rsidRPr="0068571B">
              <w:rPr>
                <w:rFonts w:eastAsia="Calibri" w:cs="Arial"/>
                <w:i/>
                <w:color w:val="244061"/>
                <w:sz w:val="17"/>
                <w:szCs w:val="17"/>
                <w:shd w:val="clear" w:color="auto" w:fill="F5F6F8"/>
                <w:lang w:eastAsia="en-US"/>
              </w:rPr>
              <w:t>: 0800 0080</w:t>
            </w:r>
            <w:r w:rsidRPr="0068571B">
              <w:rPr>
                <w:rFonts w:eastAsia="Calibri" w:cs="Arial"/>
                <w:i/>
                <w:color w:val="33343A"/>
                <w:sz w:val="17"/>
                <w:szCs w:val="17"/>
                <w:shd w:val="clear" w:color="auto" w:fill="F5F6F8"/>
                <w:lang w:eastAsia="en-US"/>
              </w:rPr>
              <w:t xml:space="preserve">, </w:t>
            </w:r>
            <w:hyperlink r:id="rId17" w:history="1">
              <w:r w:rsidRPr="0068571B">
                <w:rPr>
                  <w:rFonts w:cs="Arial"/>
                  <w:bCs/>
                  <w:i/>
                  <w:color w:val="0000FF"/>
                  <w:sz w:val="17"/>
                  <w:szCs w:val="17"/>
                  <w:u w:val="single"/>
                  <w:shd w:val="clear" w:color="auto" w:fill="FFFFFF"/>
                </w:rPr>
                <w:t>info@fina.hr</w:t>
              </w:r>
            </w:hyperlink>
          </w:p>
        </w:tc>
        <w:tc>
          <w:tcPr>
            <w:tcW w:w="204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:rsidR="00483813" w:rsidRPr="00483813" w:rsidRDefault="00483813" w:rsidP="00483813">
            <w:pPr>
              <w:spacing w:before="0" w:after="0"/>
              <w:jc w:val="center"/>
              <w:rPr>
                <w:rFonts w:eastAsia="Calibri" w:cs="Arial"/>
                <w:bCs/>
                <w:color w:val="17365D"/>
                <w:sz w:val="16"/>
                <w:szCs w:val="16"/>
                <w:lang w:eastAsia="en-US"/>
              </w:rPr>
            </w:pPr>
            <w:r w:rsidRPr="00483813">
              <w:rPr>
                <w:rFonts w:eastAsia="Calibri" w:cs="Arial"/>
                <w:noProof/>
                <w:color w:val="auto"/>
                <w:sz w:val="16"/>
                <w:szCs w:val="16"/>
                <w:lang w:val="en-US" w:eastAsia="en-US"/>
              </w:rPr>
              <w:drawing>
                <wp:inline distT="0" distB="0" distL="0" distR="0" wp14:anchorId="43983A5B" wp14:editId="42038D66">
                  <wp:extent cx="1224000" cy="1152000"/>
                  <wp:effectExtent l="0" t="0" r="0" b="0"/>
                  <wp:docPr id="12" name="Slika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670" r="585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000" cy="11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B0D33" w:rsidRPr="0068571B" w:rsidRDefault="0068571B" w:rsidP="00325D36">
      <w:pPr>
        <w:widowControl w:val="0"/>
        <w:tabs>
          <w:tab w:val="left" w:pos="1134"/>
        </w:tabs>
        <w:spacing w:before="180" w:after="40" w:line="240" w:lineRule="auto"/>
        <w:rPr>
          <w:rFonts w:cs="Arial"/>
          <w:i/>
          <w:color w:val="17365D" w:themeColor="text2" w:themeShade="BF"/>
          <w:sz w:val="17"/>
          <w:szCs w:val="17"/>
        </w:rPr>
      </w:pPr>
      <w:r w:rsidRPr="00211B27">
        <w:rPr>
          <w:rFonts w:cs="Arial"/>
          <w:b/>
          <w:i/>
          <w:color w:val="17365D" w:themeColor="text2" w:themeShade="BF"/>
          <w:sz w:val="17"/>
          <w:szCs w:val="17"/>
        </w:rPr>
        <w:t>Informacija o tome je li poslovni subjekt u blokadi ili ne</w:t>
      </w:r>
      <w:r w:rsidRPr="0068571B">
        <w:rPr>
          <w:rFonts w:cs="Arial"/>
          <w:i/>
          <w:color w:val="17365D" w:themeColor="text2" w:themeShade="BF"/>
          <w:sz w:val="17"/>
          <w:szCs w:val="17"/>
        </w:rPr>
        <w:t xml:space="preserve">, dostupna je korištenjem usluge </w:t>
      </w:r>
      <w:hyperlink r:id="rId19" w:history="1">
        <w:r w:rsidRPr="0068571B">
          <w:rPr>
            <w:rFonts w:eastAsia="Calibri" w:cs="Arial"/>
            <w:bCs/>
            <w:i/>
            <w:color w:val="0000FF"/>
            <w:sz w:val="17"/>
            <w:szCs w:val="17"/>
            <w:u w:val="single"/>
            <w:lang w:eastAsia="en-US"/>
          </w:rPr>
          <w:t>FINA InfoBlokade</w:t>
        </w:r>
      </w:hyperlink>
      <w:r w:rsidRPr="0068571B">
        <w:rPr>
          <w:rFonts w:cs="Arial"/>
          <w:i/>
          <w:color w:val="17365D" w:themeColor="text2" w:themeShade="BF"/>
          <w:sz w:val="17"/>
          <w:szCs w:val="17"/>
        </w:rPr>
        <w:t xml:space="preserve"> slanjem SMS poruke na broj 81805, uz naknadu od 12,50 kuna (s PDV-om).</w:t>
      </w:r>
    </w:p>
    <w:sectPr w:rsidR="001B0D33" w:rsidRPr="0068571B" w:rsidSect="00575CF7">
      <w:headerReference w:type="default" r:id="rId20"/>
      <w:footerReference w:type="default" r:id="rId21"/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938" w:rsidRDefault="00544938" w:rsidP="00E65163">
      <w:pPr>
        <w:spacing w:line="240" w:lineRule="auto"/>
      </w:pPr>
      <w:r>
        <w:separator/>
      </w:r>
    </w:p>
  </w:endnote>
  <w:endnote w:type="continuationSeparator" w:id="0">
    <w:p w:rsidR="00544938" w:rsidRDefault="00544938" w:rsidP="00E651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 Helvetica, 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A79" w:rsidRPr="00167A79" w:rsidRDefault="00167A79" w:rsidP="00575CF7">
    <w:pPr>
      <w:pStyle w:val="Podnoje"/>
      <w:spacing w:before="0" w:after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938" w:rsidRDefault="00544938" w:rsidP="00E65163">
      <w:pPr>
        <w:spacing w:line="240" w:lineRule="auto"/>
      </w:pPr>
      <w:r>
        <w:separator/>
      </w:r>
    </w:p>
  </w:footnote>
  <w:footnote w:type="continuationSeparator" w:id="0">
    <w:p w:rsidR="00544938" w:rsidRDefault="00544938" w:rsidP="00E65163">
      <w:pPr>
        <w:spacing w:line="240" w:lineRule="auto"/>
      </w:pPr>
      <w:r>
        <w:continuationSeparator/>
      </w:r>
    </w:p>
  </w:footnote>
  <w:footnote w:id="1">
    <w:p w:rsidR="001A777A" w:rsidRPr="00A61214" w:rsidRDefault="001A777A" w:rsidP="00A61214">
      <w:pPr>
        <w:widowControl w:val="0"/>
        <w:spacing w:before="0" w:after="0" w:line="240" w:lineRule="auto"/>
        <w:jc w:val="left"/>
        <w:rPr>
          <w:sz w:val="16"/>
          <w:szCs w:val="16"/>
        </w:rPr>
      </w:pPr>
      <w:r w:rsidRPr="00A61214">
        <w:rPr>
          <w:rStyle w:val="Referencafusnote"/>
          <w:sz w:val="16"/>
          <w:szCs w:val="16"/>
        </w:rPr>
        <w:footnoteRef/>
      </w:r>
      <w:r w:rsidRPr="00A61214">
        <w:rPr>
          <w:sz w:val="16"/>
          <w:szCs w:val="16"/>
        </w:rPr>
        <w:t xml:space="preserve"> </w:t>
      </w:r>
      <w:r w:rsidRPr="00A61214">
        <w:rPr>
          <w:rFonts w:cs="Arial"/>
          <w:color w:val="244061" w:themeColor="accent1" w:themeShade="80"/>
          <w:sz w:val="16"/>
          <w:szCs w:val="16"/>
        </w:rPr>
        <w:t xml:space="preserve">Središnji državni portal, Ustrojena urbana aglomeracije Rijeka, preuzeto </w:t>
      </w:r>
      <w:r w:rsidR="009F2F41">
        <w:rPr>
          <w:rFonts w:cs="Arial"/>
          <w:color w:val="244061" w:themeColor="accent1" w:themeShade="80"/>
          <w:sz w:val="16"/>
          <w:szCs w:val="16"/>
        </w:rPr>
        <w:t>10.ožujka 2021</w:t>
      </w:r>
      <w:r w:rsidRPr="00A61214">
        <w:rPr>
          <w:rFonts w:cs="Arial"/>
          <w:color w:val="244061" w:themeColor="accent1" w:themeShade="80"/>
          <w:sz w:val="16"/>
          <w:szCs w:val="16"/>
        </w:rPr>
        <w:t xml:space="preserve">. </w:t>
      </w:r>
      <w:hyperlink r:id="rId1" w:history="1">
        <w:r w:rsidRPr="00A61214">
          <w:rPr>
            <w:rStyle w:val="Hiperveza"/>
            <w:rFonts w:cs="Arial"/>
            <w:sz w:val="16"/>
            <w:szCs w:val="16"/>
          </w:rPr>
          <w:t>https://razvoj.gov.hr/prva-urbana-aglomeracija-u-republici-hrvatskoj-urbana-aglomeracija-rijeka/3190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F1B" w:rsidRPr="00E26D38" w:rsidRDefault="005A1F1B" w:rsidP="0063676D">
    <w:pPr>
      <w:pStyle w:val="Zaglavlje"/>
      <w:spacing w:before="0" w:after="0"/>
      <w:rPr>
        <w:sz w:val="20"/>
      </w:rPr>
    </w:pPr>
    <w:r>
      <w:rPr>
        <w:rFonts w:ascii="Arial, Helvetica, sans-serif" w:hAnsi="Arial, Helvetica, sans-serif"/>
        <w:noProof/>
        <w:color w:val="00325A"/>
        <w:sz w:val="20"/>
        <w:lang w:val="en-US" w:eastAsia="en-US"/>
      </w:rPr>
      <w:drawing>
        <wp:inline distT="0" distB="0" distL="0" distR="0" wp14:anchorId="48129224" wp14:editId="0B7D4E2A">
          <wp:extent cx="995045" cy="219710"/>
          <wp:effectExtent l="0" t="0" r="0" b="8890"/>
          <wp:docPr id="8" name="Picture 3" descr="Opis: http://intrajrr/images/finalog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http://intrajrr/images/finalog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5045" cy="219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5EC"/>
    <w:multiLevelType w:val="multilevel"/>
    <w:tmpl w:val="D632F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BB241D"/>
    <w:multiLevelType w:val="hybridMultilevel"/>
    <w:tmpl w:val="46ACC8EA"/>
    <w:lvl w:ilvl="0" w:tplc="7424EB3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163"/>
    <w:rsid w:val="0000163D"/>
    <w:rsid w:val="0000399D"/>
    <w:rsid w:val="0001005A"/>
    <w:rsid w:val="00034DC3"/>
    <w:rsid w:val="00034F8E"/>
    <w:rsid w:val="00035BB1"/>
    <w:rsid w:val="00035FC3"/>
    <w:rsid w:val="000512F7"/>
    <w:rsid w:val="00064F08"/>
    <w:rsid w:val="0006615F"/>
    <w:rsid w:val="00067815"/>
    <w:rsid w:val="0006792B"/>
    <w:rsid w:val="0007258B"/>
    <w:rsid w:val="00076D69"/>
    <w:rsid w:val="00080961"/>
    <w:rsid w:val="000A0D72"/>
    <w:rsid w:val="000A2907"/>
    <w:rsid w:val="000A5C74"/>
    <w:rsid w:val="000A724E"/>
    <w:rsid w:val="000B1AA0"/>
    <w:rsid w:val="000B4C65"/>
    <w:rsid w:val="000C2E46"/>
    <w:rsid w:val="000E4B2A"/>
    <w:rsid w:val="000E56E2"/>
    <w:rsid w:val="00105FCF"/>
    <w:rsid w:val="001252F1"/>
    <w:rsid w:val="0013382A"/>
    <w:rsid w:val="001411EF"/>
    <w:rsid w:val="001432CB"/>
    <w:rsid w:val="0014596F"/>
    <w:rsid w:val="00152A99"/>
    <w:rsid w:val="00156F2F"/>
    <w:rsid w:val="00161CA1"/>
    <w:rsid w:val="0016528A"/>
    <w:rsid w:val="0016617F"/>
    <w:rsid w:val="00167A79"/>
    <w:rsid w:val="00173132"/>
    <w:rsid w:val="00177727"/>
    <w:rsid w:val="00184040"/>
    <w:rsid w:val="001A4911"/>
    <w:rsid w:val="001A755C"/>
    <w:rsid w:val="001A777A"/>
    <w:rsid w:val="001B0D33"/>
    <w:rsid w:val="001C691D"/>
    <w:rsid w:val="001C75FC"/>
    <w:rsid w:val="001D08D5"/>
    <w:rsid w:val="001D65CB"/>
    <w:rsid w:val="0020405E"/>
    <w:rsid w:val="00204C23"/>
    <w:rsid w:val="00211B27"/>
    <w:rsid w:val="002155B7"/>
    <w:rsid w:val="002345C3"/>
    <w:rsid w:val="00243587"/>
    <w:rsid w:val="00257A90"/>
    <w:rsid w:val="0028152E"/>
    <w:rsid w:val="00285571"/>
    <w:rsid w:val="00294CB0"/>
    <w:rsid w:val="002A31D4"/>
    <w:rsid w:val="002B2592"/>
    <w:rsid w:val="002B31B2"/>
    <w:rsid w:val="002C2DA0"/>
    <w:rsid w:val="002E5AC3"/>
    <w:rsid w:val="002F6480"/>
    <w:rsid w:val="00303721"/>
    <w:rsid w:val="0030472C"/>
    <w:rsid w:val="0030516D"/>
    <w:rsid w:val="00310ECD"/>
    <w:rsid w:val="0031292E"/>
    <w:rsid w:val="00313E09"/>
    <w:rsid w:val="00325D36"/>
    <w:rsid w:val="0032645D"/>
    <w:rsid w:val="00333F4B"/>
    <w:rsid w:val="003413A8"/>
    <w:rsid w:val="003573A1"/>
    <w:rsid w:val="00364781"/>
    <w:rsid w:val="00371557"/>
    <w:rsid w:val="00374044"/>
    <w:rsid w:val="00381C7C"/>
    <w:rsid w:val="00383F93"/>
    <w:rsid w:val="00385EB9"/>
    <w:rsid w:val="00386E0C"/>
    <w:rsid w:val="003A19D7"/>
    <w:rsid w:val="003A429F"/>
    <w:rsid w:val="003B219A"/>
    <w:rsid w:val="003E3E8E"/>
    <w:rsid w:val="003E79B4"/>
    <w:rsid w:val="003F3D26"/>
    <w:rsid w:val="004003B8"/>
    <w:rsid w:val="004318D2"/>
    <w:rsid w:val="004327E0"/>
    <w:rsid w:val="00446682"/>
    <w:rsid w:val="00454C30"/>
    <w:rsid w:val="0046677D"/>
    <w:rsid w:val="00475352"/>
    <w:rsid w:val="004820BC"/>
    <w:rsid w:val="00483813"/>
    <w:rsid w:val="004870E9"/>
    <w:rsid w:val="0049057B"/>
    <w:rsid w:val="00491E61"/>
    <w:rsid w:val="004A6759"/>
    <w:rsid w:val="004B09AF"/>
    <w:rsid w:val="004B0F39"/>
    <w:rsid w:val="004B443E"/>
    <w:rsid w:val="004C4BD5"/>
    <w:rsid w:val="004D3422"/>
    <w:rsid w:val="004E2964"/>
    <w:rsid w:val="005026ED"/>
    <w:rsid w:val="00511D92"/>
    <w:rsid w:val="00515596"/>
    <w:rsid w:val="00515E62"/>
    <w:rsid w:val="00524625"/>
    <w:rsid w:val="005344B2"/>
    <w:rsid w:val="005367C4"/>
    <w:rsid w:val="00536C16"/>
    <w:rsid w:val="0054301B"/>
    <w:rsid w:val="005446EB"/>
    <w:rsid w:val="00544938"/>
    <w:rsid w:val="00550D41"/>
    <w:rsid w:val="00554483"/>
    <w:rsid w:val="00575CF7"/>
    <w:rsid w:val="00577848"/>
    <w:rsid w:val="00580194"/>
    <w:rsid w:val="00594342"/>
    <w:rsid w:val="005A1F1B"/>
    <w:rsid w:val="005A3981"/>
    <w:rsid w:val="005B1C5F"/>
    <w:rsid w:val="005C2AC2"/>
    <w:rsid w:val="005E23E6"/>
    <w:rsid w:val="005E4288"/>
    <w:rsid w:val="006007F3"/>
    <w:rsid w:val="006109DE"/>
    <w:rsid w:val="00615043"/>
    <w:rsid w:val="00626754"/>
    <w:rsid w:val="006310AC"/>
    <w:rsid w:val="0063676D"/>
    <w:rsid w:val="0063721B"/>
    <w:rsid w:val="00641944"/>
    <w:rsid w:val="006507BB"/>
    <w:rsid w:val="00651385"/>
    <w:rsid w:val="00652D07"/>
    <w:rsid w:val="0065357B"/>
    <w:rsid w:val="0068047C"/>
    <w:rsid w:val="0068571B"/>
    <w:rsid w:val="00690C8C"/>
    <w:rsid w:val="006A1050"/>
    <w:rsid w:val="006A6DA7"/>
    <w:rsid w:val="006B37E2"/>
    <w:rsid w:val="006B3D3F"/>
    <w:rsid w:val="006C597E"/>
    <w:rsid w:val="006D1088"/>
    <w:rsid w:val="006E57FC"/>
    <w:rsid w:val="006F086A"/>
    <w:rsid w:val="006F4BD9"/>
    <w:rsid w:val="006F7790"/>
    <w:rsid w:val="00706706"/>
    <w:rsid w:val="00707EE7"/>
    <w:rsid w:val="00712068"/>
    <w:rsid w:val="0071313A"/>
    <w:rsid w:val="007149E5"/>
    <w:rsid w:val="00721F51"/>
    <w:rsid w:val="00722687"/>
    <w:rsid w:val="00727EAA"/>
    <w:rsid w:val="007303BE"/>
    <w:rsid w:val="00740471"/>
    <w:rsid w:val="00740538"/>
    <w:rsid w:val="00743607"/>
    <w:rsid w:val="007440B1"/>
    <w:rsid w:val="00747829"/>
    <w:rsid w:val="00750E93"/>
    <w:rsid w:val="007518B0"/>
    <w:rsid w:val="00760CE8"/>
    <w:rsid w:val="007714F6"/>
    <w:rsid w:val="007B329E"/>
    <w:rsid w:val="007B4C73"/>
    <w:rsid w:val="007C14F9"/>
    <w:rsid w:val="007C3AE8"/>
    <w:rsid w:val="007D111A"/>
    <w:rsid w:val="007F0DF9"/>
    <w:rsid w:val="007F51E5"/>
    <w:rsid w:val="00803F66"/>
    <w:rsid w:val="00807168"/>
    <w:rsid w:val="0081131D"/>
    <w:rsid w:val="008276A7"/>
    <w:rsid w:val="008310DD"/>
    <w:rsid w:val="008437B7"/>
    <w:rsid w:val="008472D5"/>
    <w:rsid w:val="008503FD"/>
    <w:rsid w:val="00852CF8"/>
    <w:rsid w:val="0087687F"/>
    <w:rsid w:val="00886A84"/>
    <w:rsid w:val="008B1071"/>
    <w:rsid w:val="008B1A97"/>
    <w:rsid w:val="008B3A95"/>
    <w:rsid w:val="008C1434"/>
    <w:rsid w:val="008C61B1"/>
    <w:rsid w:val="008E007C"/>
    <w:rsid w:val="008F09DA"/>
    <w:rsid w:val="00903155"/>
    <w:rsid w:val="00906215"/>
    <w:rsid w:val="00911554"/>
    <w:rsid w:val="009164E1"/>
    <w:rsid w:val="00932C8E"/>
    <w:rsid w:val="009519D7"/>
    <w:rsid w:val="00954F76"/>
    <w:rsid w:val="0096021D"/>
    <w:rsid w:val="00974E1C"/>
    <w:rsid w:val="009C1022"/>
    <w:rsid w:val="009C2FA8"/>
    <w:rsid w:val="009C7CFA"/>
    <w:rsid w:val="009F063D"/>
    <w:rsid w:val="009F2F41"/>
    <w:rsid w:val="00A0196D"/>
    <w:rsid w:val="00A12FF2"/>
    <w:rsid w:val="00A13298"/>
    <w:rsid w:val="00A273AB"/>
    <w:rsid w:val="00A30312"/>
    <w:rsid w:val="00A61214"/>
    <w:rsid w:val="00A6313D"/>
    <w:rsid w:val="00A63A70"/>
    <w:rsid w:val="00A70CBE"/>
    <w:rsid w:val="00A742A4"/>
    <w:rsid w:val="00A8245F"/>
    <w:rsid w:val="00A83645"/>
    <w:rsid w:val="00A90BA7"/>
    <w:rsid w:val="00AB1E1F"/>
    <w:rsid w:val="00AB2EB9"/>
    <w:rsid w:val="00AC569A"/>
    <w:rsid w:val="00AF0509"/>
    <w:rsid w:val="00B0422F"/>
    <w:rsid w:val="00B05A48"/>
    <w:rsid w:val="00B27E68"/>
    <w:rsid w:val="00B27EB6"/>
    <w:rsid w:val="00B34127"/>
    <w:rsid w:val="00B50F6E"/>
    <w:rsid w:val="00B61FC2"/>
    <w:rsid w:val="00B64C34"/>
    <w:rsid w:val="00B8470E"/>
    <w:rsid w:val="00B91017"/>
    <w:rsid w:val="00B94430"/>
    <w:rsid w:val="00B94544"/>
    <w:rsid w:val="00B95EB6"/>
    <w:rsid w:val="00BA2BD1"/>
    <w:rsid w:val="00BB1397"/>
    <w:rsid w:val="00BB3136"/>
    <w:rsid w:val="00BB3E53"/>
    <w:rsid w:val="00BB5C91"/>
    <w:rsid w:val="00BC1B07"/>
    <w:rsid w:val="00BC3095"/>
    <w:rsid w:val="00BD2BDF"/>
    <w:rsid w:val="00BE6F73"/>
    <w:rsid w:val="00BE7177"/>
    <w:rsid w:val="00BF6934"/>
    <w:rsid w:val="00C15502"/>
    <w:rsid w:val="00C269EC"/>
    <w:rsid w:val="00C27AA6"/>
    <w:rsid w:val="00C30983"/>
    <w:rsid w:val="00C32213"/>
    <w:rsid w:val="00C32525"/>
    <w:rsid w:val="00C40BEA"/>
    <w:rsid w:val="00C411EC"/>
    <w:rsid w:val="00C51E13"/>
    <w:rsid w:val="00C55D0B"/>
    <w:rsid w:val="00C62BC7"/>
    <w:rsid w:val="00C82B9B"/>
    <w:rsid w:val="00CA6C5F"/>
    <w:rsid w:val="00CC6346"/>
    <w:rsid w:val="00CC6437"/>
    <w:rsid w:val="00CD4ED8"/>
    <w:rsid w:val="00CD74C7"/>
    <w:rsid w:val="00CE145E"/>
    <w:rsid w:val="00CE7825"/>
    <w:rsid w:val="00D034D0"/>
    <w:rsid w:val="00D11C64"/>
    <w:rsid w:val="00D13452"/>
    <w:rsid w:val="00D174D1"/>
    <w:rsid w:val="00D272B4"/>
    <w:rsid w:val="00D30907"/>
    <w:rsid w:val="00D32C40"/>
    <w:rsid w:val="00D46BB2"/>
    <w:rsid w:val="00D50069"/>
    <w:rsid w:val="00D50072"/>
    <w:rsid w:val="00D50E4E"/>
    <w:rsid w:val="00D55B64"/>
    <w:rsid w:val="00D6295D"/>
    <w:rsid w:val="00D73858"/>
    <w:rsid w:val="00D85466"/>
    <w:rsid w:val="00D85A6F"/>
    <w:rsid w:val="00D94D86"/>
    <w:rsid w:val="00DA5BBA"/>
    <w:rsid w:val="00DA78C1"/>
    <w:rsid w:val="00DB671D"/>
    <w:rsid w:val="00DB71D5"/>
    <w:rsid w:val="00DB7E33"/>
    <w:rsid w:val="00DC25AD"/>
    <w:rsid w:val="00DD0960"/>
    <w:rsid w:val="00DD4EF3"/>
    <w:rsid w:val="00DE57C3"/>
    <w:rsid w:val="00E1270F"/>
    <w:rsid w:val="00E25693"/>
    <w:rsid w:val="00E25AA5"/>
    <w:rsid w:val="00E26D38"/>
    <w:rsid w:val="00E30BE1"/>
    <w:rsid w:val="00E35AA5"/>
    <w:rsid w:val="00E363DF"/>
    <w:rsid w:val="00E42FC7"/>
    <w:rsid w:val="00E519E0"/>
    <w:rsid w:val="00E556B9"/>
    <w:rsid w:val="00E55DFB"/>
    <w:rsid w:val="00E65163"/>
    <w:rsid w:val="00E67617"/>
    <w:rsid w:val="00E7040E"/>
    <w:rsid w:val="00E76697"/>
    <w:rsid w:val="00E841A3"/>
    <w:rsid w:val="00E8698C"/>
    <w:rsid w:val="00E93CB6"/>
    <w:rsid w:val="00EA3887"/>
    <w:rsid w:val="00EB4BC9"/>
    <w:rsid w:val="00EE1A1B"/>
    <w:rsid w:val="00F03F08"/>
    <w:rsid w:val="00F07F4E"/>
    <w:rsid w:val="00F113C3"/>
    <w:rsid w:val="00F31100"/>
    <w:rsid w:val="00F33EE9"/>
    <w:rsid w:val="00F35951"/>
    <w:rsid w:val="00F41848"/>
    <w:rsid w:val="00F51E56"/>
    <w:rsid w:val="00F523CC"/>
    <w:rsid w:val="00F54913"/>
    <w:rsid w:val="00F6138C"/>
    <w:rsid w:val="00F67B2C"/>
    <w:rsid w:val="00F7773B"/>
    <w:rsid w:val="00F83089"/>
    <w:rsid w:val="00F86BD0"/>
    <w:rsid w:val="00FC05C0"/>
    <w:rsid w:val="00FC31F7"/>
    <w:rsid w:val="00FC52F5"/>
    <w:rsid w:val="00FD17CE"/>
    <w:rsid w:val="00FE6807"/>
    <w:rsid w:val="00FF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E33"/>
    <w:rPr>
      <w:rFonts w:ascii="Arial" w:eastAsia="Times New Roman" w:hAnsi="Arial" w:cs="Times New Roman"/>
      <w:color w:val="003366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rsid w:val="00E65163"/>
    <w:rPr>
      <w:sz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65163"/>
    <w:rPr>
      <w:rFonts w:ascii="Arial" w:eastAsia="Times New Roman" w:hAnsi="Arial" w:cs="Times New Roman"/>
      <w:color w:val="003366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rsid w:val="00E65163"/>
    <w:rPr>
      <w:rFonts w:cs="Times New Roman"/>
      <w:vertAlign w:val="superscript"/>
    </w:rPr>
  </w:style>
  <w:style w:type="character" w:styleId="Hiperveza">
    <w:name w:val="Hyperlink"/>
    <w:basedOn w:val="Zadanifontodlomka"/>
    <w:uiPriority w:val="99"/>
    <w:rsid w:val="00E65163"/>
    <w:rPr>
      <w:rFonts w:cs="Times New Roman"/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rsid w:val="00E6516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rsid w:val="00E65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651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5163"/>
    <w:rPr>
      <w:rFonts w:ascii="Tahoma" w:eastAsia="Times New Roman" w:hAnsi="Tahoma" w:cs="Tahoma"/>
      <w:color w:val="003366"/>
      <w:sz w:val="16"/>
      <w:szCs w:val="16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CD4ED8"/>
    <w:rPr>
      <w:color w:val="800080" w:themeColor="followedHyperlink"/>
      <w:u w:val="single"/>
    </w:rPr>
  </w:style>
  <w:style w:type="character" w:styleId="Naglaeno">
    <w:name w:val="Strong"/>
    <w:basedOn w:val="Zadanifontodlomka"/>
    <w:uiPriority w:val="22"/>
    <w:qFormat/>
    <w:rsid w:val="00D30907"/>
    <w:rPr>
      <w:b/>
      <w:bCs/>
    </w:rPr>
  </w:style>
  <w:style w:type="character" w:customStyle="1" w:styleId="apple-converted-space">
    <w:name w:val="apple-converted-space"/>
    <w:basedOn w:val="Zadanifontodlomka"/>
    <w:rsid w:val="00D30907"/>
  </w:style>
  <w:style w:type="paragraph" w:styleId="Odlomakpopisa">
    <w:name w:val="List Paragraph"/>
    <w:basedOn w:val="Normal"/>
    <w:uiPriority w:val="34"/>
    <w:qFormat/>
    <w:rsid w:val="00D3090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A1F1B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A1F1B"/>
    <w:rPr>
      <w:rFonts w:ascii="Arial" w:eastAsia="Times New Roman" w:hAnsi="Arial" w:cs="Times New Roman"/>
      <w:color w:val="003366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A1F1B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A1F1B"/>
    <w:rPr>
      <w:rFonts w:ascii="Arial" w:eastAsia="Times New Roman" w:hAnsi="Arial" w:cs="Times New Roman"/>
      <w:color w:val="003366"/>
      <w:szCs w:val="20"/>
      <w:lang w:eastAsia="hr-HR"/>
    </w:rPr>
  </w:style>
  <w:style w:type="character" w:customStyle="1" w:styleId="cat-var-name1">
    <w:name w:val="cat-var-name1"/>
    <w:basedOn w:val="Zadanifontodlomka"/>
    <w:rsid w:val="008F09D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E33"/>
    <w:rPr>
      <w:rFonts w:ascii="Arial" w:eastAsia="Times New Roman" w:hAnsi="Arial" w:cs="Times New Roman"/>
      <w:color w:val="003366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rsid w:val="00E65163"/>
    <w:rPr>
      <w:sz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65163"/>
    <w:rPr>
      <w:rFonts w:ascii="Arial" w:eastAsia="Times New Roman" w:hAnsi="Arial" w:cs="Times New Roman"/>
      <w:color w:val="003366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rsid w:val="00E65163"/>
    <w:rPr>
      <w:rFonts w:cs="Times New Roman"/>
      <w:vertAlign w:val="superscript"/>
    </w:rPr>
  </w:style>
  <w:style w:type="character" w:styleId="Hiperveza">
    <w:name w:val="Hyperlink"/>
    <w:basedOn w:val="Zadanifontodlomka"/>
    <w:uiPriority w:val="99"/>
    <w:rsid w:val="00E65163"/>
    <w:rPr>
      <w:rFonts w:cs="Times New Roman"/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rsid w:val="00E6516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rsid w:val="00E65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651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5163"/>
    <w:rPr>
      <w:rFonts w:ascii="Tahoma" w:eastAsia="Times New Roman" w:hAnsi="Tahoma" w:cs="Tahoma"/>
      <w:color w:val="003366"/>
      <w:sz w:val="16"/>
      <w:szCs w:val="16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CD4ED8"/>
    <w:rPr>
      <w:color w:val="800080" w:themeColor="followedHyperlink"/>
      <w:u w:val="single"/>
    </w:rPr>
  </w:style>
  <w:style w:type="character" w:styleId="Naglaeno">
    <w:name w:val="Strong"/>
    <w:basedOn w:val="Zadanifontodlomka"/>
    <w:uiPriority w:val="22"/>
    <w:qFormat/>
    <w:rsid w:val="00D30907"/>
    <w:rPr>
      <w:b/>
      <w:bCs/>
    </w:rPr>
  </w:style>
  <w:style w:type="character" w:customStyle="1" w:styleId="apple-converted-space">
    <w:name w:val="apple-converted-space"/>
    <w:basedOn w:val="Zadanifontodlomka"/>
    <w:rsid w:val="00D30907"/>
  </w:style>
  <w:style w:type="paragraph" w:styleId="Odlomakpopisa">
    <w:name w:val="List Paragraph"/>
    <w:basedOn w:val="Normal"/>
    <w:uiPriority w:val="34"/>
    <w:qFormat/>
    <w:rsid w:val="00D3090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A1F1B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A1F1B"/>
    <w:rPr>
      <w:rFonts w:ascii="Arial" w:eastAsia="Times New Roman" w:hAnsi="Arial" w:cs="Times New Roman"/>
      <w:color w:val="003366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A1F1B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A1F1B"/>
    <w:rPr>
      <w:rFonts w:ascii="Arial" w:eastAsia="Times New Roman" w:hAnsi="Arial" w:cs="Times New Roman"/>
      <w:color w:val="003366"/>
      <w:szCs w:val="20"/>
      <w:lang w:eastAsia="hr-HR"/>
    </w:rPr>
  </w:style>
  <w:style w:type="character" w:customStyle="1" w:styleId="cat-var-name1">
    <w:name w:val="cat-var-name1"/>
    <w:basedOn w:val="Zadanifontodlomka"/>
    <w:rsid w:val="008F09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1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yperlink" Target="mailto:info@fina.hr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rodaja@fina.hr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ina.hr/info.biz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fina.hr/info.biz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://www.fina.hr/Default.aspx?sec=1538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azvoj.gov.hr/prva-urbana-aglomeracija-u-republici-hrvatskoj-urbana-aglomeracija-rijeka/319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EAAEC-A58B-4063-956C-25FAB148C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1675</Words>
  <Characters>9552</Characters>
  <Application>Microsoft Office Word</Application>
  <DocSecurity>0</DocSecurity>
  <Lines>79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Natalija Jonjić</dc:creator>
  <cp:lastModifiedBy>korisnik</cp:lastModifiedBy>
  <cp:revision>3</cp:revision>
  <dcterms:created xsi:type="dcterms:W3CDTF">2021-03-11T19:33:00Z</dcterms:created>
  <dcterms:modified xsi:type="dcterms:W3CDTF">2021-03-11T19:34:00Z</dcterms:modified>
</cp:coreProperties>
</file>