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1D" w:rsidRPr="007172F9" w:rsidRDefault="00AC0EF7" w:rsidP="00153FC9">
      <w:pPr>
        <w:tabs>
          <w:tab w:val="left" w:pos="6521"/>
        </w:tabs>
        <w:spacing w:after="0" w:line="240" w:lineRule="auto"/>
        <w:jc w:val="center"/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</w:pPr>
      <w:r w:rsidRPr="0046285F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POSLOVANJE PODUZETNIKA U DJELATNOSTI PROIZVODNJE, PRIJENOSA I DISTRIBUCIJE ELEKTRIČNE ENERGIJE, U RAZDOBLJU 20</w:t>
      </w:r>
      <w:r w:rsidR="004C6E2D" w:rsidRPr="0046285F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16</w:t>
      </w:r>
      <w:r w:rsidRPr="0046285F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. – 20</w:t>
      </w:r>
      <w:r w:rsidR="004C6E2D" w:rsidRPr="0046285F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20</w:t>
      </w:r>
      <w:r w:rsidRPr="0046285F">
        <w:rPr>
          <w:rFonts w:ascii="Arial" w:eastAsia="Times New Roman" w:hAnsi="Arial" w:cs="Arial"/>
          <w:b/>
          <w:color w:val="244061"/>
          <w:sz w:val="20"/>
          <w:szCs w:val="20"/>
          <w:lang w:eastAsia="hr-HR"/>
        </w:rPr>
        <w:t>. GODINE</w:t>
      </w:r>
    </w:p>
    <w:p w:rsidR="005675D5" w:rsidRDefault="00344062" w:rsidP="00AF2791">
      <w:pPr>
        <w:shd w:val="clear" w:color="auto" w:fill="FFFFFF"/>
        <w:tabs>
          <w:tab w:val="left" w:pos="6521"/>
        </w:tabs>
        <w:spacing w:before="180" w:after="0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razdoblju od 2016. do 2020. godine, prema podacima iz obrađenih godišnjih financijskih izvještaja za statističke i druge potrebe, u djelatnosti proizvodnje, prijenosa i distribucije električne energije najmanje poduzetnika bilo je u 2017. godini (690), a najviše u 2020. godini (746). Najviše zaposlenih u promatranoj skupini djelatnosti bilo je 2016. godine (11.698), a  najmanje 2018. godine (10.913), dok je u 2020. godini bilo 11.401 zaposlen</w:t>
      </w:r>
      <w:r w:rsidR="00D35E45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ih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. </w:t>
      </w:r>
      <w:r w:rsidR="005675D5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Veliki broj društava je bez zaposlenih ili s malim brojem zaposlenih. Primjerice, u 2020. </w:t>
      </w:r>
      <w:r w:rsidR="008F13A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g</w:t>
      </w:r>
      <w:r w:rsidR="005675D5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odini</w:t>
      </w:r>
      <w:r w:rsidR="008F13A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</w:t>
      </w:r>
      <w:r w:rsidR="005675D5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od ukupno 746 društava, bez zaposlenih je bilo 505, a 153 imalo je jednog ili dva zaposlena.</w:t>
      </w:r>
    </w:p>
    <w:p w:rsidR="00344062" w:rsidRDefault="00344062" w:rsidP="00AF2791">
      <w:pPr>
        <w:shd w:val="clear" w:color="auto" w:fill="FFFFFF"/>
        <w:tabs>
          <w:tab w:val="left" w:pos="6521"/>
        </w:tabs>
        <w:spacing w:before="180" w:after="0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Najveći ukupni prihodi u proteklih pet godina ostvareni su 20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19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 godine (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29,6 milijardi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kuna), a najmanji 20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16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 godine (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26,2 milijarde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kuna), dok su u 2020. godini iznosili 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27,3 milijarde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kuna, što je 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4,5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% 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više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u odnosu na 2016. godinu. </w:t>
      </w:r>
      <w:r w:rsidR="005620CD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Također su rasli i ukupni rashodi, s 22,7 milijardi kuna u 2016. godini, na 24,5 milijardi kuna u 2020. godini, dok su najveći bili u 2019. godini (27</w:t>
      </w:r>
      <w:r w:rsidR="008F13A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5620CD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milijard</w:t>
      </w:r>
      <w:r w:rsidR="008F13A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e </w:t>
      </w:r>
      <w:r w:rsidR="005620CD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kuna). 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Od 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746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poduzetnika u djelatnosti 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proizvodnje, prijenosa i distribucije električne energije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u 2020. godini njih 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354 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(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47,5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%) poslovalo je s dobiti, dok je </w:t>
      </w:r>
      <w:r w:rsidR="00FA176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392 (52,5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%) iskazalo gubitak razdoblja.</w:t>
      </w:r>
    </w:p>
    <w:p w:rsidR="00B57B1D" w:rsidRDefault="00B57B1D" w:rsidP="00AF2791">
      <w:pPr>
        <w:widowControl w:val="0"/>
        <w:tabs>
          <w:tab w:val="left" w:pos="1134"/>
          <w:tab w:val="left" w:pos="6521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Tablica </w:t>
      </w:r>
      <w:r w:rsidR="009819C0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1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  <w:t>Osnovni financijski rezultati poslovanja poduzetnika u skupini djelat. 35.1 – Proizvodnja, prijenos i distribucija električne energije</w:t>
      </w:r>
      <w:r w:rsidR="00715E8D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,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za razdoblje od 20</w:t>
      </w:r>
      <w:r w:rsidR="00715E8D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16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do 20</w:t>
      </w:r>
      <w:r w:rsidR="00715E8D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20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g.</w:t>
      </w:r>
      <w:r w:rsidRPr="0046285F">
        <w:rPr>
          <w:rFonts w:ascii="Arial" w:eastAsia="Times New Roman" w:hAnsi="Arial" w:cs="Arial"/>
          <w:b/>
          <w:color w:val="244061"/>
          <w:sz w:val="19"/>
          <w:szCs w:val="19"/>
          <w:lang w:eastAsia="hr-HR"/>
        </w:rPr>
        <w:tab/>
      </w:r>
      <w:r w:rsidRPr="0046285F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(iznosi u tis. kn, prosječne plaće u kn)</w:t>
      </w:r>
    </w:p>
    <w:tbl>
      <w:tblPr>
        <w:tblW w:w="983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8"/>
        <w:gridCol w:w="992"/>
        <w:gridCol w:w="993"/>
        <w:gridCol w:w="992"/>
        <w:gridCol w:w="992"/>
        <w:gridCol w:w="969"/>
        <w:gridCol w:w="801"/>
      </w:tblGrid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Opis</w:t>
            </w:r>
          </w:p>
        </w:tc>
        <w:tc>
          <w:tcPr>
            <w:tcW w:w="4938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 xml:space="preserve">Skupina djelatnosti 35.1 </w:t>
            </w:r>
            <w:r w:rsidRPr="00A018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br/>
            </w:r>
            <w:r w:rsidRPr="00A0186E">
              <w:rPr>
                <w:rFonts w:ascii="Arial" w:eastAsia="Times New Roman" w:hAnsi="Arial" w:cs="Arial"/>
                <w:color w:val="FFFFFF"/>
                <w:sz w:val="16"/>
                <w:szCs w:val="17"/>
              </w:rPr>
              <w:t>(tekuće razdoblje iz godišnjeg financijskog izvještaja)</w:t>
            </w:r>
          </w:p>
        </w:tc>
        <w:tc>
          <w:tcPr>
            <w:tcW w:w="80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</w:rPr>
              <w:t>Indeks 2020./2016.</w:t>
            </w:r>
          </w:p>
        </w:tc>
      </w:tr>
      <w:tr w:rsidR="00A0186E" w:rsidRPr="00A0186E" w:rsidTr="00A0186E">
        <w:trPr>
          <w:trHeight w:val="195"/>
          <w:jc w:val="center"/>
        </w:trPr>
        <w:tc>
          <w:tcPr>
            <w:tcW w:w="40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4938" w:type="dxa"/>
            <w:gridSpan w:val="5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80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A0186E" w:rsidRPr="00A0186E" w:rsidTr="00A0186E">
        <w:trPr>
          <w:trHeight w:hRule="exact" w:val="244"/>
          <w:jc w:val="center"/>
        </w:trPr>
        <w:tc>
          <w:tcPr>
            <w:tcW w:w="40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2016.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2019.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2020.</w:t>
            </w:r>
          </w:p>
        </w:tc>
        <w:tc>
          <w:tcPr>
            <w:tcW w:w="80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Broj poduzetnika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708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746</w:t>
            </w:r>
          </w:p>
        </w:tc>
        <w:tc>
          <w:tcPr>
            <w:tcW w:w="8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106,6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Broj dobitaša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353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354</w:t>
            </w:r>
          </w:p>
        </w:tc>
        <w:tc>
          <w:tcPr>
            <w:tcW w:w="8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106,0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Broj gubitaša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355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392</w:t>
            </w:r>
          </w:p>
        </w:tc>
        <w:tc>
          <w:tcPr>
            <w:tcW w:w="8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107,1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Broj zaposlenih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11.698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11.669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10.913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11.274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11.401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97,5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Ukupni prihodi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26.172.325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27.494.596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26.495.885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29.614.391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27.339.240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104,5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Ukupni rashodi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22.662.987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25.051.277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24.346.410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26.999.624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24.472.286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108,0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Dobit prije oporezivanja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3.632.694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2.723.232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2.277.896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2.863.083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3.147.741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86,7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Gubitak prije oporezivanja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123.357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279.912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128.420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248.316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280.788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227,6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Porez na dobit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568.297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329.869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355.214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376.966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419.113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73,7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Dobit razdoblja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3.063.435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2.392.117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1.922.760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2.484.883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2.726.918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89,0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Gubitak razdoblja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122.395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278.667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128.498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247.082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279.078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228,0</w:t>
            </w:r>
          </w:p>
        </w:tc>
      </w:tr>
      <w:tr w:rsidR="00A0186E" w:rsidRPr="00A0186E" w:rsidTr="00A0186E">
        <w:trPr>
          <w:trHeight w:hRule="exact" w:val="414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  <w:t xml:space="preserve">Konsolidirani financijski rezultat – dobit (+) ili gubitak (-) razdoblja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  <w:t>2.941.040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  <w:t>2.113.451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  <w:t>1.794.261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  <w:t>2.237.801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b/>
                <w:bCs/>
                <w:color w:val="00325A"/>
                <w:sz w:val="16"/>
                <w:szCs w:val="16"/>
              </w:rPr>
              <w:t>2.447.841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83,2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Izvoz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2.499.478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2.904.170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2.124.229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2.080.935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1.883.514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75,4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 xml:space="preserve">Uvoz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4.330.607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4.858.466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4.556.572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6.194.956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3.773.468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87,1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Trgovinski saldo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-1.831.129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-1.954.296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-2.432.342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-4.114.020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-1.889.954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103,2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Invest</w:t>
            </w:r>
            <w:r w:rsidR="00AF2791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icije u novu dugotrajnu imovinu</w:t>
            </w:r>
            <w:r w:rsidR="00AF2791" w:rsidRPr="00AF2791">
              <w:rPr>
                <w:rStyle w:val="FootnoteReference"/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footnoteReference w:id="1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1.288.733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1.281.474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1.215.406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1.176.287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1.633.913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126,8</w:t>
            </w:r>
          </w:p>
        </w:tc>
      </w:tr>
      <w:tr w:rsidR="00A0186E" w:rsidRPr="00A0186E" w:rsidTr="00A0186E">
        <w:trPr>
          <w:trHeight w:hRule="exact" w:val="278"/>
          <w:jc w:val="center"/>
        </w:trPr>
        <w:tc>
          <w:tcPr>
            <w:tcW w:w="40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Prosječna mjesečna neto plaća po zaposlenom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7.508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7.801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7.853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8.000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8.380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0186E" w:rsidRPr="00A0186E" w:rsidRDefault="00A0186E" w:rsidP="00A01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A0186E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111,6</w:t>
            </w:r>
          </w:p>
        </w:tc>
      </w:tr>
    </w:tbl>
    <w:p w:rsidR="00B57B1D" w:rsidRPr="007172F9" w:rsidRDefault="00B57B1D" w:rsidP="0075726C">
      <w:pPr>
        <w:spacing w:before="40" w:after="0"/>
        <w:jc w:val="both"/>
        <w:rPr>
          <w:rFonts w:ascii="Arial" w:hAnsi="Arial" w:cs="Arial"/>
          <w:i/>
          <w:color w:val="254061"/>
          <w:sz w:val="14"/>
          <w:szCs w:val="16"/>
        </w:rPr>
      </w:pPr>
      <w:r w:rsidRPr="007172F9">
        <w:rPr>
          <w:rFonts w:ascii="Arial" w:hAnsi="Arial" w:cs="Arial"/>
          <w:i/>
          <w:color w:val="254061"/>
          <w:sz w:val="14"/>
          <w:szCs w:val="16"/>
        </w:rPr>
        <w:t xml:space="preserve">Izvor: Fina, </w:t>
      </w:r>
      <w:r w:rsidR="00CA6B5A" w:rsidRPr="007172F9">
        <w:rPr>
          <w:rFonts w:ascii="Arial" w:hAnsi="Arial" w:cs="Arial"/>
          <w:i/>
          <w:color w:val="254061"/>
          <w:sz w:val="14"/>
          <w:szCs w:val="16"/>
        </w:rPr>
        <w:t xml:space="preserve">Registar godišnjih financijskih izvještaja, obrada </w:t>
      </w:r>
      <w:r w:rsidR="00CA6B5A" w:rsidRPr="0046285F">
        <w:rPr>
          <w:rFonts w:ascii="Arial" w:hAnsi="Arial" w:cs="Arial"/>
          <w:i/>
          <w:color w:val="254061"/>
          <w:sz w:val="14"/>
          <w:szCs w:val="16"/>
        </w:rPr>
        <w:t>GFI-a za razdoblje 20</w:t>
      </w:r>
      <w:r w:rsidR="001C31A7" w:rsidRPr="0046285F">
        <w:rPr>
          <w:rFonts w:ascii="Arial" w:hAnsi="Arial" w:cs="Arial"/>
          <w:i/>
          <w:color w:val="254061"/>
          <w:sz w:val="14"/>
          <w:szCs w:val="16"/>
        </w:rPr>
        <w:t>16</w:t>
      </w:r>
      <w:r w:rsidR="00CA6B5A" w:rsidRPr="0046285F">
        <w:rPr>
          <w:rFonts w:ascii="Arial" w:hAnsi="Arial" w:cs="Arial"/>
          <w:i/>
          <w:color w:val="254061"/>
          <w:sz w:val="14"/>
          <w:szCs w:val="16"/>
        </w:rPr>
        <w:t>.-20</w:t>
      </w:r>
      <w:r w:rsidR="001C31A7" w:rsidRPr="0046285F">
        <w:rPr>
          <w:rFonts w:ascii="Arial" w:hAnsi="Arial" w:cs="Arial"/>
          <w:i/>
          <w:color w:val="254061"/>
          <w:sz w:val="14"/>
          <w:szCs w:val="16"/>
        </w:rPr>
        <w:t>20</w:t>
      </w:r>
      <w:r w:rsidR="00CA6B5A" w:rsidRPr="0046285F">
        <w:rPr>
          <w:rFonts w:ascii="Arial" w:hAnsi="Arial" w:cs="Arial"/>
          <w:i/>
          <w:color w:val="254061"/>
          <w:sz w:val="14"/>
          <w:szCs w:val="16"/>
        </w:rPr>
        <w:t>.</w:t>
      </w:r>
      <w:r w:rsidR="001C31A7" w:rsidRPr="0046285F">
        <w:rPr>
          <w:rFonts w:ascii="Arial" w:hAnsi="Arial" w:cs="Arial"/>
          <w:i/>
          <w:color w:val="254061"/>
          <w:sz w:val="14"/>
          <w:szCs w:val="16"/>
        </w:rPr>
        <w:t xml:space="preserve"> </w:t>
      </w:r>
      <w:r w:rsidR="00CA6B5A" w:rsidRPr="0046285F">
        <w:rPr>
          <w:rFonts w:ascii="Arial" w:hAnsi="Arial" w:cs="Arial"/>
          <w:i/>
          <w:color w:val="254061"/>
          <w:sz w:val="14"/>
          <w:szCs w:val="16"/>
        </w:rPr>
        <w:t>godine</w:t>
      </w:r>
    </w:p>
    <w:p w:rsidR="003A4DAF" w:rsidRDefault="003A4DAF" w:rsidP="003A4DAF">
      <w:pPr>
        <w:shd w:val="clear" w:color="auto" w:fill="FFFFFF"/>
        <w:tabs>
          <w:tab w:val="left" w:pos="6521"/>
        </w:tabs>
        <w:spacing w:before="180" w:after="0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Kroz cijelo promatrano razdoblje ostvaren je pozitivan financijski rezultat – neto dobit koja se, s gotovo 3 milijarde kuna u 2016. godini, smanjila na 2,5 milijardi kuna u 2020. godini (smanjenje od 16,8%). Najveća neto do</w:t>
      </w:r>
      <w:r w:rsid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bit ostvarena je u 2016. godini</w:t>
      </w:r>
      <w:r w:rsidR="00D35E45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kada je najveću dobit razdoblja iskaza</w:t>
      </w:r>
      <w:r w:rsidR="007734C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o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7734C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HEP d.d.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(</w:t>
      </w:r>
      <w:r w:rsidR="007734C0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1,3 milijarde kuna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).</w:t>
      </w:r>
    </w:p>
    <w:p w:rsidR="003A4DAF" w:rsidRPr="008F3A28" w:rsidRDefault="003A4DAF" w:rsidP="00AF2791">
      <w:pPr>
        <w:widowControl w:val="0"/>
        <w:shd w:val="clear" w:color="auto" w:fill="FFFFFF"/>
        <w:tabs>
          <w:tab w:val="left" w:pos="6521"/>
        </w:tabs>
        <w:spacing w:before="180" w:after="0" w:line="274" w:lineRule="auto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U djelatnosti </w:t>
      </w:r>
      <w:r w:rsidR="008F3A28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proizvodnje, prijenosa i distribucije električne energije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ostvaren je </w:t>
      </w:r>
      <w:r w:rsidR="008F3A28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negativan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trgovinski saldo kroz promatrano razdoblje. </w:t>
      </w:r>
      <w:r w:rsidR="008F3A28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Najveći trgovinski deficit ostvaren je 2019. godine u iznosu od 4,1 milijardu kuna, koliko je uvoz bio veći od izvoza, dok je najmanji trgovinski deficit iskazan u 2016. </w:t>
      </w:r>
      <w:r w:rsidR="008F13A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g</w:t>
      </w:r>
      <w:r w:rsidR="008F3A28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odini</w:t>
      </w:r>
      <w:r w:rsidR="008F13A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</w:t>
      </w:r>
      <w:r w:rsidR="008F3A28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u iznosu od 1,8 milijardi kuna. </w:t>
      </w:r>
      <w:r w:rsidR="008F3A28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2020. godini negativni trgovinski saldo iznosio je 1,9 milijardi kuna, što je za </w:t>
      </w:r>
      <w:r w:rsidR="003B50E4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3,2</w:t>
      </w:r>
      <w:r w:rsidR="008F3A28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više nego u 20</w:t>
      </w:r>
      <w:r w:rsidR="003B50E4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16</w:t>
      </w:r>
      <w:r w:rsidR="008F3A28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(tablica 1.). 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Izvoz poduzetnika</w:t>
      </w:r>
      <w:r w:rsidR="008F13A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,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u iznosu od </w:t>
      </w:r>
      <w:r w:rsidR="00CB3FBC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1,9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CB3FBC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milijardi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 u 20</w:t>
      </w:r>
      <w:r w:rsidR="00CB3FBC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20. godini, smanje</w:t>
      </w:r>
      <w:r w:rsidR="008F13A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n j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e </w:t>
      </w:r>
      <w:r w:rsidR="008F13A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za </w:t>
      </w:r>
      <w:r w:rsidR="00CB3FBC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24,6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%</w:t>
      </w:r>
      <w:r w:rsidR="008F13AB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odnosu na 201</w:t>
      </w:r>
      <w:r w:rsidR="00CB3FBC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6. godinu, dok je uvoz manji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za </w:t>
      </w:r>
      <w:r w:rsidR="00CB3FBC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12,9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% (</w:t>
      </w:r>
      <w:r w:rsidR="00CB3FBC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3,8 milijardi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 u 20</w:t>
      </w:r>
      <w:r w:rsidR="00CB3FBC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20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., u odnosu na </w:t>
      </w:r>
      <w:r w:rsidR="00CB3FBC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4,3 milijarde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kuna u 201</w:t>
      </w:r>
      <w:r w:rsidR="00CB3FBC"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6</w:t>
      </w:r>
      <w:r w:rsidRPr="00D35E45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 godini).</w:t>
      </w:r>
    </w:p>
    <w:p w:rsidR="00CB3FBC" w:rsidRDefault="00CB3FBC" w:rsidP="005538EB">
      <w:pPr>
        <w:shd w:val="clear" w:color="auto" w:fill="FFFFFF"/>
        <w:tabs>
          <w:tab w:val="left" w:pos="1134"/>
          <w:tab w:val="left" w:pos="6521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244061"/>
          <w:sz w:val="18"/>
          <w:szCs w:val="18"/>
          <w:highlight w:val="green"/>
          <w:lang w:eastAsia="hr-HR"/>
        </w:rPr>
      </w:pPr>
    </w:p>
    <w:p w:rsidR="00DF6CB1" w:rsidRDefault="00DF6CB1" w:rsidP="005538EB">
      <w:pPr>
        <w:shd w:val="clear" w:color="auto" w:fill="FFFFFF"/>
        <w:tabs>
          <w:tab w:val="left" w:pos="1134"/>
          <w:tab w:val="left" w:pos="6521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</w:pP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lastRenderedPageBreak/>
        <w:t>Grafikon 1.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</w:r>
      <w:r w:rsidR="00726335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Dobit razdoblja, gubitak razdoblja te neto dobit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poduzetnika u djelatnosti 35.1 – Proizvodnja, prijenos i distribucija električne energije kroz razdoblje od 20</w:t>
      </w:r>
      <w:r w:rsidR="001C31A7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16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do 20</w:t>
      </w:r>
      <w:r w:rsidR="001C31A7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20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. </w:t>
      </w:r>
      <w:r w:rsidR="00BA32B2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g</w:t>
      </w:r>
      <w:r w:rsidR="00726335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odine</w:t>
      </w:r>
      <w:r w:rsidR="000C1F94" w:rsidRPr="0046285F">
        <w:rPr>
          <w:rStyle w:val="FootnoteReference"/>
          <w:rFonts w:ascii="Arial" w:eastAsia="Times New Roman" w:hAnsi="Arial" w:cs="Arial"/>
          <w:b/>
          <w:color w:val="244061"/>
          <w:sz w:val="18"/>
          <w:szCs w:val="18"/>
          <w:lang w:eastAsia="hr-HR"/>
        </w:rPr>
        <w:footnoteReference w:id="2"/>
      </w:r>
    </w:p>
    <w:p w:rsidR="00D555ED" w:rsidRPr="005538EB" w:rsidRDefault="00A0186E" w:rsidP="00BA32B2">
      <w:pPr>
        <w:shd w:val="clear" w:color="auto" w:fill="FFFFFF"/>
        <w:tabs>
          <w:tab w:val="left" w:pos="1134"/>
          <w:tab w:val="left" w:pos="6521"/>
        </w:tabs>
        <w:spacing w:after="0" w:line="240" w:lineRule="auto"/>
        <w:ind w:left="1134" w:hanging="1134"/>
        <w:jc w:val="center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/>
          <w:sz w:val="18"/>
          <w:szCs w:val="18"/>
          <w:lang w:eastAsia="hr-HR"/>
        </w:rPr>
        <w:drawing>
          <wp:inline distT="0" distB="0" distL="0" distR="0" wp14:anchorId="17F9C8B1">
            <wp:extent cx="6233823" cy="186855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287" cy="186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2151" w:rsidRPr="00D42CBE" w:rsidRDefault="00E72151" w:rsidP="005538EB">
      <w:pPr>
        <w:widowControl w:val="0"/>
        <w:shd w:val="clear" w:color="auto" w:fill="FFFFFF"/>
        <w:tabs>
          <w:tab w:val="left" w:pos="6521"/>
        </w:tabs>
        <w:spacing w:before="60" w:after="0"/>
        <w:jc w:val="both"/>
        <w:rPr>
          <w:rFonts w:ascii="Arial" w:hAnsi="Arial" w:cs="Arial"/>
          <w:i/>
          <w:color w:val="254061"/>
          <w:sz w:val="14"/>
          <w:szCs w:val="16"/>
        </w:rPr>
      </w:pPr>
      <w:r w:rsidRPr="00AF3C71">
        <w:rPr>
          <w:rFonts w:ascii="Arial" w:hAnsi="Arial" w:cs="Arial"/>
          <w:i/>
          <w:color w:val="254061"/>
          <w:sz w:val="14"/>
          <w:szCs w:val="16"/>
        </w:rPr>
        <w:t xml:space="preserve">Izvor: Fina, Registar godišnjih financijskih izvještaja, obrada </w:t>
      </w:r>
      <w:r w:rsidRPr="0046285F">
        <w:rPr>
          <w:rFonts w:ascii="Arial" w:hAnsi="Arial" w:cs="Arial"/>
          <w:i/>
          <w:color w:val="254061"/>
          <w:sz w:val="14"/>
          <w:szCs w:val="16"/>
        </w:rPr>
        <w:t xml:space="preserve">GFI-a za </w:t>
      </w:r>
      <w:r w:rsidR="00125FA1" w:rsidRPr="0046285F">
        <w:rPr>
          <w:rFonts w:ascii="Arial" w:hAnsi="Arial" w:cs="Arial"/>
          <w:i/>
          <w:color w:val="254061"/>
          <w:sz w:val="14"/>
          <w:szCs w:val="16"/>
        </w:rPr>
        <w:t>razdoblje 20</w:t>
      </w:r>
      <w:r w:rsidR="001C31A7" w:rsidRPr="0046285F">
        <w:rPr>
          <w:rFonts w:ascii="Arial" w:hAnsi="Arial" w:cs="Arial"/>
          <w:i/>
          <w:color w:val="254061"/>
          <w:sz w:val="14"/>
          <w:szCs w:val="16"/>
        </w:rPr>
        <w:t>16</w:t>
      </w:r>
      <w:r w:rsidR="00125FA1" w:rsidRPr="0046285F">
        <w:rPr>
          <w:rFonts w:ascii="Arial" w:hAnsi="Arial" w:cs="Arial"/>
          <w:i/>
          <w:color w:val="254061"/>
          <w:sz w:val="14"/>
          <w:szCs w:val="16"/>
        </w:rPr>
        <w:t>.-</w:t>
      </w:r>
      <w:r w:rsidRPr="0046285F">
        <w:rPr>
          <w:rFonts w:ascii="Arial" w:hAnsi="Arial" w:cs="Arial"/>
          <w:i/>
          <w:color w:val="254061"/>
          <w:sz w:val="14"/>
          <w:szCs w:val="16"/>
        </w:rPr>
        <w:t>20</w:t>
      </w:r>
      <w:r w:rsidR="001C31A7" w:rsidRPr="0046285F">
        <w:rPr>
          <w:rFonts w:ascii="Arial" w:hAnsi="Arial" w:cs="Arial"/>
          <w:i/>
          <w:color w:val="254061"/>
          <w:sz w:val="14"/>
          <w:szCs w:val="16"/>
        </w:rPr>
        <w:t>20</w:t>
      </w:r>
      <w:r w:rsidRPr="0046285F">
        <w:rPr>
          <w:rFonts w:ascii="Arial" w:hAnsi="Arial" w:cs="Arial"/>
          <w:i/>
          <w:color w:val="254061"/>
          <w:sz w:val="14"/>
          <w:szCs w:val="16"/>
        </w:rPr>
        <w:t xml:space="preserve">. </w:t>
      </w:r>
      <w:r w:rsidR="00CA6B5A" w:rsidRPr="0046285F">
        <w:rPr>
          <w:rFonts w:ascii="Arial" w:hAnsi="Arial" w:cs="Arial"/>
          <w:i/>
          <w:color w:val="254061"/>
          <w:sz w:val="14"/>
          <w:szCs w:val="16"/>
        </w:rPr>
        <w:t>g</w:t>
      </w:r>
      <w:r w:rsidRPr="0046285F">
        <w:rPr>
          <w:rFonts w:ascii="Arial" w:hAnsi="Arial" w:cs="Arial"/>
          <w:i/>
          <w:color w:val="254061"/>
          <w:sz w:val="14"/>
          <w:szCs w:val="16"/>
        </w:rPr>
        <w:t>odin</w:t>
      </w:r>
      <w:r w:rsidR="00CA6B5A" w:rsidRPr="0046285F">
        <w:rPr>
          <w:rFonts w:ascii="Arial" w:hAnsi="Arial" w:cs="Arial"/>
          <w:i/>
          <w:color w:val="254061"/>
          <w:sz w:val="14"/>
          <w:szCs w:val="16"/>
        </w:rPr>
        <w:t>e</w:t>
      </w:r>
    </w:p>
    <w:p w:rsidR="007734C0" w:rsidRDefault="007734C0" w:rsidP="004B60EE">
      <w:pPr>
        <w:widowControl w:val="0"/>
        <w:shd w:val="clear" w:color="auto" w:fill="FFFFFF"/>
        <w:tabs>
          <w:tab w:val="left" w:pos="6521"/>
        </w:tabs>
        <w:spacing w:before="18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Prosječna mjesečna neto </w:t>
      </w:r>
      <w:r w:rsidR="004B60E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plaća 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obračuna</w:t>
      </w:r>
      <w:r w:rsidR="008F13A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 </w:t>
      </w:r>
      <w:r w:rsidR="004B60E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zaposlenima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kod poduzetnika u djelatnosti </w:t>
      </w:r>
      <w:r w:rsidR="004B60E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proizvodnje, prijenosa i distribucije električne energije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</w:t>
      </w:r>
      <w:r w:rsidR="004B60E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iznosila je </w:t>
      </w:r>
      <w:r w:rsidR="004B60E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8.380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4B60E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bila je </w:t>
      </w:r>
      <w:r w:rsidR="004B60E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11,6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viša u odnosu na početnu promatranu godinu (201</w:t>
      </w:r>
      <w:r w:rsidR="004B60E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.) te </w:t>
      </w:r>
      <w:r w:rsidR="004B60E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40,3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viša od prosječne mjesečne neto plaće zaposlenih kod poduzetnika na razini RH (</w:t>
      </w:r>
      <w:r w:rsidR="004B60E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5.971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kuna).</w:t>
      </w:r>
    </w:p>
    <w:p w:rsidR="007734C0" w:rsidRPr="007172F9" w:rsidRDefault="004B60EE" w:rsidP="00AF2791">
      <w:pPr>
        <w:widowControl w:val="0"/>
        <w:shd w:val="clear" w:color="auto" w:fill="FFFFFF"/>
        <w:tabs>
          <w:tab w:val="left" w:pos="6521"/>
        </w:tabs>
        <w:spacing w:before="12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Među 746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u djelatnosti 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proizvodnje, prijenosa i distribucije električne energije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20. godini, najveće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prihod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 ostvario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HEP d.d.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9,4 milijarde kuna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), što je udio od 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34,5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u ukupnim prihodima djelatnosti. Navedeno društvo 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iskazalo je i najveću neto dobit u iznosu od 1,4 milijarde kuna. </w:t>
      </w:r>
      <w:r w:rsidR="00CB140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HEP-OPERATOR DISTRIBUCIJSKOG SUSTAVA d.o.o. ima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</w:t>
      </w:r>
      <w:r w:rsidR="00CB140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</w:t>
      </w:r>
      <w:r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najviše zaposlenih, </w:t>
      </w:r>
      <w:r w:rsidR="00CB140E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6.678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kojima je obračuna</w:t>
      </w:r>
      <w:r w:rsidR="007A106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</w:t>
      </w:r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prosječna mjesečna neto plaća</w:t>
      </w:r>
      <w:r w:rsidR="007A106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bookmarkStart w:id="0" w:name="_GoBack"/>
      <w:bookmarkEnd w:id="0"/>
      <w:r w:rsidR="007734C0" w:rsidRPr="00D35E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7734C0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iznosu od </w:t>
      </w:r>
      <w:r w:rsidR="00CB140E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7.962</w:t>
      </w:r>
      <w:r w:rsidR="007734C0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CB140E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7734C0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CB140E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HEP-PROIZVODNJA d.o.o. druga</w:t>
      </w:r>
      <w:r w:rsidR="007734C0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po ostvarenim ukupnim prihodima (</w:t>
      </w:r>
      <w:r w:rsidR="00CB140E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4,3 milijarde kuna</w:t>
      </w:r>
      <w:r w:rsidR="007734C0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). Udio </w:t>
      </w:r>
      <w:r w:rsidR="00CB140E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deset</w:t>
      </w:r>
      <w:r w:rsidR="007734C0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s najvećim prihodima u 20</w:t>
      </w:r>
      <w:r w:rsidR="00CB140E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="007734C0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u ukupnim prihodima </w:t>
      </w:r>
      <w:r w:rsidR="00CB140E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746</w:t>
      </w:r>
      <w:r w:rsidR="007734C0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u djelatnosti </w:t>
      </w:r>
      <w:r w:rsidR="00CB140E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proizvodnje, prijenosa i distribucije električne energije</w:t>
      </w:r>
      <w:r w:rsidR="007734C0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bio je </w:t>
      </w:r>
      <w:r w:rsidR="00CB140E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88,4</w:t>
      </w:r>
      <w:r w:rsidR="007734C0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(tablica 2.).</w:t>
      </w:r>
    </w:p>
    <w:p w:rsidR="00B57B1D" w:rsidRDefault="00B57B1D" w:rsidP="00AF2791">
      <w:pPr>
        <w:widowControl w:val="0"/>
        <w:tabs>
          <w:tab w:val="left" w:pos="1134"/>
          <w:tab w:val="right" w:pos="9757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244061"/>
          <w:sz w:val="16"/>
          <w:szCs w:val="19"/>
          <w:lang w:eastAsia="hr-HR"/>
        </w:rPr>
      </w:pP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Tablica </w:t>
      </w:r>
      <w:r w:rsidR="009819C0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2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ab/>
        <w:t xml:space="preserve">Top </w:t>
      </w:r>
      <w:r w:rsidR="007D42E1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10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poduzetnika prema ukupn</w:t>
      </w:r>
      <w:r w:rsidR="007D42E1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i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m prihod</w:t>
      </w:r>
      <w:r w:rsidR="007D42E1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ima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u 20</w:t>
      </w:r>
      <w:r w:rsidR="007D42E1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20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. godini</w:t>
      </w:r>
      <w:r w:rsidR="007D42E1"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,</w:t>
      </w:r>
      <w:r w:rsidRPr="0046285F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 xml:space="preserve"> u skupini djelatnosti 35.1 – Proizvodnja, prijenos i distribucija električne energije</w:t>
      </w:r>
      <w:r w:rsidR="00E93CFD" w:rsidRPr="0046285F">
        <w:rPr>
          <w:rFonts w:ascii="Arial" w:eastAsia="Times New Roman" w:hAnsi="Arial" w:cs="Arial"/>
          <w:color w:val="244061"/>
          <w:sz w:val="19"/>
          <w:szCs w:val="19"/>
          <w:lang w:eastAsia="hr-HR"/>
        </w:rPr>
        <w:t xml:space="preserve"> </w:t>
      </w:r>
      <w:r w:rsidR="00E93CFD" w:rsidRPr="0046285F">
        <w:rPr>
          <w:rFonts w:ascii="Arial" w:eastAsia="Times New Roman" w:hAnsi="Arial" w:cs="Arial"/>
          <w:color w:val="244061"/>
          <w:sz w:val="19"/>
          <w:szCs w:val="19"/>
          <w:lang w:eastAsia="hr-HR"/>
        </w:rPr>
        <w:tab/>
      </w:r>
      <w:r w:rsidRPr="0046285F">
        <w:rPr>
          <w:rFonts w:ascii="Arial" w:eastAsia="Times New Roman" w:hAnsi="Arial" w:cs="Arial"/>
          <w:color w:val="244061"/>
          <w:sz w:val="16"/>
          <w:szCs w:val="19"/>
          <w:lang w:eastAsia="hr-HR"/>
        </w:rPr>
        <w:t>(iznosi u tisućama kuna)</w:t>
      </w:r>
    </w:p>
    <w:tbl>
      <w:tblPr>
        <w:tblW w:w="9898" w:type="dxa"/>
        <w:jc w:val="center"/>
        <w:tblLook w:val="04A0" w:firstRow="1" w:lastRow="0" w:firstColumn="1" w:lastColumn="0" w:noHBand="0" w:noVBand="1"/>
      </w:tblPr>
      <w:tblGrid>
        <w:gridCol w:w="513"/>
        <w:gridCol w:w="1195"/>
        <w:gridCol w:w="4239"/>
        <w:gridCol w:w="942"/>
        <w:gridCol w:w="1017"/>
        <w:gridCol w:w="1158"/>
        <w:gridCol w:w="928"/>
      </w:tblGrid>
      <w:tr w:rsidR="00207D96" w:rsidRPr="000A3F42" w:rsidTr="00207D96">
        <w:trPr>
          <w:trHeight w:hRule="exact" w:val="395"/>
          <w:jc w:val="center"/>
        </w:trPr>
        <w:tc>
          <w:tcPr>
            <w:tcW w:w="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FFFFFF"/>
                <w:sz w:val="13"/>
                <w:szCs w:val="15"/>
              </w:rPr>
              <w:t>R.br.</w:t>
            </w:r>
          </w:p>
        </w:tc>
        <w:tc>
          <w:tcPr>
            <w:tcW w:w="119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OIB</w:t>
            </w:r>
          </w:p>
        </w:tc>
        <w:tc>
          <w:tcPr>
            <w:tcW w:w="423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Naziv</w:t>
            </w:r>
          </w:p>
        </w:tc>
        <w:tc>
          <w:tcPr>
            <w:tcW w:w="8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Oblik vlasništva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Ukupni prihodi</w:t>
            </w:r>
          </w:p>
        </w:tc>
        <w:tc>
          <w:tcPr>
            <w:tcW w:w="11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Neto dobit/gubita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k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Uvoz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1.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28921978587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HEP d.d.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Državno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9.434.037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1.401.036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2.949.653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2.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09518585079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HEP-PROIZVODNJA d.o.o.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Državno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4.293.532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629.777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216.124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3.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46830600751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HEP-OPERATOR DISTRIBUCIJSKOG SUSTAVA d.o.o.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Državno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3.619.518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22.841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59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4.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43965974818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HEP ELEKTRA d.o.o.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Državno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2.737.334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94.901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0</w:t>
            </w:r>
          </w:p>
        </w:tc>
      </w:tr>
      <w:tr w:rsidR="00207D96" w:rsidRPr="000A3F42" w:rsidTr="00207D96">
        <w:trPr>
          <w:trHeight w:hRule="exact" w:val="374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00325A"/>
                <w:sz w:val="16"/>
                <w:szCs w:val="16"/>
              </w:rPr>
              <w:t>5.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13148821633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HRVATSKI OPERATOR PRIJENOSNOG SUSTAVA d.o.o.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Državno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1.569.165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113.932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0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6.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81103558092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E.ON ENERGIJA d.o.o.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Privatno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951.849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-8.344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0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7.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77604626413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GEN-I HRVATSKA d.o.o.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Privatno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777.123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3.483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354.702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8.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63073332379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HEP OPSKRBA d.o.o.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Državno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342.259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1.320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36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9.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80708915943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C.E.M.P. d.o.o.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Privatno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231.656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10.465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0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10.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65900776536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ENERGIA NATURALIS d.o.o.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Privatno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208.853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106.206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color w:val="17365D"/>
                <w:sz w:val="16"/>
                <w:szCs w:val="16"/>
              </w:rPr>
              <w:t>0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679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Ukupno top 10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24.165.327</w:t>
            </w:r>
          </w:p>
        </w:tc>
        <w:tc>
          <w:tcPr>
            <w:tcW w:w="11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2.375.615</w:t>
            </w:r>
          </w:p>
        </w:tc>
        <w:tc>
          <w:tcPr>
            <w:tcW w:w="92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3.520.575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6795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Ukupno svi poduzetnici NKD 35.1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27.339.240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2.447.841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3.773.468</w:t>
            </w:r>
          </w:p>
        </w:tc>
      </w:tr>
      <w:tr w:rsidR="00207D96" w:rsidRPr="000A3F42" w:rsidTr="00207D96">
        <w:trPr>
          <w:trHeight w:hRule="exact" w:val="244"/>
          <w:jc w:val="center"/>
        </w:trPr>
        <w:tc>
          <w:tcPr>
            <w:tcW w:w="679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Udio top 10 poduzetnika u skupini djelatnosti NKD 35.1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88,4%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97,0%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0A3F42" w:rsidRPr="000A3F42" w:rsidRDefault="000A3F42" w:rsidP="000A3F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0A3F42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93,3%</w:t>
            </w:r>
          </w:p>
        </w:tc>
      </w:tr>
    </w:tbl>
    <w:p w:rsidR="006E60E4" w:rsidRDefault="00B57B1D" w:rsidP="00E96704">
      <w:pPr>
        <w:widowControl w:val="0"/>
        <w:spacing w:before="20" w:after="0"/>
        <w:rPr>
          <w:rFonts w:ascii="Arial" w:hAnsi="Arial" w:cs="Arial"/>
          <w:i/>
          <w:color w:val="1F497D"/>
          <w:sz w:val="16"/>
          <w:szCs w:val="16"/>
        </w:rPr>
      </w:pPr>
      <w:r w:rsidRPr="006E60E4">
        <w:rPr>
          <w:rFonts w:ascii="Arial" w:hAnsi="Arial" w:cs="Arial"/>
          <w:i/>
          <w:color w:val="1F497D"/>
          <w:sz w:val="16"/>
          <w:szCs w:val="16"/>
        </w:rPr>
        <w:t xml:space="preserve">Izvor: </w:t>
      </w:r>
      <w:r w:rsidR="00455377" w:rsidRPr="006E60E4">
        <w:rPr>
          <w:rFonts w:ascii="Arial" w:hAnsi="Arial" w:cs="Arial"/>
          <w:i/>
          <w:color w:val="1F497D"/>
          <w:sz w:val="16"/>
          <w:szCs w:val="16"/>
        </w:rPr>
        <w:t>Fina, Registar god</w:t>
      </w:r>
      <w:r w:rsidR="007D42E1">
        <w:rPr>
          <w:rFonts w:ascii="Arial" w:hAnsi="Arial" w:cs="Arial"/>
          <w:i/>
          <w:color w:val="1F497D"/>
          <w:sz w:val="16"/>
          <w:szCs w:val="16"/>
        </w:rPr>
        <w:t>išnjih financijskih izvještaja</w:t>
      </w:r>
    </w:p>
    <w:p w:rsidR="007734C0" w:rsidRPr="007172F9" w:rsidRDefault="007734C0" w:rsidP="007734C0">
      <w:pPr>
        <w:widowControl w:val="0"/>
        <w:shd w:val="clear" w:color="auto" w:fill="FFFFFF"/>
        <w:tabs>
          <w:tab w:val="left" w:pos="6521"/>
        </w:tabs>
        <w:spacing w:before="120" w:after="0" w:line="274" w:lineRule="auto"/>
        <w:jc w:val="both"/>
        <w:rPr>
          <w:rFonts w:ascii="Arial" w:hAnsi="Arial" w:cs="Arial"/>
          <w:i/>
          <w:color w:val="1F497D"/>
          <w:sz w:val="16"/>
          <w:szCs w:val="16"/>
        </w:rPr>
      </w:pP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Analiza poduzetnika u 20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u djelatnosti 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proizvodnje, prijenosa i distribucije električne energije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pokazala je najveću koncentraciju poduzetnika na području 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županije Grad Zagreb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233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), a slijede 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Varaždinska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(56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te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Osječko-baranjska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Splitsko-dalmatinska</w:t>
      </w:r>
      <w:r w:rsidR="00A5651C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županija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(po 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52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). Najmanje poduzetnika sjedište je imalo u 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Požeško-slavonskoj (9)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Dubrovačko-neretvanskoj (10)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Brodsko-posav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skoj</w:t>
      </w:r>
      <w:r w:rsidR="00A5651C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županiji</w:t>
      </w:r>
      <w:r w:rsidR="00032055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(11).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Najveće ukupne prihode ostvarili su poduzetnici sa sjedištem u </w:t>
      </w:r>
      <w:r w:rsidR="00C04571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Gradu Zagrebu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u iznosu od </w:t>
      </w:r>
      <w:r w:rsidR="00C04571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25,6 milijardi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 Prema kriteriju ostvarene neto dobiti na prvom su mjestu također poduzetnici sa sjedištem u </w:t>
      </w:r>
      <w:r w:rsidR="00C04571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Gradu Zagrebu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C04571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2,3 milijarde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kuna), a slijede ih poduzetnici </w:t>
      </w:r>
      <w:r w:rsidR="00C04571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Vukovarsko-srijemske (98,1 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 kuna) i Zadarske županije (</w:t>
      </w:r>
      <w:r w:rsidR="00C04571"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24,8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</w:t>
      </w:r>
      <w:r w:rsid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</w:t>
      </w:r>
      <w:r w:rsidRPr="00A5651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:rsidR="00E96704" w:rsidRPr="00F50C23" w:rsidRDefault="00F50C23" w:rsidP="00F50C23">
      <w:pPr>
        <w:pBdr>
          <w:top w:val="single" w:sz="12" w:space="1" w:color="auto"/>
        </w:pBdr>
        <w:spacing w:before="120" w:after="0" w:line="240" w:lineRule="auto"/>
        <w:jc w:val="both"/>
        <w:rPr>
          <w:rFonts w:cs="Arial"/>
          <w:i/>
          <w:color w:val="244061"/>
          <w:sz w:val="18"/>
          <w:szCs w:val="18"/>
          <w:lang w:eastAsia="hr-HR"/>
        </w:rPr>
      </w:pPr>
      <w:r w:rsidRPr="007172F9">
        <w:rPr>
          <w:rFonts w:eastAsia="Times New Roman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C914E5">
        <w:rPr>
          <w:rFonts w:cs="Arial"/>
          <w:i/>
          <w:color w:val="17365D"/>
          <w:sz w:val="18"/>
          <w:szCs w:val="18"/>
          <w:lang w:eastAsia="hr-HR"/>
        </w:rPr>
        <w:t xml:space="preserve"> </w:t>
      </w:r>
      <w:hyperlink r:id="rId9" w:history="1">
        <w:r w:rsidRPr="00C914E5">
          <w:rPr>
            <w:rStyle w:val="Hyperlink"/>
            <w:rFonts w:cs="Arial"/>
            <w:i/>
            <w:sz w:val="18"/>
            <w:szCs w:val="18"/>
            <w:lang w:eastAsia="hr-HR"/>
          </w:rPr>
          <w:t>RGFI – javna objava</w:t>
        </w:r>
      </w:hyperlink>
      <w:r w:rsidRPr="00C914E5">
        <w:rPr>
          <w:rFonts w:cs="Arial"/>
          <w:i/>
          <w:color w:val="0F243E"/>
          <w:sz w:val="18"/>
          <w:szCs w:val="18"/>
          <w:lang w:eastAsia="hr-HR"/>
        </w:rPr>
        <w:t xml:space="preserve"> </w:t>
      </w:r>
      <w:r w:rsidRPr="00C914E5">
        <w:rPr>
          <w:rFonts w:eastAsia="Times New Roman" w:cs="Arial"/>
          <w:i/>
          <w:color w:val="17375E"/>
          <w:sz w:val="18"/>
          <w:szCs w:val="18"/>
          <w:lang w:eastAsia="hr-HR"/>
        </w:rPr>
        <w:t>i na</w:t>
      </w:r>
      <w:r w:rsidRPr="00C914E5">
        <w:rPr>
          <w:rFonts w:cs="Arial"/>
          <w:i/>
          <w:color w:val="0F243E"/>
          <w:sz w:val="18"/>
          <w:szCs w:val="18"/>
          <w:lang w:eastAsia="hr-HR"/>
        </w:rPr>
        <w:t xml:space="preserve"> </w:t>
      </w:r>
      <w:hyperlink r:id="rId10" w:history="1">
        <w:r w:rsidRPr="00C914E5">
          <w:rPr>
            <w:rStyle w:val="Hyperlink"/>
            <w:rFonts w:cs="Arial"/>
            <w:i/>
            <w:sz w:val="18"/>
            <w:szCs w:val="18"/>
            <w:lang w:eastAsia="hr-HR"/>
          </w:rPr>
          <w:t>Transparentno.hr</w:t>
        </w:r>
      </w:hyperlink>
      <w:r w:rsidRPr="00C914E5">
        <w:rPr>
          <w:rFonts w:cs="Arial"/>
          <w:i/>
          <w:color w:val="0000FF"/>
          <w:sz w:val="18"/>
          <w:szCs w:val="18"/>
          <w:u w:val="single"/>
          <w:lang w:eastAsia="hr-HR"/>
        </w:rPr>
        <w:t>,</w:t>
      </w:r>
      <w:r w:rsidRPr="00C914E5">
        <w:rPr>
          <w:rFonts w:cs="Arial"/>
          <w:i/>
          <w:color w:val="0000FF"/>
          <w:sz w:val="18"/>
          <w:szCs w:val="18"/>
          <w:lang w:eastAsia="hr-HR"/>
        </w:rPr>
        <w:t xml:space="preserve"> </w:t>
      </w:r>
      <w:r w:rsidRPr="00C914E5">
        <w:rPr>
          <w:rFonts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11" w:history="1">
        <w:r w:rsidRPr="00C914E5">
          <w:rPr>
            <w:rStyle w:val="Hyperlink"/>
            <w:rFonts w:cs="Arial"/>
            <w:i/>
            <w:sz w:val="18"/>
            <w:szCs w:val="18"/>
            <w:lang w:eastAsia="hr-HR"/>
          </w:rPr>
          <w:t>info.BIZ</w:t>
        </w:r>
      </w:hyperlink>
      <w:r w:rsidRPr="00C914E5">
        <w:rPr>
          <w:rFonts w:cs="Arial"/>
          <w:i/>
          <w:color w:val="0000FF"/>
          <w:sz w:val="18"/>
          <w:szCs w:val="18"/>
          <w:lang w:eastAsia="hr-HR"/>
        </w:rPr>
        <w:t xml:space="preserve"> </w:t>
      </w:r>
      <w:r w:rsidRPr="00C914E5">
        <w:rPr>
          <w:rFonts w:cs="Arial"/>
          <w:i/>
          <w:color w:val="244061"/>
          <w:sz w:val="18"/>
          <w:szCs w:val="18"/>
          <w:lang w:eastAsia="hr-HR"/>
        </w:rPr>
        <w:t>Kontakt adresa</w:t>
      </w:r>
      <w:r w:rsidRPr="00C914E5">
        <w:rPr>
          <w:rFonts w:cs="Arial"/>
          <w:i/>
          <w:color w:val="0000FF"/>
          <w:sz w:val="18"/>
          <w:szCs w:val="18"/>
          <w:u w:val="single"/>
          <w:lang w:eastAsia="hr-HR"/>
        </w:rPr>
        <w:t xml:space="preserve"> </w:t>
      </w:r>
      <w:hyperlink r:id="rId12" w:history="1">
        <w:r w:rsidRPr="00C914E5">
          <w:rPr>
            <w:rStyle w:val="Hyperlink"/>
            <w:rFonts w:cs="Arial"/>
            <w:i/>
            <w:sz w:val="18"/>
            <w:szCs w:val="18"/>
            <w:lang w:eastAsia="hr-HR"/>
          </w:rPr>
          <w:t>info@fina.hr</w:t>
        </w:r>
      </w:hyperlink>
    </w:p>
    <w:sectPr w:rsidR="00E96704" w:rsidRPr="00F50C23" w:rsidSect="008A38DE">
      <w:headerReference w:type="default" r:id="rId13"/>
      <w:footerReference w:type="default" r:id="rId14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7D" w:rsidRDefault="009D157D" w:rsidP="00E72151">
      <w:pPr>
        <w:spacing w:after="0" w:line="240" w:lineRule="auto"/>
      </w:pPr>
      <w:r>
        <w:separator/>
      </w:r>
    </w:p>
  </w:endnote>
  <w:endnote w:type="continuationSeparator" w:id="0">
    <w:p w:rsidR="009D157D" w:rsidRDefault="009D157D" w:rsidP="00E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56" w:rsidRPr="00234913" w:rsidRDefault="00502756" w:rsidP="00B57B1D">
    <w:pPr>
      <w:pStyle w:val="Footer"/>
      <w:spacing w:after="0" w:line="240" w:lineRule="auto"/>
      <w:jc w:val="right"/>
      <w:rPr>
        <w:rFonts w:ascii="Arial" w:hAnsi="Arial" w:cs="Arial"/>
        <w:sz w:val="18"/>
        <w:szCs w:val="18"/>
      </w:rPr>
    </w:pPr>
    <w:r w:rsidRPr="00423BBC">
      <w:rPr>
        <w:rFonts w:ascii="Arial" w:hAnsi="Arial" w:cs="Arial"/>
        <w:sz w:val="18"/>
        <w:szCs w:val="18"/>
      </w:rPr>
      <w:fldChar w:fldCharType="begin"/>
    </w:r>
    <w:r w:rsidRPr="00423BBC">
      <w:rPr>
        <w:rFonts w:ascii="Arial" w:hAnsi="Arial" w:cs="Arial"/>
        <w:sz w:val="18"/>
        <w:szCs w:val="18"/>
      </w:rPr>
      <w:instrText>PAGE   \* MERGEFORMAT</w:instrText>
    </w:r>
    <w:r w:rsidRPr="00423BBC">
      <w:rPr>
        <w:rFonts w:ascii="Arial" w:hAnsi="Arial" w:cs="Arial"/>
        <w:sz w:val="18"/>
        <w:szCs w:val="18"/>
      </w:rPr>
      <w:fldChar w:fldCharType="separate"/>
    </w:r>
    <w:r w:rsidR="007A106C">
      <w:rPr>
        <w:rFonts w:ascii="Arial" w:hAnsi="Arial" w:cs="Arial"/>
        <w:noProof/>
        <w:sz w:val="18"/>
        <w:szCs w:val="18"/>
      </w:rPr>
      <w:t>1</w:t>
    </w:r>
    <w:r w:rsidRPr="00423BB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7D" w:rsidRDefault="009D157D" w:rsidP="00E72151">
      <w:pPr>
        <w:spacing w:after="0" w:line="240" w:lineRule="auto"/>
      </w:pPr>
      <w:r>
        <w:separator/>
      </w:r>
    </w:p>
  </w:footnote>
  <w:footnote w:type="continuationSeparator" w:id="0">
    <w:p w:rsidR="009D157D" w:rsidRDefault="009D157D" w:rsidP="00E72151">
      <w:pPr>
        <w:spacing w:after="0" w:line="240" w:lineRule="auto"/>
      </w:pPr>
      <w:r>
        <w:continuationSeparator/>
      </w:r>
    </w:p>
  </w:footnote>
  <w:footnote w:id="1">
    <w:p w:rsidR="00AF2791" w:rsidRPr="001C31A7" w:rsidRDefault="00AF2791" w:rsidP="00AF2791">
      <w:pPr>
        <w:pStyle w:val="FootnoteText"/>
        <w:spacing w:after="0"/>
        <w:rPr>
          <w:rFonts w:ascii="Arial" w:eastAsia="Times New Roman" w:hAnsi="Arial" w:cs="Arial"/>
          <w:color w:val="17365D" w:themeColor="text2" w:themeShade="BF"/>
          <w:sz w:val="15"/>
          <w:szCs w:val="15"/>
          <w:highlight w:val="green"/>
          <w:lang w:eastAsia="hr-HR"/>
        </w:rPr>
      </w:pPr>
      <w:r w:rsidRPr="0046285F">
        <w:rPr>
          <w:rStyle w:val="FootnoteReference"/>
        </w:rPr>
        <w:footnoteRef/>
      </w:r>
      <w:r w:rsidRPr="0046285F">
        <w:t xml:space="preserve"> </w:t>
      </w:r>
      <w:r w:rsidRPr="0046285F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Pozicija iz GFI-a (iz obrazaca do 2016.) - "Investicije u novu dugotrajnu imovinu" istovjetna je poziciji "Bruto investicije samo u novu dugotrajnu imovinu" u obrascima GFI-a 2016. - 2020.</w:t>
      </w:r>
    </w:p>
  </w:footnote>
  <w:footnote w:id="2">
    <w:p w:rsidR="00502756" w:rsidRPr="007172F9" w:rsidRDefault="00502756" w:rsidP="000C1F94">
      <w:pPr>
        <w:pStyle w:val="FootnoteText"/>
        <w:spacing w:after="0"/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</w:pPr>
      <w:r w:rsidRPr="0046285F">
        <w:rPr>
          <w:rStyle w:val="FootnoteReference"/>
        </w:rPr>
        <w:footnoteRef/>
      </w:r>
      <w:r w:rsidRPr="0046285F">
        <w:t xml:space="preserve"> </w:t>
      </w:r>
      <w:r w:rsidRPr="0046285F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Serija podataka u </w:t>
      </w:r>
      <w:r w:rsidR="001C31A7" w:rsidRPr="0046285F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>grafikonu</w:t>
      </w:r>
      <w:r w:rsidRPr="0046285F">
        <w:rPr>
          <w:rFonts w:ascii="Arial" w:eastAsia="Times New Roman" w:hAnsi="Arial" w:cs="Arial"/>
          <w:color w:val="17365D" w:themeColor="text2" w:themeShade="BF"/>
          <w:sz w:val="15"/>
          <w:szCs w:val="15"/>
          <w:lang w:eastAsia="hr-HR"/>
        </w:rPr>
        <w:t xml:space="preserve"> za sve godine prikazana je iz godišnjeg financijskog izvještaja iz kolone tekuće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56" w:rsidRPr="00666675" w:rsidRDefault="00502756" w:rsidP="00B57B1D">
    <w:pPr>
      <w:pStyle w:val="Header"/>
      <w:spacing w:after="0" w:line="240" w:lineRule="auto"/>
      <w:rPr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538282CF" wp14:editId="50E1136B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215" cy="2159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1D"/>
    <w:rsid w:val="00015AD7"/>
    <w:rsid w:val="00026E16"/>
    <w:rsid w:val="00026F6D"/>
    <w:rsid w:val="00027D1F"/>
    <w:rsid w:val="00032055"/>
    <w:rsid w:val="00044650"/>
    <w:rsid w:val="00045DED"/>
    <w:rsid w:val="00062817"/>
    <w:rsid w:val="00066D08"/>
    <w:rsid w:val="00087008"/>
    <w:rsid w:val="0009057F"/>
    <w:rsid w:val="000910A9"/>
    <w:rsid w:val="00091400"/>
    <w:rsid w:val="00092163"/>
    <w:rsid w:val="00094161"/>
    <w:rsid w:val="000A0D20"/>
    <w:rsid w:val="000A15F6"/>
    <w:rsid w:val="000A3F42"/>
    <w:rsid w:val="000A4C94"/>
    <w:rsid w:val="000B1ABE"/>
    <w:rsid w:val="000C1F94"/>
    <w:rsid w:val="000D2120"/>
    <w:rsid w:val="000D2526"/>
    <w:rsid w:val="000D7B10"/>
    <w:rsid w:val="000E1796"/>
    <w:rsid w:val="000E342C"/>
    <w:rsid w:val="000F088A"/>
    <w:rsid w:val="00110A2B"/>
    <w:rsid w:val="0011201E"/>
    <w:rsid w:val="00125FA1"/>
    <w:rsid w:val="00150966"/>
    <w:rsid w:val="00150F38"/>
    <w:rsid w:val="00153F53"/>
    <w:rsid w:val="00153FC9"/>
    <w:rsid w:val="00154751"/>
    <w:rsid w:val="00154DBC"/>
    <w:rsid w:val="00164D28"/>
    <w:rsid w:val="00170B92"/>
    <w:rsid w:val="00175D57"/>
    <w:rsid w:val="001970A8"/>
    <w:rsid w:val="001A7C94"/>
    <w:rsid w:val="001B4BE9"/>
    <w:rsid w:val="001B67A7"/>
    <w:rsid w:val="001B6DA2"/>
    <w:rsid w:val="001C31A7"/>
    <w:rsid w:val="001C47FA"/>
    <w:rsid w:val="001C55A0"/>
    <w:rsid w:val="001D45F9"/>
    <w:rsid w:val="001E784F"/>
    <w:rsid w:val="001E7B84"/>
    <w:rsid w:val="001F61CC"/>
    <w:rsid w:val="002034B5"/>
    <w:rsid w:val="00207D96"/>
    <w:rsid w:val="00230C6A"/>
    <w:rsid w:val="002316F5"/>
    <w:rsid w:val="00237E57"/>
    <w:rsid w:val="002420C9"/>
    <w:rsid w:val="00242412"/>
    <w:rsid w:val="00253F50"/>
    <w:rsid w:val="0027673B"/>
    <w:rsid w:val="00277EF6"/>
    <w:rsid w:val="00295001"/>
    <w:rsid w:val="00295CB1"/>
    <w:rsid w:val="002A22F0"/>
    <w:rsid w:val="002A3E35"/>
    <w:rsid w:val="002A6DC7"/>
    <w:rsid w:val="002B1E82"/>
    <w:rsid w:val="002B52CB"/>
    <w:rsid w:val="002B74E0"/>
    <w:rsid w:val="002C3CE1"/>
    <w:rsid w:val="002C4C09"/>
    <w:rsid w:val="002D1D6F"/>
    <w:rsid w:val="002E716C"/>
    <w:rsid w:val="002F5B1C"/>
    <w:rsid w:val="00314356"/>
    <w:rsid w:val="00327099"/>
    <w:rsid w:val="003351AC"/>
    <w:rsid w:val="00344062"/>
    <w:rsid w:val="003513D3"/>
    <w:rsid w:val="0035158D"/>
    <w:rsid w:val="0036057E"/>
    <w:rsid w:val="0036560B"/>
    <w:rsid w:val="0036569E"/>
    <w:rsid w:val="0037188F"/>
    <w:rsid w:val="00372272"/>
    <w:rsid w:val="00385FAF"/>
    <w:rsid w:val="00387805"/>
    <w:rsid w:val="00390C47"/>
    <w:rsid w:val="00392D9C"/>
    <w:rsid w:val="00394CE0"/>
    <w:rsid w:val="003A4457"/>
    <w:rsid w:val="003A4DAF"/>
    <w:rsid w:val="003A709B"/>
    <w:rsid w:val="003B24BC"/>
    <w:rsid w:val="003B50E4"/>
    <w:rsid w:val="003C08F8"/>
    <w:rsid w:val="003C1817"/>
    <w:rsid w:val="003C365C"/>
    <w:rsid w:val="003D164C"/>
    <w:rsid w:val="003D6296"/>
    <w:rsid w:val="00401559"/>
    <w:rsid w:val="004015C6"/>
    <w:rsid w:val="00412CDD"/>
    <w:rsid w:val="00444E64"/>
    <w:rsid w:val="00446317"/>
    <w:rsid w:val="00447A1A"/>
    <w:rsid w:val="00455377"/>
    <w:rsid w:val="0046077B"/>
    <w:rsid w:val="004617A4"/>
    <w:rsid w:val="0046285F"/>
    <w:rsid w:val="004703A9"/>
    <w:rsid w:val="00471A0B"/>
    <w:rsid w:val="00477E7F"/>
    <w:rsid w:val="00481A1C"/>
    <w:rsid w:val="00494B6B"/>
    <w:rsid w:val="004A5348"/>
    <w:rsid w:val="004B1BC4"/>
    <w:rsid w:val="004B60EE"/>
    <w:rsid w:val="004C5442"/>
    <w:rsid w:val="004C6E2D"/>
    <w:rsid w:val="004D7988"/>
    <w:rsid w:val="00500E3D"/>
    <w:rsid w:val="00502756"/>
    <w:rsid w:val="005110BC"/>
    <w:rsid w:val="0053129D"/>
    <w:rsid w:val="00532CE2"/>
    <w:rsid w:val="00534C62"/>
    <w:rsid w:val="005362C5"/>
    <w:rsid w:val="00542F18"/>
    <w:rsid w:val="005538EB"/>
    <w:rsid w:val="005564B9"/>
    <w:rsid w:val="00556695"/>
    <w:rsid w:val="00561789"/>
    <w:rsid w:val="00561A7C"/>
    <w:rsid w:val="005620CD"/>
    <w:rsid w:val="00563A49"/>
    <w:rsid w:val="00563ABB"/>
    <w:rsid w:val="005675D5"/>
    <w:rsid w:val="00571AA1"/>
    <w:rsid w:val="00593623"/>
    <w:rsid w:val="0059463A"/>
    <w:rsid w:val="00595594"/>
    <w:rsid w:val="00595C6F"/>
    <w:rsid w:val="005B1038"/>
    <w:rsid w:val="005C03B5"/>
    <w:rsid w:val="005D2926"/>
    <w:rsid w:val="005D5E05"/>
    <w:rsid w:val="006009CD"/>
    <w:rsid w:val="00611CFA"/>
    <w:rsid w:val="0062109C"/>
    <w:rsid w:val="006274EB"/>
    <w:rsid w:val="00643856"/>
    <w:rsid w:val="00656EAE"/>
    <w:rsid w:val="00660AF2"/>
    <w:rsid w:val="006646A5"/>
    <w:rsid w:val="00670CBD"/>
    <w:rsid w:val="006820C8"/>
    <w:rsid w:val="00682145"/>
    <w:rsid w:val="00692B8A"/>
    <w:rsid w:val="006977DF"/>
    <w:rsid w:val="006A1454"/>
    <w:rsid w:val="006B3389"/>
    <w:rsid w:val="006B705B"/>
    <w:rsid w:val="006D6CF2"/>
    <w:rsid w:val="006D76CE"/>
    <w:rsid w:val="006E07AA"/>
    <w:rsid w:val="006E5F54"/>
    <w:rsid w:val="006E60E4"/>
    <w:rsid w:val="006F076A"/>
    <w:rsid w:val="006F0FEF"/>
    <w:rsid w:val="006F2E2B"/>
    <w:rsid w:val="007111F2"/>
    <w:rsid w:val="00715E8D"/>
    <w:rsid w:val="007172F9"/>
    <w:rsid w:val="007202D4"/>
    <w:rsid w:val="00726335"/>
    <w:rsid w:val="0075726C"/>
    <w:rsid w:val="0076759E"/>
    <w:rsid w:val="00771A2D"/>
    <w:rsid w:val="007734C0"/>
    <w:rsid w:val="00775023"/>
    <w:rsid w:val="00783CC7"/>
    <w:rsid w:val="00793841"/>
    <w:rsid w:val="007A106C"/>
    <w:rsid w:val="007A1C6E"/>
    <w:rsid w:val="007A541E"/>
    <w:rsid w:val="007B3F64"/>
    <w:rsid w:val="007C6062"/>
    <w:rsid w:val="007D389F"/>
    <w:rsid w:val="007D42E1"/>
    <w:rsid w:val="007E1CA2"/>
    <w:rsid w:val="007E3F16"/>
    <w:rsid w:val="00800720"/>
    <w:rsid w:val="00827F57"/>
    <w:rsid w:val="00831169"/>
    <w:rsid w:val="00831F91"/>
    <w:rsid w:val="00835843"/>
    <w:rsid w:val="008701BB"/>
    <w:rsid w:val="00876A47"/>
    <w:rsid w:val="008879AF"/>
    <w:rsid w:val="00890097"/>
    <w:rsid w:val="008929EC"/>
    <w:rsid w:val="00895132"/>
    <w:rsid w:val="008A38DE"/>
    <w:rsid w:val="008A4377"/>
    <w:rsid w:val="008B3BAF"/>
    <w:rsid w:val="008E3E4D"/>
    <w:rsid w:val="008F13AB"/>
    <w:rsid w:val="008F3A28"/>
    <w:rsid w:val="008F74DF"/>
    <w:rsid w:val="00904BD9"/>
    <w:rsid w:val="00904F52"/>
    <w:rsid w:val="00910FB1"/>
    <w:rsid w:val="0092038B"/>
    <w:rsid w:val="00932AD5"/>
    <w:rsid w:val="00934464"/>
    <w:rsid w:val="009364B5"/>
    <w:rsid w:val="00947F61"/>
    <w:rsid w:val="009578AE"/>
    <w:rsid w:val="00957EE2"/>
    <w:rsid w:val="00970B4D"/>
    <w:rsid w:val="009713E9"/>
    <w:rsid w:val="0097507E"/>
    <w:rsid w:val="009819C0"/>
    <w:rsid w:val="00993A3D"/>
    <w:rsid w:val="009A6A85"/>
    <w:rsid w:val="009B1353"/>
    <w:rsid w:val="009C2587"/>
    <w:rsid w:val="009C4A5A"/>
    <w:rsid w:val="009C6490"/>
    <w:rsid w:val="009C7761"/>
    <w:rsid w:val="009D157D"/>
    <w:rsid w:val="009E31A3"/>
    <w:rsid w:val="009E7269"/>
    <w:rsid w:val="009F6869"/>
    <w:rsid w:val="00A0186E"/>
    <w:rsid w:val="00A06D90"/>
    <w:rsid w:val="00A30794"/>
    <w:rsid w:val="00A34DBF"/>
    <w:rsid w:val="00A35AE1"/>
    <w:rsid w:val="00A3767A"/>
    <w:rsid w:val="00A5651C"/>
    <w:rsid w:val="00A63791"/>
    <w:rsid w:val="00A67D49"/>
    <w:rsid w:val="00A73103"/>
    <w:rsid w:val="00A938F7"/>
    <w:rsid w:val="00AA73D6"/>
    <w:rsid w:val="00AB02BE"/>
    <w:rsid w:val="00AB67ED"/>
    <w:rsid w:val="00AC0EF7"/>
    <w:rsid w:val="00AD4784"/>
    <w:rsid w:val="00AD4DF5"/>
    <w:rsid w:val="00AD7F14"/>
    <w:rsid w:val="00AE1989"/>
    <w:rsid w:val="00AE2D11"/>
    <w:rsid w:val="00AF2791"/>
    <w:rsid w:val="00AF3C71"/>
    <w:rsid w:val="00AF7673"/>
    <w:rsid w:val="00AF7934"/>
    <w:rsid w:val="00B00B42"/>
    <w:rsid w:val="00B2778E"/>
    <w:rsid w:val="00B31145"/>
    <w:rsid w:val="00B31D8A"/>
    <w:rsid w:val="00B337F8"/>
    <w:rsid w:val="00B431E3"/>
    <w:rsid w:val="00B46ADF"/>
    <w:rsid w:val="00B46CD4"/>
    <w:rsid w:val="00B472A2"/>
    <w:rsid w:val="00B57B1D"/>
    <w:rsid w:val="00B840A9"/>
    <w:rsid w:val="00B964CB"/>
    <w:rsid w:val="00BA32B2"/>
    <w:rsid w:val="00BB0F35"/>
    <w:rsid w:val="00BC0B53"/>
    <w:rsid w:val="00BC12BB"/>
    <w:rsid w:val="00BD7028"/>
    <w:rsid w:val="00BD7D50"/>
    <w:rsid w:val="00BE223B"/>
    <w:rsid w:val="00BE46C7"/>
    <w:rsid w:val="00BE6D54"/>
    <w:rsid w:val="00C04571"/>
    <w:rsid w:val="00C0713D"/>
    <w:rsid w:val="00C123A3"/>
    <w:rsid w:val="00C200EC"/>
    <w:rsid w:val="00C279BA"/>
    <w:rsid w:val="00C51D10"/>
    <w:rsid w:val="00C52350"/>
    <w:rsid w:val="00C65621"/>
    <w:rsid w:val="00C81196"/>
    <w:rsid w:val="00C91FE5"/>
    <w:rsid w:val="00CA6B5A"/>
    <w:rsid w:val="00CB140E"/>
    <w:rsid w:val="00CB28EF"/>
    <w:rsid w:val="00CB3FBC"/>
    <w:rsid w:val="00CB56E6"/>
    <w:rsid w:val="00CC14DF"/>
    <w:rsid w:val="00CC7D0F"/>
    <w:rsid w:val="00CD3030"/>
    <w:rsid w:val="00CE6117"/>
    <w:rsid w:val="00CF2F07"/>
    <w:rsid w:val="00CF2FFF"/>
    <w:rsid w:val="00D0612E"/>
    <w:rsid w:val="00D06A26"/>
    <w:rsid w:val="00D205CD"/>
    <w:rsid w:val="00D22424"/>
    <w:rsid w:val="00D228AB"/>
    <w:rsid w:val="00D30314"/>
    <w:rsid w:val="00D33A34"/>
    <w:rsid w:val="00D340FB"/>
    <w:rsid w:val="00D3585C"/>
    <w:rsid w:val="00D35E45"/>
    <w:rsid w:val="00D4097B"/>
    <w:rsid w:val="00D42CBE"/>
    <w:rsid w:val="00D518CF"/>
    <w:rsid w:val="00D555ED"/>
    <w:rsid w:val="00D702F7"/>
    <w:rsid w:val="00D76E20"/>
    <w:rsid w:val="00D7764F"/>
    <w:rsid w:val="00D85C20"/>
    <w:rsid w:val="00D87EDE"/>
    <w:rsid w:val="00D90ED6"/>
    <w:rsid w:val="00DA6F20"/>
    <w:rsid w:val="00DB33A1"/>
    <w:rsid w:val="00DD053A"/>
    <w:rsid w:val="00DD26FD"/>
    <w:rsid w:val="00DE3414"/>
    <w:rsid w:val="00DE5F61"/>
    <w:rsid w:val="00DF6CB1"/>
    <w:rsid w:val="00E03F58"/>
    <w:rsid w:val="00E15DA4"/>
    <w:rsid w:val="00E21E87"/>
    <w:rsid w:val="00E34853"/>
    <w:rsid w:val="00E44E09"/>
    <w:rsid w:val="00E67FCA"/>
    <w:rsid w:val="00E70361"/>
    <w:rsid w:val="00E72151"/>
    <w:rsid w:val="00E72C4D"/>
    <w:rsid w:val="00E81069"/>
    <w:rsid w:val="00E81BA8"/>
    <w:rsid w:val="00E8438B"/>
    <w:rsid w:val="00E93CFD"/>
    <w:rsid w:val="00E93FD0"/>
    <w:rsid w:val="00E96704"/>
    <w:rsid w:val="00EA2A8E"/>
    <w:rsid w:val="00EA5900"/>
    <w:rsid w:val="00EA6D00"/>
    <w:rsid w:val="00EC19EF"/>
    <w:rsid w:val="00ED1E55"/>
    <w:rsid w:val="00ED37E4"/>
    <w:rsid w:val="00EE604C"/>
    <w:rsid w:val="00F03843"/>
    <w:rsid w:val="00F07EEA"/>
    <w:rsid w:val="00F16910"/>
    <w:rsid w:val="00F175D6"/>
    <w:rsid w:val="00F23DF1"/>
    <w:rsid w:val="00F25A74"/>
    <w:rsid w:val="00F26378"/>
    <w:rsid w:val="00F32F6B"/>
    <w:rsid w:val="00F50C23"/>
    <w:rsid w:val="00F6032E"/>
    <w:rsid w:val="00F64B44"/>
    <w:rsid w:val="00F77000"/>
    <w:rsid w:val="00F83D70"/>
    <w:rsid w:val="00F85ABE"/>
    <w:rsid w:val="00FA1760"/>
    <w:rsid w:val="00FA4B8A"/>
    <w:rsid w:val="00FA5DCF"/>
    <w:rsid w:val="00FB33E4"/>
    <w:rsid w:val="00FC172D"/>
    <w:rsid w:val="00FC1803"/>
    <w:rsid w:val="00FD0450"/>
    <w:rsid w:val="00FD1AE9"/>
    <w:rsid w:val="00FD41AD"/>
    <w:rsid w:val="00FF34AB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B57B1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B57B1D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215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72151"/>
    <w:rPr>
      <w:lang w:eastAsia="en-US"/>
    </w:rPr>
  </w:style>
  <w:style w:type="character" w:styleId="FootnoteReference">
    <w:name w:val="footnote reference"/>
    <w:uiPriority w:val="99"/>
    <w:semiHidden/>
    <w:unhideWhenUsed/>
    <w:rsid w:val="00E72151"/>
    <w:rPr>
      <w:vertAlign w:val="superscript"/>
    </w:rPr>
  </w:style>
  <w:style w:type="character" w:styleId="Hyperlink">
    <w:name w:val="Hyperlink"/>
    <w:uiPriority w:val="99"/>
    <w:unhideWhenUsed/>
    <w:rsid w:val="000E17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F3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04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90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B57B1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57B1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B57B1D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215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72151"/>
    <w:rPr>
      <w:lang w:eastAsia="en-US"/>
    </w:rPr>
  </w:style>
  <w:style w:type="character" w:styleId="FootnoteReference">
    <w:name w:val="footnote reference"/>
    <w:uiPriority w:val="99"/>
    <w:semiHidden/>
    <w:unhideWhenUsed/>
    <w:rsid w:val="00E72151"/>
    <w:rPr>
      <w:vertAlign w:val="superscript"/>
    </w:rPr>
  </w:style>
  <w:style w:type="character" w:styleId="Hyperlink">
    <w:name w:val="Hyperlink"/>
    <w:uiPriority w:val="99"/>
    <w:unhideWhenUsed/>
    <w:rsid w:val="000E17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F3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04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90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fina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art=8958&amp;sec=12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ransparentno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gfi.fina.hr/JavnaObjava-web/jsp/prijavaKorisnika.js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6CB2-A0F3-46BC-8D5E-17BC739C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7837</CharactersWithSpaces>
  <SharedDoc>false</SharedDoc>
  <HLinks>
    <vt:vector size="126" baseType="variant">
      <vt:variant>
        <vt:i4>3997819</vt:i4>
      </vt:variant>
      <vt:variant>
        <vt:i4>51</vt:i4>
      </vt:variant>
      <vt:variant>
        <vt:i4>0</vt:i4>
      </vt:variant>
      <vt:variant>
        <vt:i4>5</vt:i4>
      </vt:variant>
      <vt:variant>
        <vt:lpwstr>http://www.fina.hr/Default.aspx?sec=972</vt:lpwstr>
      </vt:variant>
      <vt:variant>
        <vt:lpwstr/>
      </vt:variant>
      <vt:variant>
        <vt:i4>131084</vt:i4>
      </vt:variant>
      <vt:variant>
        <vt:i4>48</vt:i4>
      </vt:variant>
      <vt:variant>
        <vt:i4>0</vt:i4>
      </vt:variant>
      <vt:variant>
        <vt:i4>5</vt:i4>
      </vt:variant>
      <vt:variant>
        <vt:lpwstr>https://jrr.fina.hr/</vt:lpwstr>
      </vt:variant>
      <vt:variant>
        <vt:lpwstr/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>http://www.fina.hr/Default.aspx?sec=1538</vt:lpwstr>
      </vt:variant>
      <vt:variant>
        <vt:lpwstr/>
      </vt:variant>
      <vt:variant>
        <vt:i4>655366</vt:i4>
      </vt:variant>
      <vt:variant>
        <vt:i4>42</vt:i4>
      </vt:variant>
      <vt:variant>
        <vt:i4>0</vt:i4>
      </vt:variant>
      <vt:variant>
        <vt:i4>5</vt:i4>
      </vt:variant>
      <vt:variant>
        <vt:lpwstr>http://www.fina.hr/Default.aspx?art=8958&amp;sec=1275</vt:lpwstr>
      </vt:variant>
      <vt:variant>
        <vt:lpwstr/>
      </vt:variant>
      <vt:variant>
        <vt:i4>655441</vt:i4>
      </vt:variant>
      <vt:variant>
        <vt:i4>39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36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  <vt:variant>
        <vt:i4>65604</vt:i4>
      </vt:variant>
      <vt:variant>
        <vt:i4>33</vt:i4>
      </vt:variant>
      <vt:variant>
        <vt:i4>0</vt:i4>
      </vt:variant>
      <vt:variant>
        <vt:i4>5</vt:i4>
      </vt:variant>
      <vt:variant>
        <vt:lpwstr>http://www.fina.hr/Default.aspx?sec=1279</vt:lpwstr>
      </vt:variant>
      <vt:variant>
        <vt:lpwstr/>
      </vt:variant>
      <vt:variant>
        <vt:i4>1507337</vt:i4>
      </vt:variant>
      <vt:variant>
        <vt:i4>30</vt:i4>
      </vt:variant>
      <vt:variant>
        <vt:i4>0</vt:i4>
      </vt:variant>
      <vt:variant>
        <vt:i4>5</vt:i4>
      </vt:variant>
      <vt:variant>
        <vt:lpwstr>https://www.transparentno.hr/pregled/20622608859/08d39b480d82bb3b61420436b39cb1b50c69401caa76e270fe5b59242dd4fcfe6eabe882da95f6dd3040d9c944272a7275afa70eab73209748c524c5179b89b0</vt:lpwstr>
      </vt:variant>
      <vt:variant>
        <vt:lpwstr/>
      </vt:variant>
      <vt:variant>
        <vt:i4>4456528</vt:i4>
      </vt:variant>
      <vt:variant>
        <vt:i4>27</vt:i4>
      </vt:variant>
      <vt:variant>
        <vt:i4>0</vt:i4>
      </vt:variant>
      <vt:variant>
        <vt:i4>5</vt:i4>
      </vt:variant>
      <vt:variant>
        <vt:lpwstr>https://www.transparentno.hr/pregled/63073332379/e0f1d8a622fb46af0c377b1a12ec520c0f3a35453803c744d0b8b8198166a1f444fdf6e46126d25afb164e67467e81f6819fabcbb8a29c83083b6c5c7e923d06</vt:lpwstr>
      </vt:variant>
      <vt:variant>
        <vt:lpwstr/>
      </vt:variant>
      <vt:variant>
        <vt:i4>1966165</vt:i4>
      </vt:variant>
      <vt:variant>
        <vt:i4>24</vt:i4>
      </vt:variant>
      <vt:variant>
        <vt:i4>0</vt:i4>
      </vt:variant>
      <vt:variant>
        <vt:i4>5</vt:i4>
      </vt:variant>
      <vt:variant>
        <vt:lpwstr>https://www.transparentno.hr/pregled/81103558092/4796d06ee3e068c0c5de6a7211f959fe7961eb7dbe5b0b0e89171214bf061d1609a1b4ee1ea0caf40083d6c787f7deca25044218a483b8a345329edd2ef8da13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https://www.transparentno.hr/pregled/05925862411/6152e2c11b4d0b2203ae23e9f7e8ae1c8b38887d0f0e7303be39882bdba269e4fd986dbec6c7c080ed364f3955da664c732821d2b9de937411fab7fe39bbecdc</vt:lpwstr>
      </vt:variant>
      <vt:variant>
        <vt:lpwstr/>
      </vt:variant>
      <vt:variant>
        <vt:i4>1638407</vt:i4>
      </vt:variant>
      <vt:variant>
        <vt:i4>18</vt:i4>
      </vt:variant>
      <vt:variant>
        <vt:i4>0</vt:i4>
      </vt:variant>
      <vt:variant>
        <vt:i4>5</vt:i4>
      </vt:variant>
      <vt:variant>
        <vt:lpwstr>https://www.transparentno.hr/pregled/17040043994/abf242ce048545c8e594690e70b1a6682a3d8ad8ce9d07d4cefdca0150ca85cbfe9c5f7e21a407918405005d5ff014995dd5e7ba6a22626aebeb53121c4895bc</vt:lpwstr>
      </vt:variant>
      <vt:variant>
        <vt:lpwstr/>
      </vt:variant>
      <vt:variant>
        <vt:i4>4849756</vt:i4>
      </vt:variant>
      <vt:variant>
        <vt:i4>15</vt:i4>
      </vt:variant>
      <vt:variant>
        <vt:i4>0</vt:i4>
      </vt:variant>
      <vt:variant>
        <vt:i4>5</vt:i4>
      </vt:variant>
      <vt:variant>
        <vt:lpwstr>https://www.transparentno.hr/pregled/77604626413/74d58d3ac5d09d41e3491d6b0a69f7c376f9cac531385c561e886a79ad9aa51199ea4d343c65ab4a14600df28fadba2e99cc213e4cd8b4da6b277fa1582d545e</vt:lpwstr>
      </vt:variant>
      <vt:variant>
        <vt:lpwstr/>
      </vt:variant>
      <vt:variant>
        <vt:i4>1310801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https://www.transparentno.hr/pregled/13148821633/c80e23893cd08751b492bfc70bf4c27d657fe91f3fca3311af10730ed8b741a0112ede617cedb881d4778ebc37d49015d57d2022282cdef3dd8b6a04b2342636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https://www.transparentno.hr/pregled/09518585079/65f9a093a6532b6a5b8f71a6f48c9a088ae2a16dc0ebd2f2bf0769c8dc21998caabb51c93d2ae848f93b2c5b63c3456f94c6b78d5131b830ab63a4f140d37c29</vt:lpwstr>
      </vt:variant>
      <vt:variant>
        <vt:lpwstr/>
      </vt:variant>
      <vt:variant>
        <vt:i4>4653148</vt:i4>
      </vt:variant>
      <vt:variant>
        <vt:i4>6</vt:i4>
      </vt:variant>
      <vt:variant>
        <vt:i4>0</vt:i4>
      </vt:variant>
      <vt:variant>
        <vt:i4>5</vt:i4>
      </vt:variant>
      <vt:variant>
        <vt:lpwstr>https://www.transparentno.hr/pregled/46830600751/d681dd7da43d511a43bd9d97b787cf70e04a5be6e4d35b5970e337e7c373dded515eecdb81fa979db4d00a5b57382b116108aee143111df85f6a35d92778fa43</vt:lpwstr>
      </vt:variant>
      <vt:variant>
        <vt:lpwstr/>
      </vt:variant>
      <vt:variant>
        <vt:i4>1114202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https://www.transparentno.hr/pregled/28921978587/7c5b7819325854f6083b379497dab05f31c409132c9bc539ca070e65fcafa24478b425e38a0c37845d7a950dc2f1a864447d6171521fddba0cae96d046a03fd6</vt:lpwstr>
      </vt:variant>
      <vt:variant>
        <vt:lpwstr/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https://www.transparentno.hr/pregled/46830600751/d681dd7da43d511a43bd9d97b787cf70e04a5be6e4d35b5970e337e7c373dded515eecdb81fa979db4d00a5b57382b116108aee143111df85f6a35d92778fa43</vt:lpwstr>
      </vt:variant>
      <vt:variant>
        <vt:lpwstr/>
      </vt:variant>
      <vt:variant>
        <vt:i4>1245277</vt:i4>
      </vt:variant>
      <vt:variant>
        <vt:i4>6</vt:i4>
      </vt:variant>
      <vt:variant>
        <vt:i4>0</vt:i4>
      </vt:variant>
      <vt:variant>
        <vt:i4>5</vt:i4>
      </vt:variant>
      <vt:variant>
        <vt:lpwstr>https://sudreg.pravosudje.hr/registar/f?p=150:1:0::NO:1,28::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http://rgfi.fina.hr/JavnaObjava-web/prijava.do</vt:lpwstr>
      </vt:variant>
      <vt:variant>
        <vt:lpwstr/>
      </vt:variant>
      <vt:variant>
        <vt:i4>1245277</vt:i4>
      </vt:variant>
      <vt:variant>
        <vt:i4>0</vt:i4>
      </vt:variant>
      <vt:variant>
        <vt:i4>0</vt:i4>
      </vt:variant>
      <vt:variant>
        <vt:i4>5</vt:i4>
      </vt:variant>
      <vt:variant>
        <vt:lpwstr>https://sudreg.pravosudje.hr/registar/f?p=150:1:0::NO:1,28::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CREG</dc:creator>
  <cp:lastModifiedBy>Željka Foriš Car</cp:lastModifiedBy>
  <cp:revision>2</cp:revision>
  <dcterms:created xsi:type="dcterms:W3CDTF">2022-03-04T10:59:00Z</dcterms:created>
  <dcterms:modified xsi:type="dcterms:W3CDTF">2022-03-04T10:59:00Z</dcterms:modified>
</cp:coreProperties>
</file>