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D0" w:rsidRPr="008F6F33" w:rsidRDefault="00EC72B0" w:rsidP="001C5535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2F62BD">
        <w:rPr>
          <w:rFonts w:ascii="Arial" w:hAnsi="Arial" w:cs="Arial"/>
          <w:b/>
          <w:color w:val="244061" w:themeColor="accent1" w:themeShade="80"/>
          <w:sz w:val="21"/>
          <w:szCs w:val="21"/>
        </w:rPr>
        <w:t>FINANCIJSKI REZULTATI POSLOVANJA PODUZETNIKA U 2015. GODINI, SA SJEDIŠTEM NA PODRUČJU VELIKOG URBANOG PODRUČJA PULA</w:t>
      </w:r>
    </w:p>
    <w:p w:rsidR="00947E4F" w:rsidRDefault="0029645B" w:rsidP="001C553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</w:t>
      </w:r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dlukom o sastavu urbanog područja Pula određeno je da u njegov sastav ulaze gradovi Pula i Vodnjan te općine Barban, </w:t>
      </w:r>
      <w:proofErr w:type="spellStart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Ližnjan</w:t>
      </w:r>
      <w:proofErr w:type="spellEnd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proofErr w:type="spellStart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Marčana</w:t>
      </w:r>
      <w:proofErr w:type="spellEnd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Medulin i </w:t>
      </w:r>
      <w:proofErr w:type="spellStart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Svetvinčenat</w:t>
      </w:r>
      <w:proofErr w:type="spellEnd"/>
      <w:r w:rsidRPr="0029645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B9068C" w:rsidRDefault="00B9068C" w:rsidP="0088317C">
      <w:pPr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743414">
        <w:rPr>
          <w:rFonts w:ascii="Arial" w:hAnsi="Arial" w:cs="Arial"/>
          <w:b/>
          <w:color w:val="244061" w:themeColor="accent1" w:themeShade="80"/>
          <w:sz w:val="18"/>
          <w:szCs w:val="18"/>
        </w:rPr>
        <w:t>Shema 1</w:t>
      </w:r>
      <w:r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>.  Veliko urbano područje Pula</w:t>
      </w:r>
    </w:p>
    <w:tbl>
      <w:tblPr>
        <w:tblStyle w:val="TableGrid"/>
        <w:tblW w:w="95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677"/>
      </w:tblGrid>
      <w:tr w:rsidR="003345F2" w:rsidTr="0088317C">
        <w:trPr>
          <w:trHeight w:val="3615"/>
          <w:jc w:val="center"/>
        </w:trPr>
        <w:tc>
          <w:tcPr>
            <w:tcW w:w="4878" w:type="dxa"/>
            <w:vAlign w:val="center"/>
          </w:tcPr>
          <w:p w:rsidR="003345F2" w:rsidRPr="00743414" w:rsidRDefault="003345F2" w:rsidP="001C5535">
            <w:pPr>
              <w:ind w:left="-50"/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  <w:lang w:eastAsia="hr-HR"/>
              </w:rPr>
              <w:drawing>
                <wp:inline distT="0" distB="0" distL="0" distR="0" wp14:anchorId="2350EE3A" wp14:editId="72CFF07F">
                  <wp:extent cx="3060000" cy="3168000"/>
                  <wp:effectExtent l="0" t="0" r="7620" b="0"/>
                  <wp:docPr id="8" name="Slik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31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345F2" w:rsidRDefault="007E1A15" w:rsidP="0088317C">
            <w:pPr>
              <w:tabs>
                <w:tab w:val="left" w:pos="567"/>
              </w:tabs>
              <w:spacing w:line="271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</w:t>
            </w:r>
            <w:r w:rsidR="003345F2" w:rsidRPr="008B7A8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a </w:t>
            </w:r>
            <w:r w:rsidR="0029645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teritoriju</w:t>
            </w:r>
            <w:r w:rsidR="003345F2" w:rsidRPr="008B7A8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C48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obuhvaćenom </w:t>
            </w:r>
            <w:r w:rsidR="003345F2" w:rsidRPr="004C528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Velik</w:t>
            </w:r>
            <w:r w:rsidR="0029645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</w:t>
            </w:r>
            <w:r w:rsidR="003345F2" w:rsidRPr="004C528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urban</w:t>
            </w:r>
            <w:r w:rsidR="0029645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</w:t>
            </w:r>
            <w:r w:rsidR="003345F2" w:rsidRPr="004C528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područj</w:t>
            </w:r>
            <w:r w:rsidR="0029645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em</w:t>
            </w:r>
            <w:r w:rsidR="003345F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Pula</w:t>
            </w:r>
            <w:r w:rsidR="0029645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3345F2" w:rsidRPr="004C528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8B7A8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 2015. </w:t>
            </w:r>
            <w:r w:rsidR="003345F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g</w:t>
            </w:r>
            <w:r w:rsidR="003345F2" w:rsidRPr="008B7A8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odini</w:t>
            </w:r>
            <w:r w:rsidR="003345F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150C8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bilo je</w:t>
            </w:r>
            <w:r w:rsidR="003345F2" w:rsidRPr="006536B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3</w:t>
            </w:r>
            <w:r w:rsidR="001D683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468</w:t>
            </w:r>
            <w:r w:rsidR="003345F2" w:rsidRPr="00BB48F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150C8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poduzetnika</w:t>
            </w:r>
            <w:r w:rsidR="008A122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C48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sa</w:t>
            </w:r>
            <w:r w:rsidR="003345F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1D683B" w:rsidRPr="006504B5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15</w:t>
            </w:r>
            <w:r w:rsidR="00984581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 </w:t>
            </w:r>
            <w:r w:rsidR="001D683B" w:rsidRPr="006504B5">
              <w:rPr>
                <w:rFonts w:ascii="Arial" w:eastAsia="Times New Roman" w:hAnsi="Arial" w:cs="Arial"/>
                <w:color w:val="244061"/>
                <w:sz w:val="20"/>
                <w:szCs w:val="20"/>
                <w:lang w:eastAsia="hr-HR"/>
              </w:rPr>
              <w:t>815</w:t>
            </w:r>
            <w:r w:rsidR="003345F2" w:rsidRPr="006536B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150C8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zaposlenih, što je prosječno</w:t>
            </w:r>
            <w:r w:rsidR="003345F2" w:rsidRPr="006536B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C24114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4,6</w:t>
            </w:r>
            <w:r w:rsidR="003345F2" w:rsidRPr="006536B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150C8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zaposlenih po poduzetniku</w:t>
            </w:r>
            <w:r w:rsidR="003345F2" w:rsidRPr="006536B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88317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3345F2" w:rsidRPr="008B7A8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Riječ je o poduzetnicima koji su sastavili i u Registar godišnjih financijskih izvještaja podnijeli točan i potpun godišnji financijski izvještaj za 2015. godinu.</w:t>
            </w:r>
          </w:p>
          <w:p w:rsidR="003345F2" w:rsidRDefault="003345F2" w:rsidP="0088317C">
            <w:pPr>
              <w:tabs>
                <w:tab w:val="left" w:pos="567"/>
              </w:tabs>
              <w:spacing w:before="120" w:line="271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3C48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navedenoga broja, najviše je poduzetnika sa </w:t>
            </w:r>
            <w:r w:rsidR="0088317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sjedištem u </w:t>
            </w:r>
            <w:r w:rsidRPr="000223B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Pul</w:t>
            </w:r>
            <w:r w:rsidR="0088317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</w:t>
            </w:r>
            <w:r w:rsidRPr="000223B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(2</w:t>
            </w:r>
            <w:r w:rsidR="00984581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Pr="000223B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600), a najmanji je broj poduzetnika u općini Svetvinčenat (45).</w:t>
            </w:r>
          </w:p>
          <w:p w:rsidR="001C5535" w:rsidRPr="00466FEA" w:rsidRDefault="001C5535" w:rsidP="00F80530">
            <w:pPr>
              <w:tabs>
                <w:tab w:val="left" w:pos="567"/>
              </w:tabs>
              <w:spacing w:before="120" w:line="271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5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 2015. godini poduzetnici čije je sjedište u jednom od gradova i općina Velikog urbanog područja Pula, ostvarili su ukupan prihod u iznosu od 7,5 milijardi kuna</w:t>
            </w:r>
            <w:r w:rsidR="00F8053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Pr="001C55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odnosno 2,</w:t>
            </w:r>
            <w:proofErr w:type="spellStart"/>
            <w:r w:rsidRPr="001C55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</w:t>
            </w:r>
            <w:proofErr w:type="spellEnd"/>
            <w:r w:rsidRPr="001C55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 više u odnosu na prethodnu godinu i ukupne rashode u iznosu od 7,6 milijardi kuna</w:t>
            </w:r>
            <w:r w:rsidR="00F8053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Pr="001C55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odnosno 3,2 % više u odnosu na prethodnu godinu.</w:t>
            </w:r>
          </w:p>
        </w:tc>
      </w:tr>
    </w:tbl>
    <w:p w:rsidR="008B7A8C" w:rsidRDefault="0084384B" w:rsidP="00F80530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8B7A8C" w:rsidRPr="008A122C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godini poduzetnici 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na prostoru 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Velikog urbanog područja </w:t>
      </w:r>
      <w:r w:rsidR="008B7A8C" w:rsidRPr="008A122C">
        <w:rPr>
          <w:rFonts w:ascii="Arial" w:hAnsi="Arial" w:cs="Arial"/>
          <w:color w:val="244061" w:themeColor="accent1" w:themeShade="80"/>
          <w:sz w:val="20"/>
          <w:szCs w:val="20"/>
        </w:rPr>
        <w:t>Pula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negativan konsolidirani financijski rezultat (</w:t>
      </w:r>
      <w:r w:rsidR="00C24114" w:rsidRPr="008A122C">
        <w:rPr>
          <w:rFonts w:ascii="Arial" w:hAnsi="Arial" w:cs="Arial"/>
          <w:color w:val="244061" w:themeColor="accent1" w:themeShade="80"/>
          <w:sz w:val="20"/>
          <w:szCs w:val="20"/>
        </w:rPr>
        <w:t>100,7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 Od ukupnog broja poduzetnika promatranog područja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gubitak razdoblja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su 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1457E4" w:rsidRPr="008A122C">
        <w:rPr>
          <w:rFonts w:ascii="Arial" w:hAnsi="Arial" w:cs="Arial"/>
          <w:color w:val="244061" w:themeColor="accent1" w:themeShade="80"/>
          <w:sz w:val="20"/>
          <w:szCs w:val="20"/>
        </w:rPr>
        <w:t>Pule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457E4" w:rsidRPr="008A122C">
        <w:rPr>
          <w:rFonts w:ascii="Arial" w:hAnsi="Arial" w:cs="Arial"/>
          <w:color w:val="244061" w:themeColor="accent1" w:themeShade="80"/>
          <w:sz w:val="20"/>
          <w:szCs w:val="20"/>
        </w:rPr>
        <w:t>(94,3 milijuna kuna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8A122C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i</w:t>
      </w:r>
      <w:r w:rsidR="00C24114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Vodnjana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(18,</w:t>
      </w:r>
      <w:r w:rsidR="008A122C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</w:t>
      </w:r>
      <w:r w:rsidR="008A122C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te</w:t>
      </w:r>
      <w:r w:rsidR="00C24114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Medulin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66A00" w:rsidRPr="008A122C">
        <w:rPr>
          <w:rFonts w:ascii="Arial" w:hAnsi="Arial" w:cs="Arial"/>
          <w:color w:val="244061" w:themeColor="accent1" w:themeShade="80"/>
          <w:sz w:val="20"/>
          <w:szCs w:val="20"/>
        </w:rPr>
        <w:t xml:space="preserve"> (3,8 milijuna kuna)</w:t>
      </w:r>
      <w:r w:rsidRPr="008A122C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F80530" w:rsidRDefault="00F80530" w:rsidP="00F80530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kriteriju </w:t>
      </w:r>
      <w:r w:rsidRPr="0088317C">
        <w:rPr>
          <w:rFonts w:ascii="Arial" w:hAnsi="Arial" w:cs="Arial"/>
          <w:b/>
          <w:color w:val="244061" w:themeColor="accent1" w:themeShade="80"/>
          <w:sz w:val="20"/>
          <w:szCs w:val="20"/>
        </w:rPr>
        <w:t>ostvarene dobiti razdoblja</w:t>
      </w:r>
      <w:r w:rsidRPr="00686DC9">
        <w:rPr>
          <w:color w:val="244061" w:themeColor="accent1" w:themeShade="80"/>
        </w:rPr>
        <w:t xml:space="preserve"> </w:t>
      </w: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među poduzetnicima sa sjedištem na urbanom području Pula, najbolji su </w:t>
      </w:r>
      <w:hyperlink r:id="rId10" w:history="1">
        <w:r w:rsidRPr="00447391">
          <w:rPr>
            <w:rStyle w:val="Hyperlink"/>
            <w:rFonts w:ascii="Arial" w:hAnsi="Arial" w:cs="Arial"/>
            <w:color w:val="000080" w:themeColor="hyperlink" w:themeShade="80"/>
            <w:sz w:val="20"/>
            <w:szCs w:val="20"/>
          </w:rPr>
          <w:t>Calucem d.o.o</w:t>
        </w:r>
      </w:hyperlink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hyperlink r:id="rId11" w:history="1">
        <w:r w:rsidRPr="00447391">
          <w:rPr>
            <w:rStyle w:val="Hyperlink"/>
            <w:rFonts w:ascii="Arial" w:hAnsi="Arial" w:cs="Arial"/>
            <w:color w:val="000080" w:themeColor="hyperlink" w:themeShade="80"/>
            <w:sz w:val="20"/>
            <w:szCs w:val="20"/>
          </w:rPr>
          <w:t>ULJANIK PLOVIDBA d.d</w:t>
        </w:r>
      </w:hyperlink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C0074" w:rsidRPr="003C0074" w:rsidRDefault="003C0074" w:rsidP="001C5535">
      <w:pPr>
        <w:widowControl w:val="0"/>
        <w:tabs>
          <w:tab w:val="left" w:pos="1134"/>
          <w:tab w:val="right" w:pos="9639"/>
        </w:tabs>
        <w:spacing w:before="180" w:after="4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E5528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EC72B0">
        <w:rPr>
          <w:rFonts w:ascii="Arial" w:hAnsi="Arial" w:cs="Arial"/>
          <w:b/>
          <w:color w:val="244061" w:themeColor="accent1" w:themeShade="80"/>
          <w:sz w:val="18"/>
          <w:szCs w:val="18"/>
        </w:rPr>
        <w:t>1</w:t>
      </w:r>
      <w:r w:rsidRPr="00E55289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C0074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u gradovima i općinama </w:t>
      </w:r>
      <w:r w:rsidR="009E13D0"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Velikog urbanog područja </w:t>
      </w:r>
      <w:r w:rsidR="008B7A8C"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>Pula</w:t>
      </w:r>
      <w:r w:rsidR="009E13D0"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>u 201</w:t>
      </w:r>
      <w:r w:rsidR="008B7A8C"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r w:rsidRPr="00B9068C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  <w:r w:rsidRPr="009E13D0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1281"/>
        <w:gridCol w:w="1171"/>
        <w:gridCol w:w="1226"/>
        <w:gridCol w:w="1115"/>
        <w:gridCol w:w="1115"/>
        <w:gridCol w:w="1115"/>
      </w:tblGrid>
      <w:tr w:rsidR="003C0074" w:rsidRPr="003C116E" w:rsidTr="0088317C">
        <w:trPr>
          <w:trHeight w:val="397"/>
          <w:jc w:val="center"/>
        </w:trPr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C0C0C0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71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2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1C5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12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2.600 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13.327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6.359.875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358.392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452.653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-94.261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Vodnjan</w:t>
            </w:r>
          </w:p>
        </w:tc>
        <w:tc>
          <w:tcPr>
            <w:tcW w:w="12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168 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965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398.415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21.643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40.016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-18.374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Barban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64.797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3.953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3.160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Ližnjan</w:t>
            </w:r>
          </w:p>
        </w:tc>
        <w:tc>
          <w:tcPr>
            <w:tcW w:w="12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 </w:t>
            </w:r>
          </w:p>
        </w:tc>
        <w:tc>
          <w:tcPr>
            <w:tcW w:w="11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250 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116.290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5.840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1.877 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3.963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Marčana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75.783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8.569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1.342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7.228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Medulin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474.107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28.927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32.734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-3.807 </w:t>
            </w:r>
          </w:p>
        </w:tc>
      </w:tr>
      <w:tr w:rsidR="00BF7D16" w:rsidRPr="003C116E" w:rsidTr="003C48CB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BF7D16" w:rsidRPr="0012141E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12141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Svetvinčenat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2304EB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56.314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3.042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1.695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BF7D16" w:rsidRPr="00BF7D16" w:rsidRDefault="00BF7D16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F7D1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1.347 </w:t>
            </w:r>
          </w:p>
        </w:tc>
      </w:tr>
      <w:tr w:rsidR="00BF7D16" w:rsidRPr="003C116E" w:rsidTr="001C5535">
        <w:trPr>
          <w:trHeight w:val="283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BF7D16" w:rsidRPr="00847450" w:rsidRDefault="00BF7D16" w:rsidP="001C5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V</w:t>
            </w:r>
            <w:r w:rsidR="001C553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</w:t>
            </w:r>
            <w:r w:rsidRPr="0084745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Pula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3.468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15.815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7.545.581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430.366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531.110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BF7D16" w:rsidRPr="00847450" w:rsidRDefault="000223BE" w:rsidP="001C5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84745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-100.744</w:t>
            </w:r>
          </w:p>
        </w:tc>
      </w:tr>
    </w:tbl>
    <w:p w:rsidR="003C0074" w:rsidRPr="004946AC" w:rsidRDefault="003C0074" w:rsidP="003C0074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8B7A8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E455CE" w:rsidRDefault="008B7A8C" w:rsidP="0088317C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Na p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>rostoru</w:t>
      </w:r>
      <w:r w:rsidR="000318B8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20901" w:rsidRPr="00DE2948">
        <w:rPr>
          <w:rFonts w:ascii="Arial" w:hAnsi="Arial" w:cs="Arial"/>
          <w:color w:val="244061" w:themeColor="accent1" w:themeShade="80"/>
          <w:sz w:val="20"/>
          <w:szCs w:val="20"/>
        </w:rPr>
        <w:t>V</w:t>
      </w:r>
      <w:r w:rsidR="0002298A" w:rsidRPr="00DE2948">
        <w:rPr>
          <w:rFonts w:ascii="Arial" w:hAnsi="Arial" w:cs="Arial"/>
          <w:color w:val="244061" w:themeColor="accent1" w:themeShade="80"/>
          <w:sz w:val="20"/>
          <w:szCs w:val="20"/>
        </w:rPr>
        <w:t>eliko</w:t>
      </w: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02298A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urbano</w:t>
      </w: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02298A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298A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Pula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Pr="00DE2948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poslovalo je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0223BE" w:rsidRPr="00DE2948">
        <w:rPr>
          <w:rFonts w:ascii="Arial" w:hAnsi="Arial" w:cs="Arial"/>
          <w:color w:val="244061" w:themeColor="accent1" w:themeShade="80"/>
          <w:sz w:val="20"/>
          <w:szCs w:val="20"/>
        </w:rPr>
        <w:t>468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poduzetnika, odnosno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od ukupnog broja poduzetnika </w:t>
      </w:r>
      <w:r w:rsidR="000C6AA8" w:rsidRPr="00DE2948">
        <w:rPr>
          <w:rFonts w:ascii="Arial" w:hAnsi="Arial" w:cs="Arial"/>
          <w:color w:val="244061" w:themeColor="accent1" w:themeShade="80"/>
          <w:sz w:val="20"/>
          <w:szCs w:val="20"/>
        </w:rPr>
        <w:t>Istarske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županije (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9552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), zapošljavali su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88317C">
        <w:rPr>
          <w:rFonts w:ascii="Arial" w:hAnsi="Arial" w:cs="Arial"/>
          <w:color w:val="244061" w:themeColor="accent1" w:themeShade="80"/>
          <w:sz w:val="20"/>
          <w:szCs w:val="20"/>
        </w:rPr>
        <w:t>radnika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, ostvarili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ukupnih prihoda,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8A122C" w:rsidRPr="00DE294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,8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ukupnih rashoda,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12,</w:t>
      </w:r>
      <w:r w:rsidR="008A49E2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>% neto dobit</w:t>
      </w:r>
      <w:r w:rsidR="00150C8B" w:rsidRPr="00DE294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595D97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DE2948" w:rsidRPr="00DE2948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DE2948" w:rsidRPr="00DE2948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95D97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gubitka razdoblja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>i obračunali prosječnu mjesečnu neto plaću</w:t>
      </w:r>
      <w:r w:rsidR="00F45DFA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5.010 kuna odnosno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45DFA">
        <w:rPr>
          <w:rFonts w:ascii="Arial" w:hAnsi="Arial" w:cs="Arial"/>
          <w:color w:val="244061" w:themeColor="accent1" w:themeShade="80"/>
          <w:sz w:val="20"/>
          <w:szCs w:val="20"/>
        </w:rPr>
        <w:t>1,9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804BC0" w:rsidRPr="00DE2948">
        <w:rPr>
          <w:rFonts w:ascii="Arial" w:hAnsi="Arial" w:cs="Arial"/>
          <w:color w:val="244061" w:themeColor="accent1" w:themeShade="80"/>
          <w:sz w:val="20"/>
          <w:szCs w:val="20"/>
        </w:rPr>
        <w:t>manju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290696" w:rsidRPr="00290696">
        <w:rPr>
          <w:rFonts w:ascii="Arial" w:hAnsi="Arial" w:cs="Arial"/>
          <w:color w:val="244061" w:themeColor="accent1" w:themeShade="80"/>
          <w:sz w:val="20"/>
          <w:szCs w:val="20"/>
        </w:rPr>
        <w:t>prosječn</w:t>
      </w:r>
      <w:r w:rsidR="00290696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290696" w:rsidRPr="00290696">
        <w:rPr>
          <w:rFonts w:ascii="Arial" w:hAnsi="Arial" w:cs="Arial"/>
          <w:color w:val="244061" w:themeColor="accent1" w:themeShade="80"/>
          <w:sz w:val="20"/>
          <w:szCs w:val="20"/>
        </w:rPr>
        <w:t xml:space="preserve"> mjesečn</w:t>
      </w:r>
      <w:r w:rsidR="00290696">
        <w:rPr>
          <w:rFonts w:ascii="Arial" w:hAnsi="Arial" w:cs="Arial"/>
          <w:color w:val="244061" w:themeColor="accent1" w:themeShade="80"/>
          <w:sz w:val="20"/>
          <w:szCs w:val="20"/>
        </w:rPr>
        <w:t>e neto plaće obračunane kod poduzetnika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C5286" w:rsidRPr="00DE2948">
        <w:rPr>
          <w:rFonts w:ascii="Arial" w:hAnsi="Arial" w:cs="Arial"/>
          <w:color w:val="244061" w:themeColor="accent1" w:themeShade="80"/>
          <w:sz w:val="20"/>
          <w:szCs w:val="20"/>
        </w:rPr>
        <w:t xml:space="preserve">Istarske 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>županije</w:t>
      </w:r>
      <w:r w:rsidR="00F45DFA">
        <w:rPr>
          <w:rFonts w:ascii="Arial" w:hAnsi="Arial" w:cs="Arial"/>
          <w:color w:val="244061" w:themeColor="accent1" w:themeShade="80"/>
          <w:sz w:val="20"/>
          <w:szCs w:val="20"/>
        </w:rPr>
        <w:t xml:space="preserve"> (5.105 kuna)</w:t>
      </w:r>
      <w:r w:rsidR="00E455CE" w:rsidRPr="00DE2948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F80530" w:rsidRPr="00BC259F" w:rsidRDefault="00F80530" w:rsidP="00F80530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BC259F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Velikog urbanog područja Pula u 2015. godini ostvarili su ukupne prihode u iznosu od 7,5 milijardi kuna (njihov udio u ukupnim prihodima poduzetnika Istarske županije iznosi 24,5 %) i ukupne </w:t>
      </w:r>
      <w:r w:rsidRPr="00BC259F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rashode u iznosu od 7,6 milijardi kuna (njihov udio u ukupnim prihodima poduzetnika Istarske županije iznosi 27,4 %).</w:t>
      </w:r>
    </w:p>
    <w:p w:rsidR="00F80530" w:rsidRDefault="00F80530" w:rsidP="00F80530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Pr="0088317C">
        <w:rPr>
          <w:rFonts w:ascii="Arial" w:hAnsi="Arial" w:cs="Arial"/>
          <w:b/>
          <w:color w:val="244061" w:themeColor="accent1" w:themeShade="80"/>
          <w:sz w:val="20"/>
          <w:szCs w:val="20"/>
        </w:rPr>
        <w:t>visini ostvarenog prihoda</w:t>
      </w: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 među poduzetnicima sa sjedištem na urbanom području Pula, najbolji su </w:t>
      </w:r>
      <w:hyperlink r:id="rId12" w:history="1">
        <w:r w:rsidRPr="00D54F96">
          <w:rPr>
            <w:rStyle w:val="Hyperlink"/>
            <w:rFonts w:ascii="Arial" w:hAnsi="Arial" w:cs="Arial"/>
            <w:sz w:val="20"/>
            <w:szCs w:val="20"/>
          </w:rPr>
          <w:t>ULJANIK Brodogradilište d.d.</w:t>
        </w:r>
      </w:hyperlink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hyperlink r:id="rId13" w:history="1">
        <w:r w:rsidRPr="00D54F96">
          <w:rPr>
            <w:rStyle w:val="Hyperlink"/>
            <w:rFonts w:ascii="Arial" w:hAnsi="Arial" w:cs="Arial"/>
            <w:sz w:val="20"/>
            <w:szCs w:val="20"/>
          </w:rPr>
          <w:t>ARENATURIST d.d.,</w:t>
        </w:r>
      </w:hyperlink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686DC9">
        <w:rPr>
          <w:rStyle w:val="Hyperlink"/>
          <w:rFonts w:ascii="Arial" w:hAnsi="Arial" w:cs="Arial"/>
          <w:color w:val="244061" w:themeColor="accent1" w:themeShade="80"/>
          <w:sz w:val="20"/>
          <w:szCs w:val="20"/>
          <w:u w:val="none"/>
        </w:rPr>
        <w:t>oba sa ostvarenih više od 1,12 milijardi kuna ukupnoga prihoda</w:t>
      </w:r>
      <w:r w:rsidRPr="00686DC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4946AC" w:rsidRPr="00BC259F" w:rsidRDefault="004946AC" w:rsidP="008F4A18">
      <w:pPr>
        <w:widowControl w:val="0"/>
        <w:tabs>
          <w:tab w:val="left" w:pos="1134"/>
        </w:tabs>
        <w:spacing w:before="180" w:after="0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EC72B0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 xml:space="preserve">Osnovni financijski podaci poslovanja poduzetnika na području </w:t>
      </w:r>
      <w:r w:rsidR="00563E04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</w:t>
      </w:r>
      <w:r w:rsidR="009E13D0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elikog urbanog područja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B7A8C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Pula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</w:t>
      </w:r>
      <w:r w:rsidR="000C6AA8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oduzetnika </w:t>
      </w:r>
      <w:r w:rsidR="008B7A8C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Istarske 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županije u 201</w:t>
      </w:r>
      <w:r w:rsidR="008B7A8C"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5</w:t>
      </w:r>
      <w:r w:rsidRPr="00BC25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Pr="00BC259F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="004C5286" w:rsidRPr="00BC259F">
        <w:rPr>
          <w:rFonts w:ascii="Arial" w:eastAsia="Calibri" w:hAnsi="Arial" w:cs="Arial"/>
          <w:color w:val="244061" w:themeColor="accent1" w:themeShade="80"/>
          <w:sz w:val="18"/>
          <w:szCs w:val="18"/>
        </w:rPr>
        <w:tab/>
      </w:r>
      <w:r w:rsidRPr="00BC259F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95"/>
        <w:gridCol w:w="1115"/>
        <w:gridCol w:w="1116"/>
        <w:gridCol w:w="863"/>
        <w:gridCol w:w="1099"/>
        <w:gridCol w:w="1107"/>
        <w:gridCol w:w="844"/>
      </w:tblGrid>
      <w:tr w:rsidR="004452F0" w:rsidRPr="004452F0" w:rsidTr="00F80530">
        <w:trPr>
          <w:trHeight w:val="283"/>
          <w:jc w:val="center"/>
        </w:trPr>
        <w:tc>
          <w:tcPr>
            <w:tcW w:w="355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1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Veliko urbano područje Pula</w:t>
            </w:r>
          </w:p>
        </w:tc>
        <w:tc>
          <w:tcPr>
            <w:tcW w:w="30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Istarska županija</w:t>
            </w:r>
          </w:p>
        </w:tc>
      </w:tr>
      <w:tr w:rsidR="004452F0" w:rsidRPr="004452F0" w:rsidTr="00F80530">
        <w:trPr>
          <w:trHeight w:val="255"/>
          <w:jc w:val="center"/>
        </w:trPr>
        <w:tc>
          <w:tcPr>
            <w:tcW w:w="355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2014</w:t>
            </w:r>
          </w:p>
        </w:tc>
        <w:tc>
          <w:tcPr>
            <w:tcW w:w="1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452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4452F0" w:rsidRPr="004452F0" w:rsidTr="0088317C">
        <w:trPr>
          <w:jc w:val="center"/>
        </w:trPr>
        <w:tc>
          <w:tcPr>
            <w:tcW w:w="3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3.468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9.552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-</w:t>
            </w:r>
          </w:p>
        </w:tc>
      </w:tr>
      <w:tr w:rsidR="004452F0" w:rsidRPr="004452F0" w:rsidTr="0088317C">
        <w:trPr>
          <w:jc w:val="center"/>
        </w:trPr>
        <w:tc>
          <w:tcPr>
            <w:tcW w:w="3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2.015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1.867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92,7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4.736</w:t>
            </w:r>
          </w:p>
        </w:tc>
        <w:tc>
          <w:tcPr>
            <w:tcW w:w="1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5.165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109,1</w:t>
            </w:r>
          </w:p>
        </w:tc>
      </w:tr>
      <w:tr w:rsidR="004452F0" w:rsidRPr="004452F0" w:rsidTr="0088317C">
        <w:trPr>
          <w:jc w:val="center"/>
        </w:trPr>
        <w:tc>
          <w:tcPr>
            <w:tcW w:w="3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1.462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1.601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4452F0" w:rsidRPr="001B690B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B690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109,5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4.025</w:t>
            </w:r>
          </w:p>
        </w:tc>
        <w:tc>
          <w:tcPr>
            <w:tcW w:w="1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4.387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5E5E5"/>
            <w:noWrap/>
            <w:vAlign w:val="center"/>
            <w:hideMark/>
          </w:tcPr>
          <w:p w:rsidR="004452F0" w:rsidRPr="00BC259F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BC259F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109,0</w:t>
            </w:r>
          </w:p>
        </w:tc>
      </w:tr>
      <w:tr w:rsidR="004452F0" w:rsidRPr="004452F0" w:rsidTr="0088317C">
        <w:trPr>
          <w:jc w:val="center"/>
        </w:trPr>
        <w:tc>
          <w:tcPr>
            <w:tcW w:w="3559" w:type="dxa"/>
            <w:tcBorders>
              <w:top w:val="single" w:sz="4" w:space="0" w:color="FFFFFF" w:themeColor="background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15.012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15.815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105,3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44.020</w:t>
            </w:r>
          </w:p>
        </w:tc>
        <w:tc>
          <w:tcPr>
            <w:tcW w:w="1125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46.092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104,7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7.386.543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7.545.581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102,2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27.249.563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30.746.118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112,8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7.323.769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7.558.940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26.347.509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27.621.835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104,8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613.774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517.258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84,3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2.669.361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4.298.427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161,0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551.001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530.617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96,3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1.767.307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1.174.144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66,4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553.964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430.366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77,7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2.417.509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6D3643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6D3643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3.555.763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147,1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553.036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531.110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1.769.860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1.176.363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66,5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88317C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88317C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88317C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-100.744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88317C" w:rsidRDefault="00EB6C51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-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88317C" w:rsidRDefault="00EB6C51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 xml:space="preserve"> </w:t>
            </w:r>
            <w:r w:rsidR="004452F0"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647.649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88317C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2.379.400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88317C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88317C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367,4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1.698.797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2.043.035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120,3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7.483.614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8.530.730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114,0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730.303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1.003.193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137,4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3.854.260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4.275.066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110,9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496.636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728.648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146,7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1.824.246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2.568.710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140,8</w:t>
            </w:r>
          </w:p>
        </w:tc>
      </w:tr>
      <w:tr w:rsidR="004452F0" w:rsidRPr="004452F0" w:rsidTr="00C72D5D">
        <w:trPr>
          <w:jc w:val="center"/>
        </w:trPr>
        <w:tc>
          <w:tcPr>
            <w:tcW w:w="35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5.010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100,8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4.985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5.105</w:t>
            </w:r>
          </w:p>
        </w:tc>
        <w:tc>
          <w:tcPr>
            <w:tcW w:w="8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4452F0" w:rsidRPr="004452F0" w:rsidRDefault="004452F0" w:rsidP="00F805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452F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102,4</w:t>
            </w:r>
          </w:p>
        </w:tc>
      </w:tr>
    </w:tbl>
    <w:p w:rsidR="004452F0" w:rsidRDefault="004452F0" w:rsidP="006504B5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F80530" w:rsidRDefault="00F80530" w:rsidP="00F80530">
      <w:pPr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Iz prezentiranih je podataka vidan veliki udio poduzetnika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sa sjedištem u gradu Pula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 u rezultatima na razini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Istarske 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županije i Velikog urbanog područja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Pula</w:t>
      </w:r>
      <w:r w:rsidRPr="005F4491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Pr="00AD48F3">
        <w:rPr>
          <w:rFonts w:ascii="Arial" w:hAnsi="Arial" w:cs="Arial"/>
          <w:color w:val="244061" w:themeColor="accent1" w:themeShade="80"/>
          <w:sz w:val="20"/>
          <w:szCs w:val="20"/>
        </w:rPr>
        <w:t xml:space="preserve">Udio broja poduzetnika grada Pula u broju poduzetnika Velikog urbanog područja Pula je 75,0 %, udio u broju zaposlenih je 84,3 %, u ukupnim prihodima 84,3 %, ukupnim rashodima 84,4 %, dobiti razdoblja 83,3 %, gubitku razdoblja 85,2 %, ostvarenom uvozu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23,5</w:t>
      </w:r>
      <w:r w:rsidRPr="00AD48F3">
        <w:rPr>
          <w:rFonts w:ascii="Arial" w:hAnsi="Arial" w:cs="Arial"/>
          <w:color w:val="244061" w:themeColor="accent1" w:themeShade="80"/>
          <w:sz w:val="20"/>
          <w:szCs w:val="20"/>
        </w:rPr>
        <w:t xml:space="preserve"> % i izvozu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23,9 </w:t>
      </w:r>
      <w:r w:rsidRPr="00AD48F3">
        <w:rPr>
          <w:rFonts w:ascii="Arial" w:hAnsi="Arial" w:cs="Arial"/>
          <w:color w:val="244061" w:themeColor="accent1" w:themeShade="80"/>
          <w:sz w:val="20"/>
          <w:szCs w:val="20"/>
        </w:rPr>
        <w:t>%.</w:t>
      </w:r>
    </w:p>
    <w:p w:rsidR="00BC259F" w:rsidRPr="0041392B" w:rsidRDefault="00B9068C" w:rsidP="0088317C">
      <w:pPr>
        <w:widowControl w:val="0"/>
        <w:tabs>
          <w:tab w:val="left" w:pos="1134"/>
        </w:tabs>
        <w:spacing w:before="180" w:after="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527D2F">
        <w:rPr>
          <w:rFonts w:ascii="Arial" w:eastAsia="Calibri" w:hAnsi="Arial" w:cs="Arial"/>
          <w:b/>
          <w:color w:val="17365D"/>
          <w:sz w:val="18"/>
          <w:szCs w:val="18"/>
        </w:rPr>
        <w:t xml:space="preserve">Grafikon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527D2F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527D2F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Udio ukupn</w:t>
      </w:r>
      <w:r w:rsidR="00191BB8"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ih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prihoda</w:t>
      </w:r>
      <w:r w:rsidR="00191BB8"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i rashoda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poduzetnika V</w:t>
      </w:r>
      <w:r w:rsidRPr="0041392B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elikog urbanog područja Pula 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u ukupn</w:t>
      </w:r>
      <w:r w:rsidR="00191BB8"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i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m prihod</w:t>
      </w:r>
      <w:r w:rsidR="00191BB8"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ima i rashodima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poduzetnika Istarske županije u 2015. </w:t>
      </w:r>
      <w:r w:rsidR="00AD48F3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</w:t>
      </w:r>
      <w:r w:rsidRPr="0041392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odini</w:t>
      </w:r>
    </w:p>
    <w:p w:rsidR="00BB48F3" w:rsidRDefault="0041392B" w:rsidP="0041392B">
      <w:pPr>
        <w:widowControl w:val="0"/>
        <w:spacing w:before="60" w:after="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/>
          <w:sz w:val="16"/>
          <w:szCs w:val="18"/>
          <w:lang w:eastAsia="hr-HR"/>
        </w:rPr>
        <w:drawing>
          <wp:inline distT="0" distB="0" distL="0" distR="0" wp14:anchorId="3CE8B394" wp14:editId="463E028B">
            <wp:extent cx="5983499" cy="201600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499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68C" w:rsidRDefault="00B9068C" w:rsidP="00B9068C">
      <w:pPr>
        <w:widowControl w:val="0"/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AD48F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88317C" w:rsidRPr="004B20E2" w:rsidRDefault="0088317C" w:rsidP="0029645B">
      <w:pPr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B20E2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Pr="0088317C">
        <w:rPr>
          <w:rFonts w:ascii="Arial" w:hAnsi="Arial" w:cs="Arial"/>
          <w:b/>
          <w:color w:val="244061" w:themeColor="accent1" w:themeShade="80"/>
          <w:sz w:val="20"/>
          <w:szCs w:val="20"/>
        </w:rPr>
        <w:t>produktivnosti (prihodu po zaposlenom)</w:t>
      </w:r>
      <w:r w:rsidRPr="0088317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B20E2">
        <w:rPr>
          <w:rFonts w:ascii="Arial" w:hAnsi="Arial" w:cs="Arial"/>
          <w:color w:val="244061" w:themeColor="accent1" w:themeShade="80"/>
          <w:sz w:val="20"/>
          <w:szCs w:val="20"/>
        </w:rPr>
        <w:t xml:space="preserve"> na prvom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4B20E2">
        <w:rPr>
          <w:rFonts w:ascii="Arial" w:hAnsi="Arial" w:cs="Arial"/>
          <w:color w:val="244061" w:themeColor="accent1" w:themeShade="80"/>
          <w:sz w:val="20"/>
          <w:szCs w:val="20"/>
        </w:rPr>
        <w:t xml:space="preserve"> su mjestu poduzetnici grada Pula, s 477 tisuća kuna, dok je među poduzetnicima navedenog grada po produktivnosti na prvom mjestu društvo </w:t>
      </w:r>
      <w:hyperlink r:id="rId15" w:history="1">
        <w:r w:rsidR="00D54F96" w:rsidRPr="009B142E">
          <w:rPr>
            <w:rStyle w:val="Hyperlink"/>
            <w:rFonts w:ascii="Calibri" w:hAnsi="Calibri" w:cs="Calibri"/>
            <w:sz w:val="24"/>
            <w:szCs w:val="24"/>
          </w:rPr>
          <w:t xml:space="preserve">MS </w:t>
        </w:r>
        <w:r w:rsidR="00D54F96" w:rsidRPr="009B142E">
          <w:rPr>
            <w:rStyle w:val="Hyperlink"/>
            <w:rFonts w:ascii="Calibri" w:hAnsi="Calibri" w:cs="Calibri"/>
            <w:sz w:val="24"/>
            <w:szCs w:val="24"/>
          </w:rPr>
          <w:lastRenderedPageBreak/>
          <w:t>PROMET d.o.o</w:t>
        </w:r>
      </w:hyperlink>
      <w:bookmarkStart w:id="0" w:name="_GoBack"/>
      <w:bookmarkEnd w:id="0"/>
      <w:r w:rsidR="00D54F96">
        <w:rPr>
          <w:rFonts w:ascii="Calibri" w:hAnsi="Calibri" w:cs="Calibri"/>
          <w:color w:val="0000FF"/>
          <w:sz w:val="24"/>
          <w:szCs w:val="24"/>
          <w:u w:val="single"/>
        </w:rPr>
        <w:t>.</w:t>
      </w:r>
      <w:r w:rsidRPr="004B20E2">
        <w:rPr>
          <w:rFonts w:ascii="Arial" w:hAnsi="Arial" w:cs="Arial"/>
          <w:color w:val="244061" w:themeColor="accent1" w:themeShade="80"/>
          <w:sz w:val="20"/>
          <w:szCs w:val="20"/>
        </w:rPr>
        <w:t xml:space="preserve"> sa 11,2 milijuna kuna po zaposlenom. Pretežita djelatnost ovoga društva prema NKD 2007 je 46.90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- </w:t>
      </w:r>
      <w:r w:rsidRPr="004B20E2">
        <w:rPr>
          <w:rFonts w:ascii="Arial" w:hAnsi="Arial" w:cs="Arial"/>
          <w:color w:val="244061" w:themeColor="accent1" w:themeShade="80"/>
          <w:sz w:val="20"/>
          <w:szCs w:val="20"/>
        </w:rPr>
        <w:t>Nespecijalizirana trgovina na veliko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A122C" w:rsidRPr="001F36BA" w:rsidRDefault="008A122C" w:rsidP="00D54F96">
      <w:pPr>
        <w:widowControl w:val="0"/>
        <w:tabs>
          <w:tab w:val="left" w:pos="6379"/>
        </w:tabs>
        <w:autoSpaceDE w:val="0"/>
        <w:autoSpaceDN w:val="0"/>
        <w:adjustRightInd w:val="0"/>
        <w:spacing w:before="180" w:after="40" w:line="240" w:lineRule="auto"/>
        <w:ind w:left="1134" w:hanging="1134"/>
        <w:jc w:val="both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Tablica 3.</w:t>
      </w:r>
      <w:r>
        <w:rPr>
          <w:rFonts w:ascii="Arial" w:hAnsi="Arial" w:cs="Arial"/>
          <w:b/>
          <w:bCs/>
          <w:color w:val="FF0041"/>
          <w:sz w:val="18"/>
          <w:szCs w:val="18"/>
        </w:rPr>
        <w:tab/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Usporedba osnovnih financijskih podataka poslovanja poduzetnika na području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Istarske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županije,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Pula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grada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Pula</w:t>
      </w:r>
      <w:r w:rsidRPr="001F36B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2015. g.</w:t>
      </w:r>
      <w:r w:rsidR="00C72D5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</w:t>
      </w:r>
      <w:r>
        <w:rPr>
          <w:rFonts w:ascii="Arial" w:eastAsia="Calibri" w:hAnsi="Arial" w:cs="Arial"/>
          <w:color w:val="244061" w:themeColor="accent1" w:themeShade="80"/>
          <w:sz w:val="16"/>
          <w:szCs w:val="18"/>
        </w:rPr>
        <w:t>ama</w:t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 xml:space="preserve"> kn, prosječne plaće u kn)</w:t>
      </w:r>
    </w:p>
    <w:tbl>
      <w:tblPr>
        <w:tblW w:w="9594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1"/>
        <w:gridCol w:w="1049"/>
        <w:gridCol w:w="964"/>
        <w:gridCol w:w="1120"/>
        <w:gridCol w:w="1005"/>
        <w:gridCol w:w="1064"/>
        <w:gridCol w:w="1000"/>
        <w:gridCol w:w="972"/>
        <w:gridCol w:w="889"/>
      </w:tblGrid>
      <w:tr w:rsidR="008A122C" w:rsidTr="000E15B0">
        <w:trPr>
          <w:trHeight w:val="624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Naziv teritorijalne razine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Prosječna mjesečna neto plaća 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Ukupni prihodi 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Ukupni rashodi 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Gubitak razdoblja 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8A122C" w:rsidTr="000E15B0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1C66DA" w:rsidRDefault="008A122C" w:rsidP="000E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Istarska županija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9.552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46.092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5.105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6D3643" w:rsidP="006D36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30.746.118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27.621.835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5019E8" w:rsidRDefault="005019E8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3.555.763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1C66DA" w:rsidRDefault="005019E8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002060"/>
                <w:sz w:val="17"/>
                <w:szCs w:val="17"/>
              </w:rPr>
              <w:t>1.176.363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A122C" w:rsidRPr="001C66DA" w:rsidRDefault="00847450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847450">
              <w:rPr>
                <w:rFonts w:ascii="Arial" w:hAnsi="Arial" w:cs="Arial"/>
                <w:color w:val="002060"/>
                <w:sz w:val="17"/>
                <w:szCs w:val="17"/>
              </w:rPr>
              <w:t>2.379.400</w:t>
            </w:r>
          </w:p>
        </w:tc>
      </w:tr>
      <w:tr w:rsidR="008A122C" w:rsidTr="000E15B0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1C66DA" w:rsidRDefault="008A122C" w:rsidP="008A1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 xml:space="preserve">VUP </w:t>
            </w:r>
            <w:r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Pula</w:t>
            </w:r>
            <w:r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.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3.468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15.815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5.010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7.545.581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7.558.940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5019E8" w:rsidRDefault="005019E8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430.366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1C66DA" w:rsidRDefault="00847450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847450">
              <w:rPr>
                <w:rFonts w:ascii="Arial" w:hAnsi="Arial" w:cs="Arial"/>
                <w:color w:val="002060"/>
                <w:sz w:val="17"/>
                <w:szCs w:val="17"/>
              </w:rPr>
              <w:t>531.110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A122C" w:rsidRPr="00C72D5D" w:rsidRDefault="00847450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 w:rsidRPr="00C72D5D">
              <w:rPr>
                <w:rFonts w:ascii="Arial" w:hAnsi="Arial" w:cs="Arial"/>
                <w:b/>
                <w:color w:val="FF0000"/>
                <w:sz w:val="17"/>
                <w:szCs w:val="17"/>
              </w:rPr>
              <w:t>-100.744</w:t>
            </w:r>
          </w:p>
        </w:tc>
      </w:tr>
      <w:tr w:rsidR="008A122C" w:rsidTr="000E15B0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1C66DA" w:rsidRDefault="008A122C" w:rsidP="008A1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</w:pPr>
            <w:r w:rsidRPr="001C66DA"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 xml:space="preserve">Grad </w:t>
            </w:r>
            <w:r>
              <w:rPr>
                <w:rFonts w:ascii="Arial" w:hAnsi="Arial" w:cs="Arial"/>
                <w:b/>
                <w:bCs/>
                <w:color w:val="104160"/>
                <w:sz w:val="16"/>
                <w:szCs w:val="16"/>
              </w:rPr>
              <w:t>Pula</w:t>
            </w:r>
          </w:p>
        </w:tc>
        <w:tc>
          <w:tcPr>
            <w:tcW w:w="10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2.600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13.327</w:t>
            </w:r>
          </w:p>
        </w:tc>
        <w:tc>
          <w:tcPr>
            <w:tcW w:w="1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5.081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6D3643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6.359.875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6D3643" w:rsidP="006D36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6.380.049</w:t>
            </w:r>
          </w:p>
        </w:tc>
        <w:tc>
          <w:tcPr>
            <w:tcW w:w="1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5019E8" w:rsidRDefault="005019E8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</w:pPr>
            <w:r w:rsidRPr="005019E8">
              <w:rPr>
                <w:rFonts w:ascii="Arial" w:hAnsi="Arial" w:cs="Arial"/>
                <w:color w:val="244061" w:themeColor="accent1" w:themeShade="80"/>
                <w:sz w:val="17"/>
                <w:szCs w:val="17"/>
              </w:rPr>
              <w:t>358.392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1C66DA" w:rsidRDefault="00847450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2060"/>
                <w:sz w:val="17"/>
                <w:szCs w:val="17"/>
              </w:rPr>
            </w:pPr>
            <w:r w:rsidRPr="00847450">
              <w:rPr>
                <w:rFonts w:ascii="Arial" w:hAnsi="Arial" w:cs="Arial"/>
                <w:color w:val="002060"/>
                <w:sz w:val="17"/>
                <w:szCs w:val="17"/>
              </w:rPr>
              <w:t>452.653</w:t>
            </w:r>
          </w:p>
        </w:tc>
        <w:tc>
          <w:tcPr>
            <w:tcW w:w="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8A122C" w:rsidRPr="00C72D5D" w:rsidRDefault="00847450" w:rsidP="000E1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 w:rsidRPr="00C72D5D">
              <w:rPr>
                <w:rFonts w:ascii="Arial" w:hAnsi="Arial" w:cs="Arial"/>
                <w:b/>
                <w:color w:val="FF0000"/>
                <w:sz w:val="17"/>
                <w:szCs w:val="17"/>
              </w:rPr>
              <w:t>-94.261</w:t>
            </w:r>
          </w:p>
        </w:tc>
      </w:tr>
    </w:tbl>
    <w:p w:rsidR="008A122C" w:rsidRPr="00675F68" w:rsidRDefault="008A122C" w:rsidP="006504B5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C2CE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</w:t>
      </w:r>
      <w:r w:rsidRPr="00675F6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8A122C" w:rsidRDefault="008A122C" w:rsidP="0088317C">
      <w:pPr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poduzetnici </w:t>
      </w:r>
      <w:r w:rsidR="00447391"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grada </w:t>
      </w:r>
      <w:proofErr w:type="spellStart"/>
      <w:r w:rsidR="00447391" w:rsidRPr="00447391">
        <w:rPr>
          <w:rFonts w:ascii="Arial" w:hAnsi="Arial" w:cs="Arial"/>
          <w:color w:val="244061" w:themeColor="accent1" w:themeShade="80"/>
          <w:sz w:val="20"/>
          <w:szCs w:val="20"/>
        </w:rPr>
        <w:t>Vodnjan</w:t>
      </w:r>
      <w:r w:rsidR="006D3197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proofErr w:type="spellEnd"/>
      <w:r w:rsidR="006D319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447391" w:rsidRPr="00447391">
        <w:rPr>
          <w:rFonts w:ascii="Arial" w:hAnsi="Arial" w:cs="Arial"/>
          <w:color w:val="244061" w:themeColor="accent1" w:themeShade="80"/>
          <w:sz w:val="20"/>
          <w:szCs w:val="20"/>
        </w:rPr>
        <w:t>413</w:t>
      </w:r>
      <w:r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te poduzetnici </w:t>
      </w:r>
      <w:r w:rsidR="00447391" w:rsidRPr="00447391">
        <w:rPr>
          <w:rFonts w:ascii="Arial" w:hAnsi="Arial" w:cs="Arial"/>
          <w:color w:val="244061" w:themeColor="accent1" w:themeShade="80"/>
          <w:sz w:val="20"/>
          <w:szCs w:val="20"/>
        </w:rPr>
        <w:t>općine Barban</w:t>
      </w:r>
      <w:r w:rsidR="006D319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447391" w:rsidRPr="00447391">
        <w:rPr>
          <w:rFonts w:ascii="Arial" w:hAnsi="Arial" w:cs="Arial"/>
          <w:color w:val="244061" w:themeColor="accent1" w:themeShade="80"/>
          <w:sz w:val="20"/>
          <w:szCs w:val="20"/>
        </w:rPr>
        <w:t>390</w:t>
      </w:r>
      <w:r w:rsidRPr="00447391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</w:t>
      </w:r>
    </w:p>
    <w:p w:rsidR="001C5535" w:rsidRPr="002C4E15" w:rsidRDefault="001C5535" w:rsidP="0088317C">
      <w:pPr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B9068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Prihod po zaposlenom u 2015. godini na razini gradova/općina Velikog urbanog područja Pula</w:t>
      </w:r>
    </w:p>
    <w:p w:rsidR="001C5535" w:rsidRPr="00C343B3" w:rsidRDefault="001C5535" w:rsidP="001C5535">
      <w:pPr>
        <w:tabs>
          <w:tab w:val="left" w:pos="1134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1C5535" w:rsidRPr="00447391" w:rsidRDefault="001C5535" w:rsidP="00D90D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00406DA0" wp14:editId="7CDA8EA5">
            <wp:extent cx="5343526" cy="2376000"/>
            <wp:effectExtent l="57150" t="0" r="47625" b="1200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1622B" w:rsidRPr="00675F68" w:rsidRDefault="00E1622B" w:rsidP="001C5535">
      <w:pPr>
        <w:spacing w:after="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675F6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B9068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2015</w:t>
      </w:r>
      <w:r w:rsidR="00B9068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88317C" w:rsidRDefault="0088317C" w:rsidP="0088317C">
      <w:pPr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Za usporedbu, produktivnost poduzetnika Istarske županije iznosila je 667 tisuća kuna, a na razini RH u 2015. godini iznosila je 763 tisuća kuna.</w:t>
      </w:r>
    </w:p>
    <w:p w:rsidR="001847F3" w:rsidRDefault="00E1622B" w:rsidP="00F80530">
      <w:pPr>
        <w:widowControl w:val="0"/>
        <w:spacing w:before="180" w:after="6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</w:t>
      </w:r>
      <w:r w:rsidR="00B8793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EC72B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191BB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Prosječna mjesečna neto </w:t>
      </w:r>
      <w:r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plaća po zaposlenom u 201</w:t>
      </w:r>
      <w:r w:rsidR="008B7A8C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po gradovima i općinama </w:t>
      </w:r>
      <w:r w:rsidR="001847F3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br/>
        <w:t xml:space="preserve">Velikog </w:t>
      </w:r>
      <w:r w:rsidR="00563E04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urbanog područja </w:t>
      </w:r>
      <w:r w:rsidR="008B7A8C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Pul</w:t>
      </w:r>
      <w:r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a </w:t>
      </w:r>
      <w:r w:rsidR="004B4C7E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</w:t>
      </w:r>
      <w:r w:rsidR="0088317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5</w:t>
      </w:r>
      <w:r w:rsidR="00BA6EC2" w:rsidRPr="004B4C7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Pr="00766A6E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9E13D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4B4C7E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4B4C7E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4B4C7E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DC7485" w:rsidRPr="00196919" w:rsidRDefault="001C5535" w:rsidP="008D10DB">
      <w:pPr>
        <w:widowControl w:val="0"/>
        <w:spacing w:after="0"/>
        <w:jc w:val="center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20"/>
          <w:szCs w:val="20"/>
          <w:lang w:eastAsia="hr-HR"/>
        </w:rPr>
        <w:drawing>
          <wp:inline distT="0" distB="0" distL="0" distR="0" wp14:anchorId="46695909">
            <wp:extent cx="6103405" cy="259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05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B8" w:rsidRDefault="00713E71" w:rsidP="006504B5">
      <w:pPr>
        <w:spacing w:before="60" w:after="6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C2CE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</w:t>
      </w:r>
      <w:r w:rsidR="00E1622B" w:rsidRPr="008C2CE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vor: Fina, </w:t>
      </w:r>
      <w:r w:rsidR="00191BB8" w:rsidRPr="00675F6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Registar godišnjih financijskih izvještaja</w:t>
      </w:r>
      <w:r w:rsidR="00191B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2015</w:t>
      </w:r>
      <w:r w:rsidR="00191BB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8053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="00191BB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88317C" w:rsidRDefault="0088317C" w:rsidP="00F80530">
      <w:pPr>
        <w:widowControl w:val="0"/>
        <w:autoSpaceDE w:val="0"/>
        <w:autoSpaceDN w:val="0"/>
        <w:adjustRightInd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Prosječna mjesečna neto plaća obračunata kod poduzetnika Velikog urbanog područja Pula u 2015. godini iznosila je 5.010 kunu, odnosno 0,8 % više u odnosu na prethodnu godinu te 1,9 % manje od iznosa prosječne mjesečne neto plaće zaposlenih kod poduzetnika u Istarskoj županiji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(5.105 kuna). </w:t>
      </w:r>
    </w:p>
    <w:p w:rsidR="0088317C" w:rsidRPr="00AE36BF" w:rsidRDefault="0088317C" w:rsidP="00D54F96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prosječna mjesečna neto plaća obračunata je kod poduzetnika u gradu Vodnjanu (5.650 kuna), slijede poduzetnici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t xml:space="preserve"> općini Ližnjan (5.231 kun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t>) i grad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EB6C51">
        <w:rPr>
          <w:rFonts w:ascii="Arial" w:hAnsi="Arial" w:cs="Arial"/>
          <w:color w:val="244061" w:themeColor="accent1" w:themeShade="80"/>
          <w:sz w:val="20"/>
          <w:szCs w:val="20"/>
        </w:rPr>
        <w:t xml:space="preserve"> Pula (5.081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kunu). </w:t>
      </w:r>
      <w:r w:rsidRPr="00AE36BF">
        <w:rPr>
          <w:rFonts w:ascii="Arial" w:hAnsi="Arial" w:cs="Arial"/>
          <w:color w:val="244061" w:themeColor="accent1" w:themeShade="80"/>
          <w:sz w:val="20"/>
          <w:szCs w:val="20"/>
        </w:rPr>
        <w:t>Najniža prosječna mjesečna neto plaća obračunana je kod poduzetnika u općini M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arčana</w:t>
      </w:r>
      <w:r w:rsidRPr="00AE36BF">
        <w:rPr>
          <w:rFonts w:ascii="Arial" w:hAnsi="Arial" w:cs="Arial"/>
          <w:color w:val="244061" w:themeColor="accent1" w:themeShade="80"/>
          <w:sz w:val="20"/>
          <w:szCs w:val="20"/>
        </w:rPr>
        <w:t xml:space="preserve"> (3.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043</w:t>
      </w:r>
      <w:r w:rsidRPr="00AE36BF">
        <w:rPr>
          <w:rFonts w:ascii="Arial" w:hAnsi="Arial" w:cs="Arial"/>
          <w:color w:val="244061" w:themeColor="accent1" w:themeShade="80"/>
          <w:sz w:val="20"/>
          <w:szCs w:val="20"/>
        </w:rPr>
        <w:t xml:space="preserve"> kun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AE36BF">
        <w:rPr>
          <w:rFonts w:ascii="Arial" w:hAnsi="Arial" w:cs="Arial"/>
          <w:color w:val="244061" w:themeColor="accent1" w:themeShade="80"/>
          <w:sz w:val="20"/>
          <w:szCs w:val="20"/>
        </w:rPr>
        <w:t>).</w:t>
      </w:r>
    </w:p>
    <w:p w:rsidR="0088317C" w:rsidRPr="00AE36BF" w:rsidRDefault="0088317C" w:rsidP="0088317C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E36BF">
        <w:rPr>
          <w:rFonts w:ascii="Arial" w:hAnsi="Arial" w:cs="Arial"/>
          <w:color w:val="244061" w:themeColor="accent1" w:themeShade="80"/>
          <w:sz w:val="20"/>
          <w:szCs w:val="20"/>
        </w:rPr>
        <w:t>Za usporedbu, prosječna mjesečna obračunana neto plaća zaposlenih kod poduzetnika na razini RH u 2015. godini iznosila je 5.019 kuna.</w:t>
      </w:r>
    </w:p>
    <w:p w:rsidR="0088317C" w:rsidRPr="00675F68" w:rsidRDefault="0088317C" w:rsidP="006504B5">
      <w:pPr>
        <w:spacing w:before="60" w:after="6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</w:p>
    <w:p w:rsidR="00191BB8" w:rsidRPr="00132FFE" w:rsidRDefault="00191BB8" w:rsidP="00191BB8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947E4F" w:rsidRDefault="00947E4F" w:rsidP="006504B5">
      <w:pPr>
        <w:spacing w:before="60" w:after="120" w:line="240" w:lineRule="auto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86221">
        <w:rPr>
          <w:rFonts w:ascii="Arial" w:eastAsia="Times New Roman" w:hAnsi="Arial" w:cs="Arial"/>
          <w:b/>
          <w:i/>
          <w:color w:val="17365D"/>
          <w:sz w:val="20"/>
          <w:szCs w:val="20"/>
          <w:lang w:eastAsia="hr-HR"/>
        </w:rPr>
        <w:t>O urbanim aglomeracijama i većim i manjim urbanim područjima</w:t>
      </w:r>
    </w:p>
    <w:p w:rsidR="00191BB8" w:rsidRDefault="00947E4F" w:rsidP="00F32F40">
      <w:pPr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864A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Izdvajanje urbanih (i ruralnih odnosno ruralnih i mješovitih) područja predstavlja jedan od izazovnijih zadataka suvremene politike regionalnog razvoja. Vrlo često se urbana područja odnosno granice urbanih područja određuju ovisno o namjeni i nisu izdvojena j</w:t>
      </w:r>
      <w:r w:rsidR="00191BB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ednom jedinstvenom definicijom.</w:t>
      </w:r>
    </w:p>
    <w:p w:rsidR="00947E4F" w:rsidRPr="00F864A1" w:rsidRDefault="00947E4F" w:rsidP="00947E4F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864A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politiku regionalnog razvoja izdvajanje urbanih područja znači naći kompromis između različitih sektora, lokalnih želja za uključivanjem/isključivanjem dijela teritorija u urbani prostor i administrativnih granica (koje osiguravaju pravo odlučivanja u nekom prostoru). Zakon o regionalnom razvoju odredio je tri tipa urbanih područja:</w:t>
      </w:r>
    </w:p>
    <w:p w:rsidR="00947E4F" w:rsidRPr="00F864A1" w:rsidRDefault="00947E4F" w:rsidP="006504B5">
      <w:pPr>
        <w:numPr>
          <w:ilvl w:val="0"/>
          <w:numId w:val="2"/>
        </w:numPr>
        <w:spacing w:before="60" w:after="0"/>
        <w:ind w:left="850" w:hanging="357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F864A1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4 gradske aglomeracije</w:t>
      </w:r>
      <w:r w:rsidRPr="00F864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(sjedišta u Zagrebu, Splitu, Rijeci i Osijeku)</w:t>
      </w:r>
    </w:p>
    <w:p w:rsidR="00947E4F" w:rsidRPr="00F864A1" w:rsidRDefault="00947E4F" w:rsidP="00947E4F">
      <w:pPr>
        <w:numPr>
          <w:ilvl w:val="0"/>
          <w:numId w:val="2"/>
        </w:numPr>
        <w:tabs>
          <w:tab w:val="left" w:pos="851"/>
        </w:tabs>
        <w:spacing w:before="40" w:after="0"/>
        <w:ind w:left="850" w:hanging="357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F864A1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veća urbana područja</w:t>
      </w:r>
      <w:r w:rsidRPr="00F864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- gradovi koji na razini jedinica lokalne samouprave imaju više od 35 000 stanovnika, a nisu uključeni u urbane aglomeracije</w:t>
      </w:r>
    </w:p>
    <w:p w:rsidR="00947E4F" w:rsidRPr="00F864A1" w:rsidRDefault="00947E4F" w:rsidP="006504B5">
      <w:pPr>
        <w:numPr>
          <w:ilvl w:val="0"/>
          <w:numId w:val="2"/>
        </w:numPr>
        <w:tabs>
          <w:tab w:val="left" w:pos="851"/>
        </w:tabs>
        <w:spacing w:before="40" w:after="120" w:line="240" w:lineRule="auto"/>
        <w:ind w:left="850" w:hanging="357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  <w:lang w:eastAsia="hr-HR"/>
        </w:rPr>
      </w:pPr>
      <w:r w:rsidRPr="00F864A1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manja urbana područja</w:t>
      </w:r>
      <w:r w:rsidRPr="00F864A1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- gradovi koji imaju manje od 35 000 stanovnika, ali njihova središnja naselja imaju više od 10 000 stanovnika ili su sjedišta županija</w:t>
      </w:r>
      <w:r w:rsidRPr="00F864A1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.</w:t>
      </w:r>
    </w:p>
    <w:p w:rsidR="00947E4F" w:rsidRPr="00132FFE" w:rsidRDefault="00947E4F" w:rsidP="00947E4F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947E4F" w:rsidRPr="00F80530" w:rsidRDefault="00947E4F" w:rsidP="006504B5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8" w:history="1">
        <w:r w:rsidRPr="00F80530">
          <w:rPr>
            <w:rFonts w:ascii="Arial" w:eastAsia="Times New Roman" w:hAnsi="Arial" w:cs="Arial"/>
            <w:i/>
            <w:color w:val="0000BF"/>
            <w:sz w:val="18"/>
            <w:szCs w:val="18"/>
            <w:u w:val="single"/>
            <w:lang w:eastAsia="hr-HR"/>
          </w:rPr>
          <w:t>standardnim analizama</w:t>
        </w:r>
      </w:hyperlink>
    </w:p>
    <w:p w:rsidR="006C38AD" w:rsidRPr="00F80530" w:rsidRDefault="006C38AD" w:rsidP="00191BB8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9" w:history="1">
        <w:r w:rsidRPr="00F80530">
          <w:rPr>
            <w:rStyle w:val="Hyperlink"/>
            <w:rFonts w:ascii="Arial" w:eastAsia="Times New Roman" w:hAnsi="Arial" w:cs="Arial"/>
            <w:i/>
            <w:color w:val="0000BF"/>
            <w:sz w:val="18"/>
            <w:szCs w:val="18"/>
            <w:lang w:eastAsia="hr-HR"/>
          </w:rPr>
          <w:t>standardnim analizama</w:t>
        </w:r>
      </w:hyperlink>
      <w:r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8B7A8C"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5</w:t>
      </w:r>
      <w:r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. g. </w:t>
      </w:r>
    </w:p>
    <w:p w:rsidR="006C38AD" w:rsidRPr="00F80530" w:rsidRDefault="006C38AD" w:rsidP="00191BB8">
      <w:pPr>
        <w:spacing w:before="120" w:after="0" w:line="240" w:lineRule="auto"/>
        <w:jc w:val="both"/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</w:pPr>
      <w:r w:rsidRPr="00F80530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F80530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0" w:history="1">
        <w:r w:rsidRPr="00F80530">
          <w:rPr>
            <w:rStyle w:val="Hyperlink"/>
            <w:rFonts w:ascii="Arial" w:eastAsia="Calibri" w:hAnsi="Arial" w:cs="Arial"/>
            <w:i/>
            <w:sz w:val="18"/>
            <w:szCs w:val="18"/>
            <w:lang w:eastAsia="hr-HR"/>
          </w:rPr>
          <w:t>RGFI – javna objava</w:t>
        </w:r>
      </w:hyperlink>
      <w:r w:rsidRPr="00F80530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F80530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F80530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1" w:history="1">
        <w:r w:rsidRPr="00F80530">
          <w:rPr>
            <w:rStyle w:val="Hyperlink"/>
            <w:rFonts w:ascii="Arial" w:eastAsia="Calibri" w:hAnsi="Arial" w:cs="Arial"/>
            <w:i/>
            <w:sz w:val="18"/>
            <w:szCs w:val="18"/>
            <w:lang w:eastAsia="hr-HR"/>
          </w:rPr>
          <w:t>Transparentno.hr</w:t>
        </w:r>
      </w:hyperlink>
    </w:p>
    <w:p w:rsidR="00136C31" w:rsidRPr="00F80530" w:rsidRDefault="006C38AD" w:rsidP="00F80530">
      <w:pPr>
        <w:spacing w:before="120" w:after="240" w:line="240" w:lineRule="auto"/>
        <w:jc w:val="both"/>
        <w:rPr>
          <w:rFonts w:ascii="Arial" w:eastAsia="Calibri" w:hAnsi="Arial" w:cs="Arial"/>
          <w:bCs/>
          <w:i/>
          <w:color w:val="17365D"/>
          <w:sz w:val="18"/>
          <w:szCs w:val="18"/>
        </w:rPr>
      </w:pPr>
      <w:r w:rsidRPr="00F8053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2" w:history="1">
        <w:r w:rsidRPr="00F80530">
          <w:rPr>
            <w:rStyle w:val="Hyperlink"/>
            <w:rFonts w:ascii="Arial" w:eastAsia="Calibri" w:hAnsi="Arial" w:cs="Arial"/>
            <w:bCs/>
            <w:i/>
            <w:color w:val="0000BF"/>
            <w:sz w:val="18"/>
            <w:szCs w:val="18"/>
          </w:rPr>
          <w:t>FINA InfoBlokade</w:t>
        </w:r>
      </w:hyperlink>
      <w:r w:rsidRPr="00F8053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poruku na broj 818058. te korištenjem </w:t>
      </w:r>
      <w:hyperlink r:id="rId23" w:history="1">
        <w:r w:rsidRPr="00F80530">
          <w:rPr>
            <w:rStyle w:val="Hyperlink"/>
            <w:rFonts w:ascii="Arial" w:eastAsia="Calibri" w:hAnsi="Arial" w:cs="Arial"/>
            <w:bCs/>
            <w:i/>
            <w:sz w:val="18"/>
            <w:szCs w:val="18"/>
          </w:rPr>
          <w:t>WEB aplikacije JRR</w:t>
        </w:r>
      </w:hyperlink>
      <w:r w:rsidRPr="00F8053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24" w:history="1">
        <w:r w:rsidRPr="00F80530">
          <w:rPr>
            <w:rStyle w:val="Hyperlink"/>
            <w:rFonts w:ascii="Arial" w:eastAsia="Calibri" w:hAnsi="Arial" w:cs="Arial"/>
            <w:bCs/>
            <w:i/>
            <w:sz w:val="18"/>
            <w:szCs w:val="18"/>
          </w:rPr>
          <w:t>Jedinstvenom registru računa</w:t>
        </w:r>
      </w:hyperlink>
      <w:r w:rsidRPr="00F80530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544"/>
        <w:gridCol w:w="2552"/>
        <w:gridCol w:w="3543"/>
      </w:tblGrid>
      <w:tr w:rsidR="00F80530" w:rsidRPr="00F80530" w:rsidTr="00C1799B">
        <w:trPr>
          <w:trHeight w:val="1871"/>
        </w:trPr>
        <w:tc>
          <w:tcPr>
            <w:tcW w:w="3544" w:type="dxa"/>
            <w:vAlign w:val="center"/>
          </w:tcPr>
          <w:p w:rsidR="00F80530" w:rsidRPr="00F80530" w:rsidRDefault="00F80530" w:rsidP="00F8053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color w:val="17365D"/>
                <w:sz w:val="18"/>
                <w:szCs w:val="18"/>
              </w:rPr>
            </w:pPr>
            <w:r w:rsidRPr="00F80530">
              <w:rPr>
                <w:rFonts w:ascii="Arial" w:eastAsia="Calibri" w:hAnsi="Arial" w:cs="Arial"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178B0AE6" wp14:editId="4C2DDF9D">
                  <wp:extent cx="1979840" cy="1548000"/>
                  <wp:effectExtent l="0" t="0" r="1905" b="0"/>
                  <wp:docPr id="6" name="Picture 6" descr="Fina info šasija_210x270.jpg">
                    <a:hlinkClick xmlns:a="http://schemas.openxmlformats.org/drawingml/2006/main" r:id="rId25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 info šasija_210x270.jpg">
                            <a:hlinkClick r:id="rId25" tooltip="&quot;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4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F80530" w:rsidRPr="00F80530" w:rsidRDefault="00F80530" w:rsidP="00F8053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17365D"/>
                <w:sz w:val="18"/>
                <w:szCs w:val="18"/>
              </w:rPr>
            </w:pPr>
            <w:r w:rsidRPr="00F80530">
              <w:rPr>
                <w:rFonts w:ascii="Arial" w:eastAsia="Times New Roman" w:hAnsi="Arial" w:cs="Times New Roman"/>
                <w:noProof/>
                <w:color w:val="003366"/>
                <w:sz w:val="18"/>
                <w:szCs w:val="18"/>
                <w:lang w:eastAsia="hr-HR"/>
              </w:rPr>
              <w:drawing>
                <wp:inline distT="0" distB="0" distL="0" distR="0" wp14:anchorId="16E85D82" wp14:editId="6B58050A">
                  <wp:extent cx="1333151" cy="1548000"/>
                  <wp:effectExtent l="19050" t="19050" r="19685" b="14605"/>
                  <wp:docPr id="9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" t="3692" r="1328"/>
                          <a:stretch/>
                        </pic:blipFill>
                        <pic:spPr bwMode="auto">
                          <a:xfrm>
                            <a:off x="0" y="0"/>
                            <a:ext cx="1333151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F80530" w:rsidRPr="00F80530" w:rsidRDefault="00F80530" w:rsidP="00F80530">
            <w:pPr>
              <w:spacing w:after="0" w:line="240" w:lineRule="auto"/>
              <w:ind w:right="34"/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</w:pPr>
            <w:r w:rsidRPr="00F80530">
              <w:rPr>
                <w:rFonts w:ascii="Arial" w:eastAsia="Calibri" w:hAnsi="Arial" w:cs="Arial"/>
                <w:b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2AC62F0B" wp14:editId="10078DBE">
                  <wp:extent cx="1979840" cy="1548000"/>
                  <wp:effectExtent l="0" t="0" r="1905" b="0"/>
                  <wp:docPr id="10" name="Picture 2" descr="smsBlokade_210x270.jpg">
                    <a:hlinkClick xmlns:a="http://schemas.openxmlformats.org/drawingml/2006/main" r:id="rId28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sBlokade_210x270.jpg">
                            <a:hlinkClick r:id="rId28" tooltip="&quot;FINA InfoBlokade&quot; t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4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6C31" w:rsidRPr="003C116E" w:rsidRDefault="00136C31" w:rsidP="00951B1A">
      <w:pPr>
        <w:spacing w:before="120" w:after="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</w:pPr>
    </w:p>
    <w:sectPr w:rsidR="00136C31" w:rsidRPr="003C116E" w:rsidSect="00F80530">
      <w:headerReference w:type="default" r:id="rId30"/>
      <w:footerReference w:type="default" r:id="rId3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4E" w:rsidRDefault="00A5754E" w:rsidP="008E7389">
      <w:pPr>
        <w:spacing w:after="0" w:line="240" w:lineRule="auto"/>
      </w:pPr>
      <w:r>
        <w:separator/>
      </w:r>
    </w:p>
  </w:endnote>
  <w:endnote w:type="continuationSeparator" w:id="0">
    <w:p w:rsidR="00A5754E" w:rsidRDefault="00A5754E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2524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80530" w:rsidRPr="00F80530" w:rsidRDefault="00F80530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F80530">
          <w:rPr>
            <w:rFonts w:ascii="Arial" w:hAnsi="Arial" w:cs="Arial"/>
            <w:sz w:val="18"/>
            <w:szCs w:val="18"/>
          </w:rPr>
          <w:fldChar w:fldCharType="begin"/>
        </w:r>
        <w:r w:rsidRPr="00F80530">
          <w:rPr>
            <w:rFonts w:ascii="Arial" w:hAnsi="Arial" w:cs="Arial"/>
            <w:sz w:val="18"/>
            <w:szCs w:val="18"/>
          </w:rPr>
          <w:instrText>PAGE   \* MERGEFORMAT</w:instrText>
        </w:r>
        <w:r w:rsidRPr="00F80530">
          <w:rPr>
            <w:rFonts w:ascii="Arial" w:hAnsi="Arial" w:cs="Arial"/>
            <w:sz w:val="18"/>
            <w:szCs w:val="18"/>
          </w:rPr>
          <w:fldChar w:fldCharType="separate"/>
        </w:r>
        <w:r w:rsidR="009B142E">
          <w:rPr>
            <w:rFonts w:ascii="Arial" w:hAnsi="Arial" w:cs="Arial"/>
            <w:noProof/>
            <w:sz w:val="18"/>
            <w:szCs w:val="18"/>
          </w:rPr>
          <w:t>3</w:t>
        </w:r>
        <w:r w:rsidRPr="00F8053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80530" w:rsidRDefault="00F80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4E" w:rsidRDefault="00A5754E" w:rsidP="008E7389">
      <w:pPr>
        <w:spacing w:after="0" w:line="240" w:lineRule="auto"/>
      </w:pPr>
      <w:r>
        <w:separator/>
      </w:r>
    </w:p>
  </w:footnote>
  <w:footnote w:type="continuationSeparator" w:id="0">
    <w:p w:rsidR="00A5754E" w:rsidRDefault="00A5754E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5" w:rsidRDefault="007F67A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015B8AC6" wp14:editId="2FE7889A">
          <wp:simplePos x="0" y="0"/>
          <wp:positionH relativeFrom="column">
            <wp:posOffset>-11887</wp:posOffset>
          </wp:positionH>
          <wp:positionV relativeFrom="paragraph">
            <wp:posOffset>-78181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46ACC8EA"/>
    <w:lvl w:ilvl="0" w:tplc="7424EB3C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20535"/>
    <w:rsid w:val="000223BE"/>
    <w:rsid w:val="0002298A"/>
    <w:rsid w:val="000318B8"/>
    <w:rsid w:val="000462BD"/>
    <w:rsid w:val="00056009"/>
    <w:rsid w:val="00056491"/>
    <w:rsid w:val="000702E8"/>
    <w:rsid w:val="00073618"/>
    <w:rsid w:val="00087C07"/>
    <w:rsid w:val="000A4E0B"/>
    <w:rsid w:val="000A514E"/>
    <w:rsid w:val="000C6AA8"/>
    <w:rsid w:val="000D5304"/>
    <w:rsid w:val="000F3063"/>
    <w:rsid w:val="001176A9"/>
    <w:rsid w:val="0012141E"/>
    <w:rsid w:val="00135C85"/>
    <w:rsid w:val="00136C31"/>
    <w:rsid w:val="00140B0F"/>
    <w:rsid w:val="001457E4"/>
    <w:rsid w:val="00150C8B"/>
    <w:rsid w:val="00153D9F"/>
    <w:rsid w:val="0015427A"/>
    <w:rsid w:val="001847F3"/>
    <w:rsid w:val="00191BB8"/>
    <w:rsid w:val="00193AA1"/>
    <w:rsid w:val="00196919"/>
    <w:rsid w:val="001A4239"/>
    <w:rsid w:val="001B5251"/>
    <w:rsid w:val="001B690B"/>
    <w:rsid w:val="001B7AA5"/>
    <w:rsid w:val="001C4B32"/>
    <w:rsid w:val="001C5535"/>
    <w:rsid w:val="001D3C17"/>
    <w:rsid w:val="001D683B"/>
    <w:rsid w:val="001D7E19"/>
    <w:rsid w:val="001E685C"/>
    <w:rsid w:val="002060AB"/>
    <w:rsid w:val="00223A9E"/>
    <w:rsid w:val="00226EA6"/>
    <w:rsid w:val="002304EB"/>
    <w:rsid w:val="002366DF"/>
    <w:rsid w:val="002454B2"/>
    <w:rsid w:val="00252F16"/>
    <w:rsid w:val="0025375D"/>
    <w:rsid w:val="00254C6A"/>
    <w:rsid w:val="00261D6C"/>
    <w:rsid w:val="00266A00"/>
    <w:rsid w:val="0027247E"/>
    <w:rsid w:val="00276D16"/>
    <w:rsid w:val="00283296"/>
    <w:rsid w:val="00290696"/>
    <w:rsid w:val="00294F87"/>
    <w:rsid w:val="0029645B"/>
    <w:rsid w:val="002A7956"/>
    <w:rsid w:val="002B37A6"/>
    <w:rsid w:val="002C4E15"/>
    <w:rsid w:val="002C542A"/>
    <w:rsid w:val="002D2D83"/>
    <w:rsid w:val="002E5B58"/>
    <w:rsid w:val="002E657D"/>
    <w:rsid w:val="003125D4"/>
    <w:rsid w:val="0032200A"/>
    <w:rsid w:val="003254DB"/>
    <w:rsid w:val="00331458"/>
    <w:rsid w:val="003345F2"/>
    <w:rsid w:val="00354712"/>
    <w:rsid w:val="0036105B"/>
    <w:rsid w:val="00364A39"/>
    <w:rsid w:val="003674D1"/>
    <w:rsid w:val="003704E4"/>
    <w:rsid w:val="00376AA3"/>
    <w:rsid w:val="003A7AAA"/>
    <w:rsid w:val="003B7206"/>
    <w:rsid w:val="003C0074"/>
    <w:rsid w:val="003C116E"/>
    <w:rsid w:val="003C48CB"/>
    <w:rsid w:val="003C6C83"/>
    <w:rsid w:val="003D20ED"/>
    <w:rsid w:val="003E3401"/>
    <w:rsid w:val="003F697A"/>
    <w:rsid w:val="00412A97"/>
    <w:rsid w:val="0041392B"/>
    <w:rsid w:val="00436335"/>
    <w:rsid w:val="004452F0"/>
    <w:rsid w:val="00447391"/>
    <w:rsid w:val="004603D8"/>
    <w:rsid w:val="00466FEA"/>
    <w:rsid w:val="004762F8"/>
    <w:rsid w:val="004922FF"/>
    <w:rsid w:val="004946AC"/>
    <w:rsid w:val="004B20E2"/>
    <w:rsid w:val="004B4C7E"/>
    <w:rsid w:val="004C5286"/>
    <w:rsid w:val="004D07C8"/>
    <w:rsid w:val="004F3E69"/>
    <w:rsid w:val="004F7B3C"/>
    <w:rsid w:val="005019E8"/>
    <w:rsid w:val="00512F63"/>
    <w:rsid w:val="005259CD"/>
    <w:rsid w:val="00527D2F"/>
    <w:rsid w:val="00537C1C"/>
    <w:rsid w:val="005418CB"/>
    <w:rsid w:val="00563E04"/>
    <w:rsid w:val="005807A1"/>
    <w:rsid w:val="00595A4D"/>
    <w:rsid w:val="00595D97"/>
    <w:rsid w:val="005A3487"/>
    <w:rsid w:val="005B38A1"/>
    <w:rsid w:val="005C3866"/>
    <w:rsid w:val="005D14AF"/>
    <w:rsid w:val="005D2525"/>
    <w:rsid w:val="005D34E7"/>
    <w:rsid w:val="00620733"/>
    <w:rsid w:val="00632811"/>
    <w:rsid w:val="00634BA9"/>
    <w:rsid w:val="006504B5"/>
    <w:rsid w:val="00650BC4"/>
    <w:rsid w:val="006536BF"/>
    <w:rsid w:val="00657A3B"/>
    <w:rsid w:val="006600AF"/>
    <w:rsid w:val="00666461"/>
    <w:rsid w:val="006706E6"/>
    <w:rsid w:val="00675F68"/>
    <w:rsid w:val="00686DC9"/>
    <w:rsid w:val="006B56F2"/>
    <w:rsid w:val="006C38AD"/>
    <w:rsid w:val="006C3E87"/>
    <w:rsid w:val="006D0B94"/>
    <w:rsid w:val="006D3197"/>
    <w:rsid w:val="006D3643"/>
    <w:rsid w:val="006F0699"/>
    <w:rsid w:val="006F5A64"/>
    <w:rsid w:val="00713E71"/>
    <w:rsid w:val="00733A0F"/>
    <w:rsid w:val="00733E1F"/>
    <w:rsid w:val="00743414"/>
    <w:rsid w:val="007575DE"/>
    <w:rsid w:val="007631CB"/>
    <w:rsid w:val="00765899"/>
    <w:rsid w:val="00766A6E"/>
    <w:rsid w:val="00781E71"/>
    <w:rsid w:val="00793E44"/>
    <w:rsid w:val="007A08C5"/>
    <w:rsid w:val="007B1D4D"/>
    <w:rsid w:val="007B6FDF"/>
    <w:rsid w:val="007C257E"/>
    <w:rsid w:val="007D5301"/>
    <w:rsid w:val="007E1A15"/>
    <w:rsid w:val="007F341C"/>
    <w:rsid w:val="007F67A5"/>
    <w:rsid w:val="008028B3"/>
    <w:rsid w:val="008035EF"/>
    <w:rsid w:val="00804BC0"/>
    <w:rsid w:val="00812215"/>
    <w:rsid w:val="0081287F"/>
    <w:rsid w:val="00815DB3"/>
    <w:rsid w:val="008166E1"/>
    <w:rsid w:val="0084384B"/>
    <w:rsid w:val="00844442"/>
    <w:rsid w:val="00847450"/>
    <w:rsid w:val="008505A6"/>
    <w:rsid w:val="00851D9D"/>
    <w:rsid w:val="008533B7"/>
    <w:rsid w:val="00865FBC"/>
    <w:rsid w:val="00873C5F"/>
    <w:rsid w:val="0088317C"/>
    <w:rsid w:val="0089735E"/>
    <w:rsid w:val="008A122C"/>
    <w:rsid w:val="008A15B9"/>
    <w:rsid w:val="008A49E2"/>
    <w:rsid w:val="008A5A33"/>
    <w:rsid w:val="008B7A8C"/>
    <w:rsid w:val="008C2CE0"/>
    <w:rsid w:val="008C57AF"/>
    <w:rsid w:val="008D10DB"/>
    <w:rsid w:val="008D40F3"/>
    <w:rsid w:val="008E7389"/>
    <w:rsid w:val="008F08E4"/>
    <w:rsid w:val="008F4A18"/>
    <w:rsid w:val="009007F3"/>
    <w:rsid w:val="00901842"/>
    <w:rsid w:val="0090357F"/>
    <w:rsid w:val="00915962"/>
    <w:rsid w:val="00930612"/>
    <w:rsid w:val="00947E4F"/>
    <w:rsid w:val="00951B1A"/>
    <w:rsid w:val="00974B8D"/>
    <w:rsid w:val="009812C3"/>
    <w:rsid w:val="00984581"/>
    <w:rsid w:val="009A75D0"/>
    <w:rsid w:val="009B142E"/>
    <w:rsid w:val="009B1921"/>
    <w:rsid w:val="009C1464"/>
    <w:rsid w:val="009C2ABA"/>
    <w:rsid w:val="009D3E34"/>
    <w:rsid w:val="009E13D0"/>
    <w:rsid w:val="009E4966"/>
    <w:rsid w:val="009F28A3"/>
    <w:rsid w:val="00A01B26"/>
    <w:rsid w:val="00A03340"/>
    <w:rsid w:val="00A324E2"/>
    <w:rsid w:val="00A47F21"/>
    <w:rsid w:val="00A564B1"/>
    <w:rsid w:val="00A56B89"/>
    <w:rsid w:val="00A5754E"/>
    <w:rsid w:val="00A71AA5"/>
    <w:rsid w:val="00A71AE7"/>
    <w:rsid w:val="00A8665E"/>
    <w:rsid w:val="00A95E07"/>
    <w:rsid w:val="00AA23C3"/>
    <w:rsid w:val="00AA53B6"/>
    <w:rsid w:val="00AD06D9"/>
    <w:rsid w:val="00AD0A58"/>
    <w:rsid w:val="00AD1DA7"/>
    <w:rsid w:val="00AD48F3"/>
    <w:rsid w:val="00AE36BF"/>
    <w:rsid w:val="00AF2059"/>
    <w:rsid w:val="00AF7320"/>
    <w:rsid w:val="00B205FA"/>
    <w:rsid w:val="00B32173"/>
    <w:rsid w:val="00B45452"/>
    <w:rsid w:val="00B87937"/>
    <w:rsid w:val="00B9068C"/>
    <w:rsid w:val="00B9772C"/>
    <w:rsid w:val="00BA5704"/>
    <w:rsid w:val="00BA6EC2"/>
    <w:rsid w:val="00BB443F"/>
    <w:rsid w:val="00BB48F3"/>
    <w:rsid w:val="00BC259F"/>
    <w:rsid w:val="00BF31B2"/>
    <w:rsid w:val="00BF6698"/>
    <w:rsid w:val="00BF7D16"/>
    <w:rsid w:val="00C02FEF"/>
    <w:rsid w:val="00C0423D"/>
    <w:rsid w:val="00C050CA"/>
    <w:rsid w:val="00C0690E"/>
    <w:rsid w:val="00C1049A"/>
    <w:rsid w:val="00C10DCD"/>
    <w:rsid w:val="00C11723"/>
    <w:rsid w:val="00C24114"/>
    <w:rsid w:val="00C343B3"/>
    <w:rsid w:val="00C45BA6"/>
    <w:rsid w:val="00C62B06"/>
    <w:rsid w:val="00C72D5D"/>
    <w:rsid w:val="00C734FC"/>
    <w:rsid w:val="00C8090C"/>
    <w:rsid w:val="00C8410D"/>
    <w:rsid w:val="00C847D6"/>
    <w:rsid w:val="00C92BA0"/>
    <w:rsid w:val="00CA0764"/>
    <w:rsid w:val="00CA5B48"/>
    <w:rsid w:val="00CB0774"/>
    <w:rsid w:val="00CB4F88"/>
    <w:rsid w:val="00CC6C82"/>
    <w:rsid w:val="00CD1DBF"/>
    <w:rsid w:val="00CD40A4"/>
    <w:rsid w:val="00CE0873"/>
    <w:rsid w:val="00CE4FEA"/>
    <w:rsid w:val="00CF099A"/>
    <w:rsid w:val="00CF4B26"/>
    <w:rsid w:val="00D057E8"/>
    <w:rsid w:val="00D1505F"/>
    <w:rsid w:val="00D20901"/>
    <w:rsid w:val="00D22312"/>
    <w:rsid w:val="00D31B4F"/>
    <w:rsid w:val="00D459C2"/>
    <w:rsid w:val="00D533A2"/>
    <w:rsid w:val="00D54F96"/>
    <w:rsid w:val="00D5543C"/>
    <w:rsid w:val="00D579BA"/>
    <w:rsid w:val="00D7104E"/>
    <w:rsid w:val="00D76E9A"/>
    <w:rsid w:val="00D827B9"/>
    <w:rsid w:val="00D90DC1"/>
    <w:rsid w:val="00D911D5"/>
    <w:rsid w:val="00D95665"/>
    <w:rsid w:val="00DB6FBC"/>
    <w:rsid w:val="00DC7485"/>
    <w:rsid w:val="00DD1AEF"/>
    <w:rsid w:val="00DD6AA5"/>
    <w:rsid w:val="00DD7687"/>
    <w:rsid w:val="00DD7B7C"/>
    <w:rsid w:val="00DE2948"/>
    <w:rsid w:val="00DF0CE0"/>
    <w:rsid w:val="00E0420B"/>
    <w:rsid w:val="00E134A9"/>
    <w:rsid w:val="00E1622B"/>
    <w:rsid w:val="00E1665F"/>
    <w:rsid w:val="00E238D3"/>
    <w:rsid w:val="00E40199"/>
    <w:rsid w:val="00E455CE"/>
    <w:rsid w:val="00E55289"/>
    <w:rsid w:val="00E6539B"/>
    <w:rsid w:val="00E75E98"/>
    <w:rsid w:val="00E75FD8"/>
    <w:rsid w:val="00E8585D"/>
    <w:rsid w:val="00E97FC9"/>
    <w:rsid w:val="00EA15DC"/>
    <w:rsid w:val="00EA6F2F"/>
    <w:rsid w:val="00EB13A9"/>
    <w:rsid w:val="00EB6C51"/>
    <w:rsid w:val="00EC72B0"/>
    <w:rsid w:val="00EE6784"/>
    <w:rsid w:val="00EF187E"/>
    <w:rsid w:val="00F11B58"/>
    <w:rsid w:val="00F32F40"/>
    <w:rsid w:val="00F44AA0"/>
    <w:rsid w:val="00F45DFA"/>
    <w:rsid w:val="00F56A6D"/>
    <w:rsid w:val="00F57E72"/>
    <w:rsid w:val="00F72860"/>
    <w:rsid w:val="00F80530"/>
    <w:rsid w:val="00FA349F"/>
    <w:rsid w:val="00FA5423"/>
    <w:rsid w:val="00FC4822"/>
    <w:rsid w:val="00FC71E4"/>
    <w:rsid w:val="00FD3DCC"/>
    <w:rsid w:val="00FD45CA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A5"/>
  </w:style>
  <w:style w:type="paragraph" w:styleId="Footer">
    <w:name w:val="footer"/>
    <w:basedOn w:val="Normal"/>
    <w:link w:val="Foot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A5"/>
  </w:style>
  <w:style w:type="paragraph" w:styleId="ListParagraph">
    <w:name w:val="List Paragraph"/>
    <w:basedOn w:val="Normal"/>
    <w:uiPriority w:val="34"/>
    <w:qFormat/>
    <w:rsid w:val="004C5286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B4C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A5"/>
  </w:style>
  <w:style w:type="paragraph" w:styleId="Footer">
    <w:name w:val="footer"/>
    <w:basedOn w:val="Normal"/>
    <w:link w:val="Footer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A5"/>
  </w:style>
  <w:style w:type="paragraph" w:styleId="ListParagraph">
    <w:name w:val="List Paragraph"/>
    <w:basedOn w:val="Normal"/>
    <w:uiPriority w:val="34"/>
    <w:qFormat/>
    <w:rsid w:val="004C5286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4B4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544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8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47625429199/a7ab1f6f7602298c39a5c4130d1a698cef680d20955e6410485f93f3bd2e682384b67b87ff81d1b54991117cbb2c7e2a59bf53f307d353cd79b19ee62b8e5d18" TargetMode="External"/><Relationship Id="rId18" Type="http://schemas.openxmlformats.org/officeDocument/2006/relationships/hyperlink" Target="http://rgfi.fina.hr/JavnaObjava-web/jsp/prijavaKorisnika.jsp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www.transparentno.h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21764428190/daed356143a81f67c6c27eb24b6e69d5d87fa52a4c31c16dd4f4656bbe04c92cd3d442c91983e08b72047fa32cc815cbec3c6f9fcad8bfa5ed5321de91617d4b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fina.hr/Default.aspx?sec=1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rgfi.fina.hr/JavnaObjava-web/jsp/prijavaKorisnika.jsp" TargetMode="External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49693360447/26e3f7a042da158b544af028cfc446941e156c69cd5cc0b46368bae1aa31481964d08297ee295df11b65d19a6d852e59e42bca53e466ffed3dbd77725a8b28df" TargetMode="External"/><Relationship Id="rId24" Type="http://schemas.openxmlformats.org/officeDocument/2006/relationships/hyperlink" Target="http://www.fina.hr/Default.aspx?sec=972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37187804574/b1298928ce27a5ccdef478dea8b7558978c3cdc3be2b1bea7b669ea6a195514b516a88d3917462b13d3c6bc8637d80eeac35483de14abd8c375c6f808e06c019" TargetMode="External"/><Relationship Id="rId23" Type="http://schemas.openxmlformats.org/officeDocument/2006/relationships/hyperlink" Target="https://jrr.fina.hr/" TargetMode="External"/><Relationship Id="rId28" Type="http://schemas.openxmlformats.org/officeDocument/2006/relationships/hyperlink" Target="http://www.fina.hr/lgs.axd?t=24&amp;id=15" TargetMode="External"/><Relationship Id="rId10" Type="http://schemas.openxmlformats.org/officeDocument/2006/relationships/hyperlink" Target="https://www.transparentno.hr/pregled/61418654605/6284b1f3cd4e9f038d70977cc393f9f998ec017503e688227d2594531bbb5088e305eb4bd73e9b5423e69d3f652de5b75b4da6b645c1cd5326db5c419e28ec41" TargetMode="External"/><Relationship Id="rId19" Type="http://schemas.openxmlformats.org/officeDocument/2006/relationships/hyperlink" Target="http://rgfi.fina.hr/JavnaObjava-web/jsp/prijavaKorisnika.jsp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http://rgfi.fina.hr/JavnaObjava-web/jsp/prijavaKorisnika.jsp" TargetMode="External"/><Relationship Id="rId27" Type="http://schemas.openxmlformats.org/officeDocument/2006/relationships/image" Target="media/image5.emf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924708142151829"/>
          <c:y val="1.826872179577194E-2"/>
          <c:w val="0.52206801276909665"/>
          <c:h val="0.8763620884911828"/>
        </c:manualLayout>
      </c:layout>
      <c:doughnut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1A2E46"/>
              </a:solidFill>
            </c:spPr>
          </c:dPt>
          <c:dPt>
            <c:idx val="1"/>
            <c:bubble3D val="0"/>
            <c:spPr>
              <a:solidFill>
                <a:srgbClr val="203854"/>
              </a:solidFill>
            </c:spPr>
          </c:dPt>
          <c:dPt>
            <c:idx val="2"/>
            <c:bubble3D val="0"/>
            <c:spPr>
              <a:solidFill>
                <a:srgbClr val="2D507B"/>
              </a:solidFill>
            </c:spPr>
          </c:dPt>
          <c:dPt>
            <c:idx val="3"/>
            <c:bubble3D val="0"/>
            <c:spPr>
              <a:solidFill>
                <a:srgbClr val="376295"/>
              </a:solidFill>
            </c:spPr>
          </c:dPt>
          <c:dPt>
            <c:idx val="4"/>
            <c:bubble3D val="0"/>
            <c:spPr>
              <a:solidFill>
                <a:srgbClr val="4276B4"/>
              </a:solidFill>
            </c:spPr>
          </c:dPt>
          <c:dPt>
            <c:idx val="5"/>
            <c:bubble3D val="0"/>
            <c:spPr>
              <a:solidFill>
                <a:srgbClr val="608DC4"/>
              </a:solidFill>
            </c:spPr>
          </c:dPt>
          <c:dPt>
            <c:idx val="6"/>
            <c:bubble3D val="0"/>
            <c:spPr>
              <a:solidFill>
                <a:srgbClr val="7099CA"/>
              </a:solidFill>
            </c:spPr>
          </c:dPt>
          <c:dPt>
            <c:idx val="7"/>
            <c:bubble3D val="0"/>
            <c:spPr>
              <a:solidFill>
                <a:srgbClr val="B6CBE4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  <a:r>
                      <a:rPr lang="hr-HR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  <a:r>
                      <a:rPr lang="hr-HR"/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  <a:r>
                      <a:rPr lang="hr-HR"/>
                      <a:t>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chemeClr val="tx2">
                          <a:lumMod val="75000"/>
                        </a:schemeClr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1.8539117538005192E-3"/>
                  <c:y val="-2.3364485981308403E-2"/>
                </c:manualLayout>
              </c:layout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0"/>
                  <c:y val="1.5576323987538941E-2"/>
                </c:manualLayout>
              </c:layout>
              <c:numFmt formatCode="#.##0" sourceLinked="0"/>
              <c:spPr/>
              <c:txPr>
                <a:bodyPr/>
                <a:lstStyle/>
                <a:p>
                  <a:pPr>
                    <a:defRPr sz="900" b="1" i="0" baseline="0">
                      <a:solidFill>
                        <a:sysClr val="windowText" lastClr="000000"/>
                      </a:solidFill>
                      <a:latin typeface="Arial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.##0" sourceLinked="0"/>
            <c:txPr>
              <a:bodyPr/>
              <a:lstStyle/>
              <a:p>
                <a:pPr>
                  <a:defRPr sz="900" b="1" i="0" baseline="0">
                    <a:solidFill>
                      <a:schemeClr val="bg1"/>
                    </a:solidFill>
                    <a:latin typeface="Arial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Grafikoni!$A$37:$A$43</c:f>
              <c:strCache>
                <c:ptCount val="7"/>
                <c:pt idx="0">
                  <c:v>Pula</c:v>
                </c:pt>
                <c:pt idx="1">
                  <c:v>Vodnjan</c:v>
                </c:pt>
                <c:pt idx="2">
                  <c:v>Barban</c:v>
                </c:pt>
                <c:pt idx="3">
                  <c:v>Ližnjan</c:v>
                </c:pt>
                <c:pt idx="4">
                  <c:v>Marčana</c:v>
                </c:pt>
                <c:pt idx="5">
                  <c:v>Medulin</c:v>
                </c:pt>
                <c:pt idx="6">
                  <c:v>Svetvinčenat</c:v>
                </c:pt>
              </c:strCache>
            </c:strRef>
          </c:cat>
          <c:val>
            <c:numRef>
              <c:f>Grafikoni!$B$37:$B$43</c:f>
              <c:numCache>
                <c:formatCode>#,##0</c:formatCode>
                <c:ptCount val="7"/>
                <c:pt idx="0">
                  <c:v>477.21730381931417</c:v>
                </c:pt>
                <c:pt idx="1">
                  <c:v>412.86499378238346</c:v>
                </c:pt>
                <c:pt idx="2">
                  <c:v>390.3454759036145</c:v>
                </c:pt>
                <c:pt idx="3">
                  <c:v>465.16146000000003</c:v>
                </c:pt>
                <c:pt idx="4">
                  <c:v>326.64881896551719</c:v>
                </c:pt>
                <c:pt idx="5">
                  <c:v>638.95757142857144</c:v>
                </c:pt>
                <c:pt idx="6">
                  <c:v>423.41406015037592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  <c:txPr>
        <a:bodyPr/>
        <a:lstStyle/>
        <a:p>
          <a:pPr>
            <a:defRPr sz="900" b="1" baseline="0">
              <a:solidFill>
                <a:schemeClr val="tx2">
                  <a:lumMod val="75000"/>
                </a:schemeClr>
              </a:solidFill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ln w="9525"/>
    <a:effectLst>
      <a:outerShdw blurRad="50800" dist="50800" dir="5400000" algn="ctr" rotWithShape="0">
        <a:schemeClr val="tx2">
          <a:lumMod val="75000"/>
        </a:scheme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E583-C3B6-4FE4-AA0D-AD304218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2015-09-11T12:33:00Z</cp:lastPrinted>
  <dcterms:created xsi:type="dcterms:W3CDTF">2017-04-04T06:44:00Z</dcterms:created>
  <dcterms:modified xsi:type="dcterms:W3CDTF">2017-04-04T09:14:00Z</dcterms:modified>
</cp:coreProperties>
</file>