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640E8" w:rsidRPr="00A8335B" w:rsidRDefault="002640E8" w:rsidP="004777B5">
      <w:pPr>
        <w:spacing w:line="240" w:lineRule="auto"/>
        <w:jc w:val="center"/>
        <w:rPr>
          <w:color w:val="17365D" w:themeColor="text2" w:themeShade="BF"/>
        </w:rPr>
      </w:pPr>
      <w:r w:rsidRPr="00A8335B">
        <w:rPr>
          <w:rFonts w:cs="Arial"/>
          <w:b/>
          <w:color w:val="17365D" w:themeColor="text2" w:themeShade="BF"/>
          <w:szCs w:val="20"/>
        </w:rPr>
        <w:t>POSLOVANJE PODUZETNIKA U DJELATNOSTI TRGOVINE NA MALO IGRAMA I IGRAČKAMA U SPECIJALIZIRANIM PR</w:t>
      </w:r>
      <w:r w:rsidR="00A8335B" w:rsidRPr="00A8335B">
        <w:rPr>
          <w:rFonts w:cs="Arial"/>
          <w:b/>
          <w:color w:val="17365D" w:themeColor="text2" w:themeShade="BF"/>
          <w:szCs w:val="20"/>
        </w:rPr>
        <w:t>ODAVAONICAMA U RAZDOBLJU OD 2011. DO 2015</w:t>
      </w:r>
      <w:r w:rsidRPr="00A8335B">
        <w:rPr>
          <w:rFonts w:cs="Arial"/>
          <w:b/>
          <w:color w:val="17365D" w:themeColor="text2" w:themeShade="BF"/>
          <w:szCs w:val="20"/>
        </w:rPr>
        <w:t>. GODINE</w:t>
      </w:r>
    </w:p>
    <w:p w:rsidR="002640E8" w:rsidRPr="009762F5" w:rsidRDefault="002640E8" w:rsidP="00CE3149">
      <w:pPr>
        <w:spacing w:before="120"/>
        <w:rPr>
          <w:color w:val="17365D" w:themeColor="text2" w:themeShade="BF"/>
        </w:rPr>
      </w:pPr>
      <w:r w:rsidRPr="009762F5">
        <w:rPr>
          <w:color w:val="17365D" w:themeColor="text2" w:themeShade="BF"/>
        </w:rPr>
        <w:t>U trgovini na malo u Hrvatskoj prisutan je trend koncentracije tržišnog udjela vodećih trgovačkih lanaca, jer su njihove aktivnosti usmjerene prema razvoju i širenju vlastitih trgovačkih marki, izgradnji prodavaonica na povoljnim lokacijama te stalnim cjenovnim promocijama. Trgovački lanci uspješno su se pozicionirali na tržištu, a maloprodavači im sve teže konkuriraju. U vrijeme krize potrošači biraju cjenovno prihvatljivije igračke, a više od 50% prodaje igračaka odvija se u studenom i prosincu.</w:t>
      </w:r>
    </w:p>
    <w:p w:rsidR="002640E8" w:rsidRPr="004857BE" w:rsidRDefault="002640E8" w:rsidP="00462250">
      <w:pPr>
        <w:spacing w:before="120"/>
        <w:rPr>
          <w:rFonts w:cs="Arial"/>
          <w:color w:val="17365D" w:themeColor="text2" w:themeShade="BF"/>
          <w:szCs w:val="20"/>
        </w:rPr>
      </w:pPr>
      <w:r w:rsidRPr="00BA26B9">
        <w:rPr>
          <w:rFonts w:cs="Arial"/>
          <w:color w:val="17365D" w:themeColor="text2" w:themeShade="BF"/>
          <w:szCs w:val="20"/>
        </w:rPr>
        <w:t>U razredu djelatnosti 47.65 – Trgovina na malo igrama i igračkama</w:t>
      </w:r>
      <w:r w:rsidR="001E275F" w:rsidRPr="00BA26B9">
        <w:rPr>
          <w:rFonts w:cs="Arial"/>
          <w:color w:val="17365D" w:themeColor="text2" w:themeShade="BF"/>
          <w:szCs w:val="20"/>
        </w:rPr>
        <w:t xml:space="preserve"> </w:t>
      </w:r>
      <w:r w:rsidRPr="00BA26B9">
        <w:rPr>
          <w:rFonts w:cs="Arial"/>
          <w:color w:val="17365D" w:themeColor="text2" w:themeShade="BF"/>
          <w:szCs w:val="20"/>
        </w:rPr>
        <w:t>u specijaliziranim prodavaonicama, u</w:t>
      </w:r>
      <w:r w:rsidR="00BA26B9" w:rsidRPr="00BA26B9">
        <w:rPr>
          <w:rFonts w:cs="Arial"/>
          <w:color w:val="17365D" w:themeColor="text2" w:themeShade="BF"/>
          <w:szCs w:val="20"/>
        </w:rPr>
        <w:t xml:space="preserve"> razdoblju od 2011</w:t>
      </w:r>
      <w:r w:rsidRPr="00BA26B9">
        <w:rPr>
          <w:rFonts w:cs="Arial"/>
          <w:color w:val="17365D" w:themeColor="text2" w:themeShade="BF"/>
          <w:szCs w:val="20"/>
        </w:rPr>
        <w:t xml:space="preserve">. do </w:t>
      </w:r>
      <w:r w:rsidR="00BA26B9" w:rsidRPr="00BA26B9">
        <w:rPr>
          <w:rFonts w:cs="Arial"/>
          <w:color w:val="17365D" w:themeColor="text2" w:themeShade="BF"/>
          <w:szCs w:val="20"/>
        </w:rPr>
        <w:t>2015</w:t>
      </w:r>
      <w:r w:rsidRPr="00BA26B9">
        <w:rPr>
          <w:rFonts w:cs="Arial"/>
          <w:color w:val="17365D" w:themeColor="text2" w:themeShade="BF"/>
          <w:szCs w:val="20"/>
        </w:rPr>
        <w:t xml:space="preserve">. godine broj registriranih poslovnih </w:t>
      </w:r>
      <w:r w:rsidRPr="004857BE">
        <w:rPr>
          <w:rFonts w:cs="Arial"/>
          <w:color w:val="17365D" w:themeColor="text2" w:themeShade="BF"/>
          <w:szCs w:val="20"/>
        </w:rPr>
        <w:t>subjekata varirao je između 22 i 28. Ostvareni prosječ</w:t>
      </w:r>
      <w:r w:rsidR="004857BE" w:rsidRPr="004857BE">
        <w:rPr>
          <w:rFonts w:cs="Arial"/>
          <w:color w:val="17365D" w:themeColor="text2" w:themeShade="BF"/>
          <w:szCs w:val="20"/>
        </w:rPr>
        <w:t>ni prihodi po poduzetniku smanjivali su se iz godine u godinu. U 2011</w:t>
      </w:r>
      <w:r w:rsidRPr="004857BE">
        <w:rPr>
          <w:rFonts w:cs="Arial"/>
          <w:color w:val="17365D" w:themeColor="text2" w:themeShade="BF"/>
          <w:szCs w:val="20"/>
        </w:rPr>
        <w:t xml:space="preserve">. godini </w:t>
      </w:r>
      <w:r w:rsidR="004857BE" w:rsidRPr="004857BE">
        <w:rPr>
          <w:rFonts w:cs="Arial"/>
          <w:color w:val="17365D" w:themeColor="text2" w:themeShade="BF"/>
          <w:szCs w:val="20"/>
        </w:rPr>
        <w:t xml:space="preserve">bili su </w:t>
      </w:r>
      <w:r w:rsidRPr="004857BE">
        <w:rPr>
          <w:rFonts w:cs="Arial"/>
          <w:color w:val="17365D" w:themeColor="text2" w:themeShade="BF"/>
          <w:szCs w:val="20"/>
        </w:rPr>
        <w:t>6,8 milijuna kuna</w:t>
      </w:r>
      <w:r w:rsidR="004857BE" w:rsidRPr="004857BE">
        <w:rPr>
          <w:color w:val="17365D" w:themeColor="text2" w:themeShade="BF"/>
        </w:rPr>
        <w:t xml:space="preserve">, </w:t>
      </w:r>
      <w:r w:rsidRPr="004857BE">
        <w:rPr>
          <w:rFonts w:cs="Arial"/>
          <w:color w:val="17365D" w:themeColor="text2" w:themeShade="BF"/>
          <w:szCs w:val="20"/>
        </w:rPr>
        <w:t>5,5 milijuna kuna</w:t>
      </w:r>
      <w:r w:rsidRPr="004857BE">
        <w:rPr>
          <w:color w:val="17365D" w:themeColor="text2" w:themeShade="BF"/>
        </w:rPr>
        <w:t xml:space="preserve"> </w:t>
      </w:r>
      <w:r w:rsidRPr="004857BE">
        <w:rPr>
          <w:rFonts w:cs="Arial"/>
          <w:color w:val="17365D" w:themeColor="text2" w:themeShade="BF"/>
          <w:szCs w:val="20"/>
        </w:rPr>
        <w:t>u 2012. godini, 3,5 milijuna kuna</w:t>
      </w:r>
      <w:r w:rsidRPr="004857BE">
        <w:rPr>
          <w:color w:val="17365D" w:themeColor="text2" w:themeShade="BF"/>
        </w:rPr>
        <w:t xml:space="preserve"> </w:t>
      </w:r>
      <w:r w:rsidRPr="004857BE">
        <w:rPr>
          <w:rFonts w:cs="Arial"/>
          <w:color w:val="17365D" w:themeColor="text2" w:themeShade="BF"/>
          <w:szCs w:val="20"/>
        </w:rPr>
        <w:t>u 2013.</w:t>
      </w:r>
      <w:r w:rsidRPr="004857BE">
        <w:rPr>
          <w:color w:val="17365D" w:themeColor="text2" w:themeShade="BF"/>
        </w:rPr>
        <w:t xml:space="preserve"> </w:t>
      </w:r>
      <w:r w:rsidRPr="004857BE">
        <w:rPr>
          <w:rFonts w:cs="Arial"/>
          <w:color w:val="17365D" w:themeColor="text2" w:themeShade="BF"/>
          <w:szCs w:val="20"/>
        </w:rPr>
        <w:t>godini</w:t>
      </w:r>
      <w:r w:rsidR="004857BE" w:rsidRPr="004857BE">
        <w:rPr>
          <w:rFonts w:cs="Arial"/>
          <w:color w:val="17365D" w:themeColor="text2" w:themeShade="BF"/>
          <w:szCs w:val="20"/>
        </w:rPr>
        <w:t xml:space="preserve">, </w:t>
      </w:r>
      <w:r w:rsidRPr="004857BE">
        <w:rPr>
          <w:rFonts w:cs="Arial"/>
          <w:color w:val="17365D" w:themeColor="text2" w:themeShade="BF"/>
          <w:szCs w:val="20"/>
        </w:rPr>
        <w:t>3,7 milijuna kuna u 2014. godini</w:t>
      </w:r>
      <w:r w:rsidR="004857BE" w:rsidRPr="004857BE">
        <w:rPr>
          <w:rFonts w:cs="Arial"/>
          <w:color w:val="17365D" w:themeColor="text2" w:themeShade="BF"/>
          <w:szCs w:val="20"/>
        </w:rPr>
        <w:t xml:space="preserve"> te 2,1 milijun kuna u 2015</w:t>
      </w:r>
      <w:r w:rsidRPr="004857BE">
        <w:rPr>
          <w:rFonts w:cs="Arial"/>
          <w:color w:val="17365D" w:themeColor="text2" w:themeShade="BF"/>
          <w:szCs w:val="20"/>
        </w:rPr>
        <w:t>.</w:t>
      </w:r>
      <w:r w:rsidR="004857BE">
        <w:rPr>
          <w:rFonts w:cs="Arial"/>
          <w:color w:val="17365D" w:themeColor="text2" w:themeShade="BF"/>
          <w:szCs w:val="20"/>
        </w:rPr>
        <w:t xml:space="preserve"> </w:t>
      </w:r>
      <w:r w:rsidR="004857BE" w:rsidRPr="004857BE">
        <w:rPr>
          <w:rFonts w:cs="Arial"/>
          <w:color w:val="17365D" w:themeColor="text2" w:themeShade="BF"/>
          <w:szCs w:val="20"/>
        </w:rPr>
        <w:t>godini.</w:t>
      </w:r>
    </w:p>
    <w:p w:rsidR="002640E8" w:rsidRPr="00A8335B" w:rsidRDefault="002640E8" w:rsidP="00462250">
      <w:pPr>
        <w:tabs>
          <w:tab w:val="left" w:pos="1134"/>
        </w:tabs>
        <w:spacing w:before="180" w:after="60"/>
        <w:ind w:left="1134" w:hanging="1134"/>
        <w:jc w:val="left"/>
        <w:rPr>
          <w:rFonts w:cs="Arial"/>
          <w:color w:val="17365D" w:themeColor="text2" w:themeShade="BF"/>
          <w:sz w:val="16"/>
          <w:szCs w:val="16"/>
          <w:lang w:eastAsia="hr-HR"/>
        </w:rPr>
      </w:pPr>
      <w:r w:rsidRPr="00A8335B">
        <w:rPr>
          <w:rFonts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A8335B">
        <w:rPr>
          <w:rFonts w:cs="Arial"/>
          <w:b/>
          <w:color w:val="17365D" w:themeColor="text2" w:themeShade="BF"/>
          <w:sz w:val="18"/>
          <w:szCs w:val="18"/>
          <w:lang w:eastAsia="hr-HR"/>
        </w:rPr>
        <w:tab/>
        <w:t>Osnovni financijski rezultati poslovanja poduzetnika u djelatnosti 47.65 – Trgovina na malo igrama i igračkama u specijaliziranim prodavaonicama za razdoblje od 201</w:t>
      </w:r>
      <w:r w:rsidR="00A8335B" w:rsidRPr="00A8335B">
        <w:rPr>
          <w:rFonts w:cs="Arial"/>
          <w:b/>
          <w:color w:val="17365D" w:themeColor="text2" w:themeShade="BF"/>
          <w:sz w:val="18"/>
          <w:szCs w:val="18"/>
          <w:lang w:eastAsia="hr-HR"/>
        </w:rPr>
        <w:t>1.-2015</w:t>
      </w:r>
      <w:r w:rsidRPr="00A8335B">
        <w:rPr>
          <w:rFonts w:cs="Arial"/>
          <w:b/>
          <w:color w:val="17365D" w:themeColor="text2" w:themeShade="BF"/>
          <w:sz w:val="18"/>
          <w:szCs w:val="18"/>
          <w:lang w:eastAsia="hr-HR"/>
        </w:rPr>
        <w:t>. g</w:t>
      </w:r>
      <w:r w:rsidRPr="00A8335B">
        <w:rPr>
          <w:rFonts w:cs="Arial"/>
          <w:color w:val="17365D" w:themeColor="text2" w:themeShade="BF"/>
          <w:sz w:val="18"/>
          <w:szCs w:val="18"/>
          <w:lang w:eastAsia="hr-HR"/>
        </w:rPr>
        <w:t>.</w:t>
      </w:r>
      <w:r w:rsidRPr="00A8335B">
        <w:rPr>
          <w:rFonts w:cs="Arial"/>
          <w:color w:val="17365D" w:themeColor="text2" w:themeShade="BF"/>
          <w:sz w:val="18"/>
          <w:szCs w:val="18"/>
          <w:vertAlign w:val="superscript"/>
          <w:lang w:eastAsia="hr-HR"/>
        </w:rPr>
        <w:footnoteReference w:id="1"/>
      </w:r>
      <w:r w:rsidRPr="00A8335B">
        <w:rPr>
          <w:rFonts w:cs="Arial"/>
          <w:color w:val="17365D" w:themeColor="text2" w:themeShade="BF"/>
          <w:sz w:val="18"/>
          <w:szCs w:val="18"/>
          <w:lang w:eastAsia="hr-HR"/>
        </w:rPr>
        <w:tab/>
        <w:t>(i</w:t>
      </w:r>
      <w:r w:rsidRPr="00A8335B">
        <w:rPr>
          <w:rFonts w:cs="Arial"/>
          <w:i/>
          <w:color w:val="17365D" w:themeColor="text2" w:themeShade="BF"/>
          <w:sz w:val="16"/>
          <w:szCs w:val="16"/>
          <w:lang w:eastAsia="hr-HR"/>
        </w:rPr>
        <w:t>znosi: u tisućama kuna)</w:t>
      </w:r>
    </w:p>
    <w:tbl>
      <w:tblPr>
        <w:tblW w:w="9865" w:type="dxa"/>
        <w:jc w:val="center"/>
        <w:tblLayout w:type="fixed"/>
        <w:tblLook w:val="00A0" w:firstRow="1" w:lastRow="0" w:firstColumn="1" w:lastColumn="0" w:noHBand="0" w:noVBand="0"/>
      </w:tblPr>
      <w:tblGrid>
        <w:gridCol w:w="3175"/>
        <w:gridCol w:w="1357"/>
        <w:gridCol w:w="1066"/>
        <w:gridCol w:w="1067"/>
        <w:gridCol w:w="1066"/>
        <w:gridCol w:w="1067"/>
        <w:gridCol w:w="1067"/>
      </w:tblGrid>
      <w:tr w:rsidR="00A8335B" w:rsidRPr="00A8335B" w:rsidTr="00B150A4">
        <w:trPr>
          <w:trHeight w:val="397"/>
          <w:jc w:val="center"/>
        </w:trPr>
        <w:tc>
          <w:tcPr>
            <w:tcW w:w="3175" w:type="dxa"/>
            <w:vMerge w:val="restart"/>
            <w:tcBorders>
              <w:top w:val="single" w:sz="4" w:space="0" w:color="00325A"/>
              <w:left w:val="nil"/>
              <w:bottom w:val="single" w:sz="4" w:space="0" w:color="00325A"/>
              <w:right w:val="single" w:sz="4" w:space="0" w:color="FFFFFF"/>
            </w:tcBorders>
            <w:shd w:val="clear" w:color="000000" w:fill="00325A"/>
            <w:vAlign w:val="center"/>
          </w:tcPr>
          <w:p w:rsidR="002640E8" w:rsidRPr="00A8335B" w:rsidRDefault="002640E8" w:rsidP="00537806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A8335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3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</w:tcPr>
          <w:p w:rsidR="002640E8" w:rsidRPr="00A8335B" w:rsidRDefault="002640E8" w:rsidP="00537806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A8335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Odjeljak 47</w:t>
            </w:r>
            <w:r w:rsidRPr="00A8335B">
              <w:rPr>
                <w:rFonts w:cs="Arial"/>
                <w:b/>
                <w:bCs/>
                <w:color w:val="FFFFFF" w:themeColor="background1"/>
                <w:sz w:val="16"/>
                <w:szCs w:val="16"/>
                <w:vertAlign w:val="superscript"/>
                <w:lang w:eastAsia="hr-HR"/>
              </w:rPr>
              <w:footnoteReference w:id="2"/>
            </w:r>
          </w:p>
        </w:tc>
        <w:tc>
          <w:tcPr>
            <w:tcW w:w="5333" w:type="dxa"/>
            <w:gridSpan w:val="5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</w:tcPr>
          <w:p w:rsidR="002640E8" w:rsidRPr="00A8335B" w:rsidRDefault="002640E8" w:rsidP="00537806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A8335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Razred djelatnosti 47.65</w:t>
            </w:r>
            <w:r w:rsidRPr="00A8335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br/>
            </w:r>
            <w:r w:rsidRPr="00A8335B">
              <w:rPr>
                <w:rFonts w:cs="Arial"/>
                <w:bCs/>
                <w:color w:val="FFFFFF" w:themeColor="background1"/>
                <w:sz w:val="16"/>
                <w:szCs w:val="16"/>
                <w:lang w:eastAsia="hr-HR"/>
              </w:rPr>
              <w:t>(tekuće razdoblje iz godišnjeg financijskog izvještaja)</w:t>
            </w:r>
          </w:p>
        </w:tc>
      </w:tr>
      <w:tr w:rsidR="00A8335B" w:rsidRPr="00A8335B" w:rsidTr="004777B5">
        <w:trPr>
          <w:trHeight w:val="227"/>
          <w:jc w:val="center"/>
        </w:trPr>
        <w:tc>
          <w:tcPr>
            <w:tcW w:w="3175" w:type="dxa"/>
            <w:vMerge/>
            <w:tcBorders>
              <w:top w:val="single" w:sz="4" w:space="0" w:color="00325A"/>
              <w:left w:val="nil"/>
              <w:bottom w:val="single" w:sz="4" w:space="0" w:color="BFBFBF"/>
              <w:right w:val="single" w:sz="4" w:space="0" w:color="FFFFFF"/>
            </w:tcBorders>
            <w:vAlign w:val="center"/>
          </w:tcPr>
          <w:p w:rsidR="00A8335B" w:rsidRPr="00A8335B" w:rsidRDefault="00A8335B" w:rsidP="00537806">
            <w:pPr>
              <w:spacing w:line="240" w:lineRule="auto"/>
              <w:jc w:val="left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25A"/>
            <w:vAlign w:val="center"/>
          </w:tcPr>
          <w:p w:rsidR="00A8335B" w:rsidRPr="00A8335B" w:rsidRDefault="00A8335B" w:rsidP="00537806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A8335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2015.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16365C"/>
            <w:noWrap/>
            <w:vAlign w:val="center"/>
          </w:tcPr>
          <w:p w:rsidR="00A8335B" w:rsidRPr="00A8335B" w:rsidRDefault="00A8335B" w:rsidP="00537806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A8335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2011.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16365C"/>
            <w:noWrap/>
            <w:vAlign w:val="center"/>
          </w:tcPr>
          <w:p w:rsidR="00A8335B" w:rsidRPr="00A8335B" w:rsidRDefault="00A8335B" w:rsidP="00537806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A8335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2012.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16365C"/>
            <w:noWrap/>
            <w:vAlign w:val="center"/>
          </w:tcPr>
          <w:p w:rsidR="00A8335B" w:rsidRPr="00A8335B" w:rsidRDefault="00A8335B" w:rsidP="00537806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A8335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2013.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16365C"/>
            <w:noWrap/>
            <w:vAlign w:val="center"/>
          </w:tcPr>
          <w:p w:rsidR="00A8335B" w:rsidRPr="00A8335B" w:rsidRDefault="00A8335B" w:rsidP="00537806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A8335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2014.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16365C"/>
            <w:noWrap/>
            <w:vAlign w:val="center"/>
          </w:tcPr>
          <w:p w:rsidR="00A8335B" w:rsidRPr="00A8335B" w:rsidRDefault="00A8335B" w:rsidP="00537806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A8335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2015.</w:t>
            </w:r>
          </w:p>
        </w:tc>
      </w:tr>
      <w:tr w:rsidR="00BA26B9" w:rsidRPr="00A8335B" w:rsidTr="00537806">
        <w:trPr>
          <w:trHeight w:val="283"/>
          <w:jc w:val="center"/>
        </w:trPr>
        <w:tc>
          <w:tcPr>
            <w:tcW w:w="3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</w:tcPr>
          <w:p w:rsidR="00BA26B9" w:rsidRPr="00A8335B" w:rsidRDefault="00BA26B9" w:rsidP="0053780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A8335B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 xml:space="preserve">Broj poduzetnika </w:t>
            </w:r>
          </w:p>
        </w:tc>
        <w:tc>
          <w:tcPr>
            <w:tcW w:w="13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8.349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24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24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22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28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25 </w:t>
            </w:r>
          </w:p>
        </w:tc>
      </w:tr>
      <w:tr w:rsidR="00BA26B9" w:rsidRPr="00A8335B" w:rsidTr="00537806">
        <w:trPr>
          <w:trHeight w:val="283"/>
          <w:jc w:val="center"/>
        </w:trPr>
        <w:tc>
          <w:tcPr>
            <w:tcW w:w="3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</w:tcPr>
          <w:p w:rsidR="00BA26B9" w:rsidRPr="00A8335B" w:rsidRDefault="00BA26B9" w:rsidP="0053780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A8335B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 xml:space="preserve">Broj zaposlenih </w:t>
            </w:r>
          </w:p>
        </w:tc>
        <w:tc>
          <w:tcPr>
            <w:tcW w:w="13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91.027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184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328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233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305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150 </w:t>
            </w:r>
          </w:p>
        </w:tc>
      </w:tr>
      <w:tr w:rsidR="00BA26B9" w:rsidRPr="00A8335B" w:rsidTr="00537806">
        <w:trPr>
          <w:trHeight w:val="283"/>
          <w:jc w:val="center"/>
        </w:trPr>
        <w:tc>
          <w:tcPr>
            <w:tcW w:w="3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</w:tcPr>
          <w:p w:rsidR="00BA26B9" w:rsidRPr="00A8335B" w:rsidRDefault="00BA26B9" w:rsidP="0053780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A8335B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 xml:space="preserve">Ukupni prihodi </w:t>
            </w:r>
          </w:p>
        </w:tc>
        <w:tc>
          <w:tcPr>
            <w:tcW w:w="13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87.199.787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162.167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132.546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78.087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103.211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53.222 </w:t>
            </w:r>
          </w:p>
        </w:tc>
      </w:tr>
      <w:tr w:rsidR="00BA26B9" w:rsidRPr="00A8335B" w:rsidTr="00537806">
        <w:trPr>
          <w:trHeight w:val="283"/>
          <w:jc w:val="center"/>
        </w:trPr>
        <w:tc>
          <w:tcPr>
            <w:tcW w:w="3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</w:tcPr>
          <w:p w:rsidR="00BA26B9" w:rsidRPr="00A8335B" w:rsidRDefault="00BA26B9" w:rsidP="0053780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A8335B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 xml:space="preserve">Ukupni rashodi </w:t>
            </w:r>
          </w:p>
        </w:tc>
        <w:tc>
          <w:tcPr>
            <w:tcW w:w="13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85.640.886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166.325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154.488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86.816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111.162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51.970 </w:t>
            </w:r>
          </w:p>
        </w:tc>
      </w:tr>
      <w:tr w:rsidR="00BA26B9" w:rsidRPr="00A8335B" w:rsidTr="00537806">
        <w:trPr>
          <w:trHeight w:val="283"/>
          <w:jc w:val="center"/>
        </w:trPr>
        <w:tc>
          <w:tcPr>
            <w:tcW w:w="3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</w:tcPr>
          <w:p w:rsidR="00BA26B9" w:rsidRPr="00A8335B" w:rsidRDefault="00BA26B9" w:rsidP="0053780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A8335B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 xml:space="preserve">Dobit razdoblja </w:t>
            </w:r>
          </w:p>
        </w:tc>
        <w:tc>
          <w:tcPr>
            <w:tcW w:w="13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2.229.419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1.109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2.847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1.129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2.795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1.310 </w:t>
            </w:r>
          </w:p>
        </w:tc>
      </w:tr>
      <w:tr w:rsidR="00BA26B9" w:rsidRPr="00A8335B" w:rsidTr="00537806">
        <w:trPr>
          <w:trHeight w:val="283"/>
          <w:jc w:val="center"/>
        </w:trPr>
        <w:tc>
          <w:tcPr>
            <w:tcW w:w="3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</w:tcPr>
          <w:p w:rsidR="00BA26B9" w:rsidRPr="00A8335B" w:rsidRDefault="00BA26B9" w:rsidP="0053780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A8335B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 xml:space="preserve">Gubitak razdoblja </w:t>
            </w:r>
          </w:p>
        </w:tc>
        <w:tc>
          <w:tcPr>
            <w:tcW w:w="13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1.056.484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2.400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25.513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10.158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11.409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388 </w:t>
            </w:r>
          </w:p>
        </w:tc>
      </w:tr>
      <w:tr w:rsidR="00BA26B9" w:rsidRPr="00A8335B" w:rsidTr="00537806">
        <w:trPr>
          <w:trHeight w:val="283"/>
          <w:jc w:val="center"/>
        </w:trPr>
        <w:tc>
          <w:tcPr>
            <w:tcW w:w="3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</w:tcPr>
          <w:p w:rsidR="00BA26B9" w:rsidRPr="00A8335B" w:rsidRDefault="00BA26B9" w:rsidP="00537806">
            <w:pPr>
              <w:spacing w:line="240" w:lineRule="auto"/>
              <w:jc w:val="left"/>
              <w:rPr>
                <w:rFonts w:cs="Arial"/>
                <w:b/>
                <w:color w:val="17365D" w:themeColor="text2" w:themeShade="BF"/>
                <w:sz w:val="18"/>
                <w:szCs w:val="18"/>
                <w:lang w:eastAsia="hr-HR"/>
              </w:rPr>
            </w:pPr>
            <w:r w:rsidRPr="00A8335B">
              <w:rPr>
                <w:rFonts w:cs="Arial"/>
                <w:b/>
                <w:color w:val="17365D" w:themeColor="text2" w:themeShade="BF"/>
                <w:sz w:val="18"/>
                <w:szCs w:val="18"/>
                <w:lang w:eastAsia="hr-HR"/>
              </w:rPr>
              <w:t>Dobit ili gubitak razdoblja</w:t>
            </w:r>
          </w:p>
        </w:tc>
        <w:tc>
          <w:tcPr>
            <w:tcW w:w="13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6365C"/>
                <w:sz w:val="18"/>
                <w:szCs w:val="18"/>
              </w:rPr>
              <w:t xml:space="preserve">1.172.934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-1.291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-22.665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-9.029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-8.614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6365C"/>
                <w:sz w:val="18"/>
                <w:szCs w:val="18"/>
              </w:rPr>
              <w:t xml:space="preserve">921 </w:t>
            </w:r>
          </w:p>
        </w:tc>
      </w:tr>
      <w:tr w:rsidR="00BA26B9" w:rsidRPr="00A8335B" w:rsidTr="00537806">
        <w:trPr>
          <w:trHeight w:val="283"/>
          <w:jc w:val="center"/>
        </w:trPr>
        <w:tc>
          <w:tcPr>
            <w:tcW w:w="3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</w:tcPr>
          <w:p w:rsidR="00BA26B9" w:rsidRPr="00A8335B" w:rsidRDefault="00BA26B9" w:rsidP="0053780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A8335B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 xml:space="preserve">Izvoz </w:t>
            </w:r>
          </w:p>
        </w:tc>
        <w:tc>
          <w:tcPr>
            <w:tcW w:w="13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1.305.933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29.448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16.104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1.623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2.080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3.356 </w:t>
            </w:r>
          </w:p>
        </w:tc>
      </w:tr>
      <w:tr w:rsidR="00BA26B9" w:rsidRPr="00A8335B" w:rsidTr="00537806">
        <w:trPr>
          <w:trHeight w:val="283"/>
          <w:jc w:val="center"/>
        </w:trPr>
        <w:tc>
          <w:tcPr>
            <w:tcW w:w="3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</w:tcPr>
          <w:p w:rsidR="00BA26B9" w:rsidRPr="00A8335B" w:rsidRDefault="00BA26B9" w:rsidP="0053780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A8335B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 xml:space="preserve">Uvoz </w:t>
            </w:r>
          </w:p>
        </w:tc>
        <w:tc>
          <w:tcPr>
            <w:tcW w:w="13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10.822.283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82.023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55.439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9.514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8.804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5.837 </w:t>
            </w:r>
          </w:p>
        </w:tc>
      </w:tr>
      <w:tr w:rsidR="00BA26B9" w:rsidRPr="00A8335B" w:rsidTr="00537806">
        <w:trPr>
          <w:trHeight w:val="283"/>
          <w:jc w:val="center"/>
        </w:trPr>
        <w:tc>
          <w:tcPr>
            <w:tcW w:w="3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</w:tcPr>
          <w:p w:rsidR="00BA26B9" w:rsidRPr="00A8335B" w:rsidRDefault="00BA26B9" w:rsidP="0053780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A8335B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 xml:space="preserve">Trgovinski saldo (izvoz minus uvoz) </w:t>
            </w:r>
          </w:p>
        </w:tc>
        <w:tc>
          <w:tcPr>
            <w:tcW w:w="13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-9.516.350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-52.575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-39.335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-7.891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-6.724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-2.480 </w:t>
            </w:r>
          </w:p>
        </w:tc>
      </w:tr>
      <w:tr w:rsidR="00BA26B9" w:rsidRPr="00A8335B" w:rsidTr="00537806">
        <w:trPr>
          <w:trHeight w:val="283"/>
          <w:jc w:val="center"/>
        </w:trPr>
        <w:tc>
          <w:tcPr>
            <w:tcW w:w="3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</w:tcPr>
          <w:p w:rsidR="00BA26B9" w:rsidRPr="00A8335B" w:rsidRDefault="00BA26B9" w:rsidP="0053780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A8335B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 xml:space="preserve">Investicije u novu dugotrajnu imovinu </w:t>
            </w:r>
          </w:p>
        </w:tc>
        <w:tc>
          <w:tcPr>
            <w:tcW w:w="13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1.992.544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6.132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5.557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939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1.232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1.093 </w:t>
            </w:r>
          </w:p>
        </w:tc>
      </w:tr>
      <w:tr w:rsidR="00BA26B9" w:rsidRPr="00A8335B" w:rsidTr="00537806">
        <w:trPr>
          <w:trHeight w:val="459"/>
          <w:jc w:val="center"/>
        </w:trPr>
        <w:tc>
          <w:tcPr>
            <w:tcW w:w="31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</w:tcPr>
          <w:p w:rsidR="00BA26B9" w:rsidRPr="00A8335B" w:rsidRDefault="00BA26B9" w:rsidP="0053780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A8335B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 xml:space="preserve">Prosječne mjesečne neto plaće po zaposlenom </w:t>
            </w:r>
          </w:p>
        </w:tc>
        <w:tc>
          <w:tcPr>
            <w:tcW w:w="13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4.288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4.180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2.641 </w:t>
            </w:r>
          </w:p>
        </w:tc>
        <w:tc>
          <w:tcPr>
            <w:tcW w:w="1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2.923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2.904 </w:t>
            </w:r>
          </w:p>
        </w:tc>
        <w:tc>
          <w:tcPr>
            <w:tcW w:w="1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A26B9" w:rsidRDefault="00BA26B9" w:rsidP="0053780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3.088 </w:t>
            </w:r>
          </w:p>
        </w:tc>
      </w:tr>
    </w:tbl>
    <w:p w:rsidR="002640E8" w:rsidRPr="00A8335B" w:rsidRDefault="002640E8" w:rsidP="00B150A4">
      <w:pPr>
        <w:spacing w:before="40"/>
        <w:rPr>
          <w:color w:val="17365D" w:themeColor="text2" w:themeShade="BF"/>
        </w:rPr>
      </w:pPr>
      <w:r w:rsidRPr="00A8335B">
        <w:rPr>
          <w:rFonts w:cs="Arial"/>
          <w:i/>
          <w:color w:val="17365D" w:themeColor="text2" w:themeShade="BF"/>
          <w:sz w:val="16"/>
          <w:szCs w:val="16"/>
          <w:lang w:eastAsia="hr-HR"/>
        </w:rPr>
        <w:t>Izvor: Fina – Registar godišnjih financijskih izvještaja</w:t>
      </w:r>
    </w:p>
    <w:p w:rsidR="002640E8" w:rsidRPr="0054591A" w:rsidRDefault="002640E8" w:rsidP="00612009">
      <w:pPr>
        <w:spacing w:before="180"/>
        <w:rPr>
          <w:rFonts w:cs="Arial"/>
          <w:color w:val="17365D" w:themeColor="text2" w:themeShade="BF"/>
          <w:szCs w:val="20"/>
        </w:rPr>
      </w:pPr>
      <w:r w:rsidRPr="0054591A">
        <w:rPr>
          <w:rFonts w:cs="Arial"/>
          <w:color w:val="17365D" w:themeColor="text2" w:themeShade="BF"/>
          <w:szCs w:val="20"/>
        </w:rPr>
        <w:t xml:space="preserve">Najveći udio u ukupnim prihodima poduzetnika u djelatnosti trgovine na malo igrama i igračkama u specijaliziranim prodavaonicama </w:t>
      </w:r>
      <w:r w:rsidR="001E275F" w:rsidRPr="0054591A">
        <w:rPr>
          <w:rFonts w:cs="Arial"/>
          <w:color w:val="17365D" w:themeColor="text2" w:themeShade="BF"/>
          <w:szCs w:val="20"/>
        </w:rPr>
        <w:t>u 2011. i 2012. godini</w:t>
      </w:r>
      <w:r w:rsidRPr="0054591A">
        <w:rPr>
          <w:rFonts w:cs="Arial"/>
          <w:color w:val="17365D" w:themeColor="text2" w:themeShade="BF"/>
          <w:szCs w:val="20"/>
        </w:rPr>
        <w:t xml:space="preserve"> imalo je društvo one2play d.o.o. u stečaju</w:t>
      </w:r>
      <w:r w:rsidRPr="0054591A">
        <w:rPr>
          <w:rStyle w:val="FootnoteReference"/>
          <w:rFonts w:cs="Arial"/>
          <w:color w:val="17365D" w:themeColor="text2" w:themeShade="BF"/>
          <w:szCs w:val="20"/>
        </w:rPr>
        <w:footnoteReference w:id="3"/>
      </w:r>
      <w:r w:rsidR="001E275F" w:rsidRPr="0054591A">
        <w:rPr>
          <w:rFonts w:cs="Arial"/>
          <w:color w:val="17365D" w:themeColor="text2" w:themeShade="BF"/>
          <w:szCs w:val="20"/>
        </w:rPr>
        <w:t xml:space="preserve">, u 2010., 2013. i 2014. godini društvo </w:t>
      </w:r>
      <w:r w:rsidRPr="0054591A">
        <w:rPr>
          <w:rFonts w:cs="Arial"/>
          <w:color w:val="17365D" w:themeColor="text2" w:themeShade="BF"/>
          <w:szCs w:val="20"/>
        </w:rPr>
        <w:t>one2play maloprodaja d.o.o.</w:t>
      </w:r>
      <w:r w:rsidR="0054591A" w:rsidRPr="0054591A">
        <w:rPr>
          <w:rFonts w:cs="Arial"/>
          <w:color w:val="17365D" w:themeColor="text2" w:themeShade="BF"/>
          <w:szCs w:val="20"/>
        </w:rPr>
        <w:t xml:space="preserve">, a u 2015. godini </w:t>
      </w:r>
      <w:hyperlink r:id="rId9" w:history="1">
        <w:r w:rsidR="0054591A" w:rsidRPr="006B5814">
          <w:rPr>
            <w:rStyle w:val="Hyperlink"/>
            <w:rFonts w:cs="Arial"/>
            <w:szCs w:val="20"/>
          </w:rPr>
          <w:t xml:space="preserve">EUROM </w:t>
        </w:r>
        <w:r w:rsidR="0054591A" w:rsidRPr="006B5814">
          <w:rPr>
            <w:rStyle w:val="Hyperlink"/>
            <w:rFonts w:cs="Arial"/>
            <w:szCs w:val="20"/>
          </w:rPr>
          <w:t>DENIS MALOPRODAJA d.o.o.</w:t>
        </w:r>
      </w:hyperlink>
    </w:p>
    <w:p w:rsidR="000B69F1" w:rsidRPr="00D1372B" w:rsidRDefault="000B69F1" w:rsidP="003D0D64">
      <w:pPr>
        <w:spacing w:before="120"/>
        <w:rPr>
          <w:rFonts w:cs="Arial"/>
          <w:color w:val="17365D" w:themeColor="text2" w:themeShade="BF"/>
          <w:szCs w:val="20"/>
        </w:rPr>
      </w:pPr>
      <w:r w:rsidRPr="00D1372B">
        <w:rPr>
          <w:rFonts w:cs="Arial"/>
          <w:color w:val="17365D" w:themeColor="text2" w:themeShade="BF"/>
          <w:szCs w:val="20"/>
        </w:rPr>
        <w:t xml:space="preserve">Konsolidirani financijski rezultat poslovanja </w:t>
      </w:r>
      <w:r w:rsidR="00CF120F">
        <w:rPr>
          <w:rFonts w:cs="Arial"/>
          <w:color w:val="17365D" w:themeColor="text2" w:themeShade="BF"/>
          <w:szCs w:val="20"/>
        </w:rPr>
        <w:t>razreda</w:t>
      </w:r>
      <w:r w:rsidRPr="00D1372B">
        <w:rPr>
          <w:rFonts w:cs="Arial"/>
          <w:color w:val="17365D" w:themeColor="text2" w:themeShade="BF"/>
          <w:szCs w:val="20"/>
        </w:rPr>
        <w:t xml:space="preserve"> djelatnosti 47.65 – Trgovina na malo igrama i igračkama u specijaliziranim prodavaonic</w:t>
      </w:r>
      <w:r w:rsidR="00D1372B" w:rsidRPr="00D1372B">
        <w:rPr>
          <w:rFonts w:cs="Arial"/>
          <w:color w:val="17365D" w:themeColor="text2" w:themeShade="BF"/>
          <w:szCs w:val="20"/>
        </w:rPr>
        <w:t>ama bio je pozitivan samo u 2015</w:t>
      </w:r>
      <w:r w:rsidRPr="00D1372B">
        <w:rPr>
          <w:rFonts w:cs="Arial"/>
          <w:color w:val="17365D" w:themeColor="text2" w:themeShade="BF"/>
          <w:szCs w:val="20"/>
        </w:rPr>
        <w:t xml:space="preserve">. godini i neto dobit je iznosila </w:t>
      </w:r>
      <w:r w:rsidR="00D1372B" w:rsidRPr="00D1372B">
        <w:rPr>
          <w:rFonts w:cs="Arial"/>
          <w:color w:val="17365D" w:themeColor="text2" w:themeShade="BF"/>
          <w:szCs w:val="20"/>
        </w:rPr>
        <w:t>921</w:t>
      </w:r>
      <w:r w:rsidRPr="00D1372B">
        <w:rPr>
          <w:rFonts w:cs="Arial"/>
          <w:color w:val="17365D" w:themeColor="text2" w:themeShade="BF"/>
          <w:szCs w:val="20"/>
        </w:rPr>
        <w:t xml:space="preserve"> </w:t>
      </w:r>
      <w:r w:rsidR="005B3FD6">
        <w:rPr>
          <w:rFonts w:cs="Arial"/>
          <w:color w:val="17365D" w:themeColor="text2" w:themeShade="BF"/>
          <w:szCs w:val="20"/>
        </w:rPr>
        <w:t>tisuću</w:t>
      </w:r>
      <w:r w:rsidRPr="00D1372B">
        <w:rPr>
          <w:rFonts w:cs="Arial"/>
          <w:color w:val="17365D" w:themeColor="text2" w:themeShade="BF"/>
          <w:szCs w:val="20"/>
        </w:rPr>
        <w:t xml:space="preserve"> kuna. U razdoblju od 2011. do 2014. godine iskazan je neto gubitak, a najveći neto gubitak bio je 2012. godine i iznosio je 22,7 milijuna kuna.</w:t>
      </w:r>
    </w:p>
    <w:p w:rsidR="00983E09" w:rsidRDefault="00983E09" w:rsidP="00983E09">
      <w:pPr>
        <w:spacing w:before="120"/>
        <w:rPr>
          <w:rFonts w:cs="Arial"/>
          <w:color w:val="17365D"/>
          <w:szCs w:val="20"/>
        </w:rPr>
      </w:pPr>
      <w:r>
        <w:rPr>
          <w:rFonts w:cs="Arial"/>
          <w:color w:val="17365D"/>
          <w:szCs w:val="20"/>
        </w:rPr>
        <w:t>Navedeni gubitak rezultat je poslovanja tvrtke one2play d.o.o. u stečaju</w:t>
      </w:r>
      <w:r w:rsidRPr="00B96338">
        <w:rPr>
          <w:rStyle w:val="FootnoteReference"/>
          <w:color w:val="244061"/>
          <w:szCs w:val="20"/>
        </w:rPr>
        <w:footnoteReference w:id="4"/>
      </w:r>
      <w:r>
        <w:rPr>
          <w:rFonts w:cs="Arial"/>
          <w:color w:val="17365D"/>
          <w:szCs w:val="20"/>
        </w:rPr>
        <w:t xml:space="preserve"> koja je u 2012. godina iskazala 24,7 milijuna kuna gubitka te pokrenula postupak predstečajne nagodbe. S obzirom da predstečajna nagodba nije uspjela, pokrenut je stečaj.</w:t>
      </w:r>
      <w:r>
        <w:rPr>
          <w:rStyle w:val="FootnoteReference"/>
          <w:rFonts w:cs="Arial"/>
          <w:color w:val="17365D"/>
          <w:szCs w:val="20"/>
        </w:rPr>
        <w:footnoteReference w:id="5"/>
      </w:r>
      <w:r w:rsidRPr="00E5018E">
        <w:t xml:space="preserve"> </w:t>
      </w:r>
      <w:r w:rsidRPr="00E5018E">
        <w:rPr>
          <w:rFonts w:cs="Arial"/>
          <w:color w:val="17365D"/>
          <w:szCs w:val="20"/>
        </w:rPr>
        <w:t>Odlukom Skupštine članova društva od 12.</w:t>
      </w:r>
      <w:r w:rsidR="00B1201B">
        <w:rPr>
          <w:rFonts w:cs="Arial"/>
          <w:color w:val="17365D"/>
          <w:szCs w:val="20"/>
        </w:rPr>
        <w:t xml:space="preserve"> studenoga </w:t>
      </w:r>
      <w:r w:rsidRPr="00E5018E">
        <w:rPr>
          <w:rFonts w:cs="Arial"/>
          <w:color w:val="17365D"/>
          <w:szCs w:val="20"/>
        </w:rPr>
        <w:t>2012. godine</w:t>
      </w:r>
      <w:r w:rsidR="00B1201B">
        <w:rPr>
          <w:rFonts w:cs="Arial"/>
          <w:color w:val="17365D"/>
          <w:szCs w:val="20"/>
        </w:rPr>
        <w:t xml:space="preserve">, </w:t>
      </w:r>
      <w:r w:rsidR="00B1201B" w:rsidRPr="00B1201B">
        <w:rPr>
          <w:rFonts w:cs="Arial"/>
          <w:color w:val="17365D"/>
          <w:szCs w:val="20"/>
        </w:rPr>
        <w:t xml:space="preserve">one2play d.o.o. </w:t>
      </w:r>
      <w:r w:rsidR="00B1201B">
        <w:rPr>
          <w:rFonts w:cs="Arial"/>
          <w:color w:val="17365D"/>
          <w:szCs w:val="20"/>
        </w:rPr>
        <w:t xml:space="preserve">je </w:t>
      </w:r>
      <w:r>
        <w:rPr>
          <w:rFonts w:cs="Arial"/>
          <w:color w:val="17365D"/>
          <w:szCs w:val="20"/>
        </w:rPr>
        <w:t>p</w:t>
      </w:r>
      <w:r w:rsidRPr="00E5018E">
        <w:rPr>
          <w:rFonts w:cs="Arial"/>
          <w:color w:val="17365D"/>
          <w:szCs w:val="20"/>
        </w:rPr>
        <w:t>odijeljen</w:t>
      </w:r>
      <w:r>
        <w:rPr>
          <w:rFonts w:cs="Arial"/>
          <w:color w:val="17365D"/>
          <w:szCs w:val="20"/>
        </w:rPr>
        <w:t xml:space="preserve"> </w:t>
      </w:r>
      <w:r w:rsidRPr="00E5018E">
        <w:rPr>
          <w:rFonts w:cs="Arial"/>
          <w:color w:val="17365D"/>
          <w:szCs w:val="20"/>
        </w:rPr>
        <w:t xml:space="preserve">tj. osnovano je novo društvo na koje je prenesen dio imovine društva koje je podijeljeno na </w:t>
      </w:r>
      <w:hyperlink r:id="rId10" w:history="1">
        <w:r w:rsidRPr="006B5814">
          <w:rPr>
            <w:rStyle w:val="Hyperlink"/>
            <w:rFonts w:cs="Arial"/>
            <w:szCs w:val="20"/>
          </w:rPr>
          <w:t>one2play d.o.o.</w:t>
        </w:r>
      </w:hyperlink>
      <w:r w:rsidRPr="00E5018E">
        <w:rPr>
          <w:rFonts w:cs="Arial"/>
          <w:color w:val="17365D"/>
          <w:szCs w:val="20"/>
        </w:rPr>
        <w:t xml:space="preserve">, i na </w:t>
      </w:r>
      <w:hyperlink r:id="rId11" w:history="1">
        <w:r w:rsidRPr="006B5814">
          <w:rPr>
            <w:rStyle w:val="Hyperlink"/>
            <w:rFonts w:cs="Arial"/>
            <w:szCs w:val="20"/>
          </w:rPr>
          <w:t>one2play maloprodaja d.o.o.</w:t>
        </w:r>
      </w:hyperlink>
      <w:r>
        <w:rPr>
          <w:rFonts w:cs="Arial"/>
          <w:color w:val="17365D"/>
          <w:szCs w:val="20"/>
        </w:rPr>
        <w:t xml:space="preserve"> </w:t>
      </w:r>
      <w:r w:rsidR="00B1201B">
        <w:rPr>
          <w:rFonts w:cs="Arial"/>
          <w:color w:val="17365D"/>
          <w:szCs w:val="20"/>
        </w:rPr>
        <w:t>Navedena društva</w:t>
      </w:r>
      <w:r w:rsidR="003D00FD">
        <w:rPr>
          <w:rFonts w:cs="Arial"/>
          <w:color w:val="17365D"/>
          <w:szCs w:val="20"/>
        </w:rPr>
        <w:t xml:space="preserve"> </w:t>
      </w:r>
      <w:r w:rsidR="009A3DC0">
        <w:rPr>
          <w:rFonts w:cs="Arial"/>
          <w:color w:val="17365D"/>
          <w:szCs w:val="20"/>
        </w:rPr>
        <w:t>nisu predal</w:t>
      </w:r>
      <w:r w:rsidR="00B1201B">
        <w:rPr>
          <w:rFonts w:cs="Arial"/>
          <w:color w:val="17365D"/>
          <w:szCs w:val="20"/>
        </w:rPr>
        <w:t>a</w:t>
      </w:r>
      <w:r w:rsidR="003D00FD">
        <w:rPr>
          <w:rFonts w:cs="Arial"/>
          <w:color w:val="17365D"/>
          <w:szCs w:val="20"/>
        </w:rPr>
        <w:t xml:space="preserve"> godišnje financijsko izviješće </w:t>
      </w:r>
      <w:r w:rsidR="003D00FD">
        <w:rPr>
          <w:rFonts w:cs="Arial"/>
          <w:color w:val="17365D"/>
          <w:szCs w:val="20"/>
        </w:rPr>
        <w:lastRenderedPageBreak/>
        <w:t xml:space="preserve">za 2015. godinu u Registar godišnjih financijskih izvještaja. </w:t>
      </w:r>
      <w:r w:rsidR="00A0399C">
        <w:rPr>
          <w:rFonts w:cs="Arial"/>
          <w:color w:val="17365D"/>
          <w:szCs w:val="20"/>
        </w:rPr>
        <w:t xml:space="preserve">Rješenjem Trgovačkog suda u Zagrebu </w:t>
      </w:r>
      <w:r w:rsidR="004777B5">
        <w:rPr>
          <w:rFonts w:cs="Arial"/>
          <w:color w:val="17365D"/>
          <w:szCs w:val="20"/>
        </w:rPr>
        <w:t>društvo</w:t>
      </w:r>
      <w:r w:rsidR="00A0399C">
        <w:rPr>
          <w:rFonts w:cs="Arial"/>
          <w:color w:val="17365D"/>
          <w:szCs w:val="20"/>
        </w:rPr>
        <w:t xml:space="preserve"> </w:t>
      </w:r>
      <w:hyperlink r:id="rId12" w:history="1">
        <w:r w:rsidR="003D00FD" w:rsidRPr="006B5814">
          <w:rPr>
            <w:rStyle w:val="Hyperlink"/>
            <w:rFonts w:cs="Arial"/>
            <w:szCs w:val="20"/>
          </w:rPr>
          <w:t>one2play d.o.o.</w:t>
        </w:r>
      </w:hyperlink>
      <w:r w:rsidR="003D00FD" w:rsidRPr="00E5018E">
        <w:rPr>
          <w:rFonts w:cs="Arial"/>
          <w:color w:val="17365D"/>
          <w:szCs w:val="20"/>
        </w:rPr>
        <w:t xml:space="preserve"> za proizvodnju i trgovinu</w:t>
      </w:r>
      <w:r w:rsidR="004777B5">
        <w:rPr>
          <w:rFonts w:cs="Arial"/>
          <w:color w:val="17365D"/>
          <w:szCs w:val="20"/>
        </w:rPr>
        <w:t xml:space="preserve"> </w:t>
      </w:r>
      <w:r w:rsidR="00A0399C">
        <w:rPr>
          <w:rFonts w:cs="Arial"/>
          <w:color w:val="17365D"/>
          <w:szCs w:val="20"/>
        </w:rPr>
        <w:t>brisan</w:t>
      </w:r>
      <w:r w:rsidR="00802F90">
        <w:rPr>
          <w:rFonts w:cs="Arial"/>
          <w:color w:val="17365D"/>
          <w:szCs w:val="20"/>
        </w:rPr>
        <w:t>o</w:t>
      </w:r>
      <w:r w:rsidR="00A0399C">
        <w:rPr>
          <w:rFonts w:cs="Arial"/>
          <w:color w:val="17365D"/>
          <w:szCs w:val="20"/>
        </w:rPr>
        <w:t xml:space="preserve"> </w:t>
      </w:r>
      <w:r w:rsidR="004777B5">
        <w:rPr>
          <w:rFonts w:cs="Arial"/>
          <w:color w:val="17365D"/>
          <w:szCs w:val="20"/>
        </w:rPr>
        <w:t xml:space="preserve">je </w:t>
      </w:r>
      <w:r w:rsidR="00A0399C" w:rsidRPr="00A0399C">
        <w:rPr>
          <w:rFonts w:cs="Arial"/>
          <w:color w:val="17365D"/>
          <w:szCs w:val="20"/>
        </w:rPr>
        <w:t>19.</w:t>
      </w:r>
      <w:r w:rsidR="00B1201B">
        <w:rPr>
          <w:rFonts w:cs="Arial"/>
          <w:color w:val="17365D"/>
          <w:szCs w:val="20"/>
        </w:rPr>
        <w:t xml:space="preserve"> rujna </w:t>
      </w:r>
      <w:r w:rsidR="00A0399C" w:rsidRPr="00A0399C">
        <w:rPr>
          <w:rFonts w:cs="Arial"/>
          <w:color w:val="17365D"/>
          <w:szCs w:val="20"/>
        </w:rPr>
        <w:t>2016</w:t>
      </w:r>
      <w:r w:rsidR="00B1201B">
        <w:rPr>
          <w:rFonts w:cs="Arial"/>
          <w:color w:val="17365D"/>
          <w:szCs w:val="20"/>
        </w:rPr>
        <w:t>. godine</w:t>
      </w:r>
      <w:r w:rsidR="003D00FD" w:rsidRPr="003D00FD">
        <w:rPr>
          <w:rFonts w:cs="Arial"/>
          <w:color w:val="17365D"/>
          <w:szCs w:val="20"/>
        </w:rPr>
        <w:t>,</w:t>
      </w:r>
      <w:r w:rsidR="009A3DC0">
        <w:rPr>
          <w:rFonts w:cs="Arial"/>
          <w:color w:val="17365D"/>
          <w:szCs w:val="20"/>
        </w:rPr>
        <w:t xml:space="preserve"> a</w:t>
      </w:r>
      <w:r w:rsidR="003D00FD" w:rsidRPr="003D00FD">
        <w:rPr>
          <w:rFonts w:cs="Arial"/>
          <w:color w:val="17365D"/>
          <w:szCs w:val="20"/>
        </w:rPr>
        <w:t xml:space="preserve"> </w:t>
      </w:r>
      <w:r w:rsidR="00FA092A">
        <w:rPr>
          <w:rFonts w:cs="Arial"/>
          <w:color w:val="17365D"/>
          <w:szCs w:val="20"/>
        </w:rPr>
        <w:t xml:space="preserve">isti Trgovački sud </w:t>
      </w:r>
      <w:r w:rsidR="00B1201B">
        <w:rPr>
          <w:rFonts w:cs="Arial"/>
          <w:color w:val="17365D"/>
          <w:szCs w:val="20"/>
        </w:rPr>
        <w:t xml:space="preserve">je </w:t>
      </w:r>
      <w:r w:rsidR="003D00FD" w:rsidRPr="003D00FD">
        <w:rPr>
          <w:rFonts w:cs="Arial"/>
          <w:color w:val="17365D"/>
          <w:szCs w:val="20"/>
        </w:rPr>
        <w:t>17.</w:t>
      </w:r>
      <w:r w:rsidR="00B1201B">
        <w:rPr>
          <w:rFonts w:cs="Arial"/>
          <w:color w:val="17365D"/>
          <w:szCs w:val="20"/>
        </w:rPr>
        <w:t xml:space="preserve"> travnja 2</w:t>
      </w:r>
      <w:r w:rsidR="003D00FD" w:rsidRPr="003D00FD">
        <w:rPr>
          <w:rFonts w:cs="Arial"/>
          <w:color w:val="17365D"/>
          <w:szCs w:val="20"/>
        </w:rPr>
        <w:t>015. godine otv</w:t>
      </w:r>
      <w:r w:rsidR="00B1201B">
        <w:rPr>
          <w:rFonts w:cs="Arial"/>
          <w:color w:val="17365D"/>
          <w:szCs w:val="20"/>
        </w:rPr>
        <w:t>orio</w:t>
      </w:r>
      <w:r w:rsidR="003D00FD" w:rsidRPr="003D00FD">
        <w:rPr>
          <w:rFonts w:cs="Arial"/>
          <w:color w:val="17365D"/>
          <w:szCs w:val="20"/>
        </w:rPr>
        <w:t xml:space="preserve"> stečajni postupak nad dužnikom </w:t>
      </w:r>
      <w:hyperlink r:id="rId13" w:history="1">
        <w:r w:rsidR="003D00FD" w:rsidRPr="006B5814">
          <w:rPr>
            <w:rStyle w:val="Hyperlink"/>
            <w:rFonts w:cs="Arial"/>
            <w:szCs w:val="20"/>
          </w:rPr>
          <w:t>one2play maloprodaja d.o.o</w:t>
        </w:r>
      </w:hyperlink>
      <w:r w:rsidR="003D00FD" w:rsidRPr="003D00FD">
        <w:rPr>
          <w:rFonts w:cs="Arial"/>
          <w:color w:val="17365D"/>
          <w:szCs w:val="20"/>
        </w:rPr>
        <w:t>. za proizvodnju i trgovinu.</w:t>
      </w:r>
    </w:p>
    <w:p w:rsidR="00B2189B" w:rsidRDefault="00B2189B" w:rsidP="00B2189B">
      <w:pPr>
        <w:spacing w:before="120"/>
        <w:rPr>
          <w:rFonts w:cs="Arial"/>
          <w:color w:val="17365D" w:themeColor="text2" w:themeShade="BF"/>
          <w:szCs w:val="20"/>
        </w:rPr>
      </w:pPr>
      <w:r>
        <w:rPr>
          <w:rFonts w:cs="Arial"/>
          <w:color w:val="17365D" w:themeColor="text2" w:themeShade="BF"/>
          <w:szCs w:val="20"/>
        </w:rPr>
        <w:t xml:space="preserve">Najveću dobit razdoblja u 2015. godini iskazao je poduzetnik </w:t>
      </w:r>
      <w:hyperlink r:id="rId14" w:history="1">
        <w:r w:rsidRPr="006B5814">
          <w:rPr>
            <w:rStyle w:val="Hyperlink"/>
            <w:rFonts w:cs="Arial"/>
            <w:szCs w:val="20"/>
          </w:rPr>
          <w:t>INTEKS PROMET d.o.o</w:t>
        </w:r>
      </w:hyperlink>
      <w:r w:rsidRPr="006B5814">
        <w:rPr>
          <w:rFonts w:cs="Arial"/>
          <w:szCs w:val="20"/>
        </w:rPr>
        <w:t>.</w:t>
      </w:r>
      <w:r>
        <w:rPr>
          <w:rFonts w:cs="Arial"/>
          <w:color w:val="17365D" w:themeColor="text2" w:themeShade="BF"/>
          <w:szCs w:val="20"/>
        </w:rPr>
        <w:t xml:space="preserve"> koji je ostvario 742 tisuće kuna dobiti razdoblja odnosno 56,6% dobiti razdoblja razreda djelatnosti 47.65.</w:t>
      </w:r>
    </w:p>
    <w:p w:rsidR="005B25B6" w:rsidRPr="005C5161" w:rsidRDefault="005B25B6" w:rsidP="00B1201B">
      <w:pPr>
        <w:spacing w:before="180" w:after="40" w:line="240" w:lineRule="auto"/>
        <w:ind w:left="1134" w:hanging="1134"/>
        <w:jc w:val="left"/>
        <w:rPr>
          <w:rFonts w:cs="Arial"/>
          <w:color w:val="17365D" w:themeColor="text2" w:themeShade="BF"/>
          <w:sz w:val="18"/>
          <w:szCs w:val="18"/>
        </w:rPr>
      </w:pPr>
      <w:r w:rsidRPr="00B1201B">
        <w:rPr>
          <w:rFonts w:cs="Arial"/>
          <w:b/>
          <w:color w:val="17365D" w:themeColor="text2" w:themeShade="BF"/>
          <w:sz w:val="18"/>
          <w:szCs w:val="18"/>
        </w:rPr>
        <w:t>Tablica 2.</w:t>
      </w:r>
      <w:r w:rsidRPr="00B1201B">
        <w:rPr>
          <w:rFonts w:cs="Arial"/>
          <w:b/>
          <w:color w:val="17365D" w:themeColor="text2" w:themeShade="BF"/>
          <w:sz w:val="18"/>
          <w:szCs w:val="18"/>
        </w:rPr>
        <w:tab/>
      </w:r>
      <w:hyperlink r:id="rId15" w:history="1">
        <w:r w:rsidRPr="006B5814">
          <w:rPr>
            <w:rStyle w:val="Hyperlink"/>
            <w:rFonts w:cs="Arial"/>
            <w:b/>
            <w:sz w:val="18"/>
            <w:szCs w:val="18"/>
            <w14:textFill>
              <w14:solidFill>
                <w14:srgbClr w14:val="0000FF">
                  <w14:lumMod w14:val="75000"/>
                </w14:srgbClr>
              </w14:solidFill>
            </w14:textFill>
          </w:rPr>
          <w:t xml:space="preserve">INTEKS PROMET </w:t>
        </w:r>
        <w:r w:rsidRPr="006B5814">
          <w:rPr>
            <w:rStyle w:val="Hyperlink"/>
            <w:rFonts w:eastAsia="Times New Roman" w:cs="Arial"/>
            <w:b/>
            <w:sz w:val="18"/>
            <w:szCs w:val="18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d.o.o.</w:t>
        </w:r>
      </w:hyperlink>
      <w:r w:rsidR="00C603B6" w:rsidRPr="00B1201B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Pr="00B1201B">
        <w:rPr>
          <w:rFonts w:cs="Arial"/>
          <w:b/>
          <w:color w:val="17365D" w:themeColor="text2" w:themeShade="BF"/>
          <w:sz w:val="18"/>
          <w:szCs w:val="18"/>
        </w:rPr>
        <w:t>na prvom je mjestu među poduzetnicima u djelatnosti NKD 47.65 prema dobiti razdoblja u 2015. godini – niže prikazani podaci objavljeni su na</w:t>
      </w:r>
      <w:r w:rsidRPr="00B1201B">
        <w:rPr>
          <w:rFonts w:cs="Arial"/>
          <w:color w:val="17365D" w:themeColor="text2" w:themeShade="BF"/>
          <w:sz w:val="18"/>
          <w:szCs w:val="18"/>
        </w:rPr>
        <w:t xml:space="preserve"> </w:t>
      </w:r>
      <w:hyperlink r:id="rId16" w:history="1">
        <w:r w:rsidRPr="00B1201B">
          <w:rPr>
            <w:rFonts w:cs="Arial"/>
            <w:color w:val="17365D" w:themeColor="text2" w:themeShade="BF"/>
            <w:sz w:val="18"/>
            <w:szCs w:val="18"/>
            <w:u w:val="single"/>
          </w:rPr>
          <w:t>Transparentno.hr</w:t>
        </w:r>
      </w:hyperlink>
      <w:r w:rsidRPr="005C5161">
        <w:rPr>
          <w:rFonts w:cs="Arial"/>
          <w:color w:val="17365D" w:themeColor="text2" w:themeShade="BF"/>
          <w:sz w:val="18"/>
          <w:szCs w:val="18"/>
          <w:vertAlign w:val="superscript"/>
        </w:rPr>
        <w:footnoteReference w:id="6"/>
      </w:r>
    </w:p>
    <w:tbl>
      <w:tblPr>
        <w:tblW w:w="9792" w:type="dxa"/>
        <w:jc w:val="center"/>
        <w:tblInd w:w="-1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5562"/>
        <w:gridCol w:w="1984"/>
        <w:gridCol w:w="2246"/>
      </w:tblGrid>
      <w:tr w:rsidR="00B2189B" w:rsidRPr="00B2189B" w:rsidTr="008375D5">
        <w:trPr>
          <w:trHeight w:val="283"/>
          <w:jc w:val="center"/>
        </w:trPr>
        <w:tc>
          <w:tcPr>
            <w:tcW w:w="5562" w:type="dxa"/>
            <w:vMerge w:val="restart"/>
            <w:shd w:val="clear" w:color="auto" w:fill="FFFFFF"/>
            <w:vAlign w:val="center"/>
          </w:tcPr>
          <w:p w:rsidR="005B25B6" w:rsidRPr="00FF4B8C" w:rsidRDefault="00B2189B" w:rsidP="008375D5">
            <w:pPr>
              <w:widowControl w:val="0"/>
              <w:spacing w:line="240" w:lineRule="auto"/>
              <w:jc w:val="center"/>
              <w:rPr>
                <w:rFonts w:ascii="Calibri" w:hAnsi="Calibri"/>
                <w:noProof/>
                <w:color w:val="FF0000"/>
                <w:sz w:val="22"/>
                <w:lang w:eastAsia="hr-HR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34BA052B" wp14:editId="4197D3DB">
                  <wp:extent cx="3450866" cy="1097280"/>
                  <wp:effectExtent l="0" t="0" r="0" b="762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665" cy="109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5B25B6" w:rsidRPr="003D0FDF" w:rsidRDefault="005B25B6" w:rsidP="008375D5">
            <w:pPr>
              <w:spacing w:line="240" w:lineRule="auto"/>
              <w:ind w:hanging="36"/>
              <w:jc w:val="left"/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3D0FDF"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  <w:t xml:space="preserve">OIB 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5B25B6" w:rsidRPr="003D0FDF" w:rsidRDefault="00FF4B8C" w:rsidP="00FF4B8C">
            <w:pPr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3D0FDF">
              <w:rPr>
                <w:rFonts w:cs="Arial"/>
                <w:color w:val="17365D" w:themeColor="text2" w:themeShade="BF"/>
                <w:sz w:val="16"/>
                <w:szCs w:val="16"/>
              </w:rPr>
              <w:t>72438732598</w:t>
            </w:r>
          </w:p>
        </w:tc>
      </w:tr>
      <w:tr w:rsidR="00B2189B" w:rsidRPr="00B2189B" w:rsidTr="008375D5">
        <w:trPr>
          <w:trHeight w:val="283"/>
          <w:jc w:val="center"/>
        </w:trPr>
        <w:tc>
          <w:tcPr>
            <w:tcW w:w="5562" w:type="dxa"/>
            <w:vMerge/>
            <w:shd w:val="clear" w:color="auto" w:fill="FFFFFF"/>
          </w:tcPr>
          <w:p w:rsidR="005B25B6" w:rsidRPr="00FF4B8C" w:rsidRDefault="005B25B6" w:rsidP="008375D5">
            <w:pPr>
              <w:widowControl w:val="0"/>
              <w:spacing w:before="120" w:line="288" w:lineRule="auto"/>
              <w:rPr>
                <w:rFonts w:ascii="Calibri" w:hAnsi="Calibri"/>
                <w:noProof/>
                <w:color w:val="FF0000"/>
                <w:sz w:val="22"/>
                <w:lang w:eastAsia="hr-HR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5B25B6" w:rsidRPr="003D0FDF" w:rsidRDefault="005B25B6" w:rsidP="008375D5">
            <w:pPr>
              <w:spacing w:line="240" w:lineRule="auto"/>
              <w:ind w:hanging="36"/>
              <w:jc w:val="left"/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3D0FDF"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  <w:t xml:space="preserve">MB 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5B25B6" w:rsidRPr="003D0FDF" w:rsidRDefault="00B2189B" w:rsidP="00B2189B">
            <w:pPr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3D0FDF">
              <w:rPr>
                <w:rFonts w:cs="Arial"/>
                <w:color w:val="17365D" w:themeColor="text2" w:themeShade="BF"/>
                <w:sz w:val="16"/>
                <w:szCs w:val="16"/>
              </w:rPr>
              <w:t>02454653</w:t>
            </w:r>
          </w:p>
        </w:tc>
      </w:tr>
      <w:tr w:rsidR="00B2189B" w:rsidRPr="00B2189B" w:rsidTr="008375D5">
        <w:trPr>
          <w:trHeight w:val="283"/>
          <w:jc w:val="center"/>
        </w:trPr>
        <w:tc>
          <w:tcPr>
            <w:tcW w:w="5562" w:type="dxa"/>
            <w:vMerge/>
            <w:shd w:val="clear" w:color="auto" w:fill="FFFFFF"/>
          </w:tcPr>
          <w:p w:rsidR="005B25B6" w:rsidRPr="00FF4B8C" w:rsidRDefault="005B25B6" w:rsidP="008375D5">
            <w:pPr>
              <w:widowControl w:val="0"/>
              <w:spacing w:before="120" w:line="288" w:lineRule="auto"/>
              <w:rPr>
                <w:rFonts w:ascii="Calibri" w:hAnsi="Calibri"/>
                <w:noProof/>
                <w:color w:val="FF0000"/>
                <w:sz w:val="22"/>
                <w:lang w:eastAsia="hr-HR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5B25B6" w:rsidRPr="003D0FDF" w:rsidRDefault="005B25B6" w:rsidP="008375D5">
            <w:pPr>
              <w:spacing w:line="240" w:lineRule="auto"/>
              <w:ind w:hanging="36"/>
              <w:jc w:val="left"/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3D0FDF"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  <w:t xml:space="preserve">Veličina 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5B25B6" w:rsidRPr="003D0FDF" w:rsidRDefault="005B25B6" w:rsidP="008375D5">
            <w:pPr>
              <w:spacing w:line="240" w:lineRule="auto"/>
              <w:jc w:val="left"/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3D0FDF"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  <w:t>Mali</w:t>
            </w:r>
          </w:p>
        </w:tc>
      </w:tr>
      <w:tr w:rsidR="00B2189B" w:rsidRPr="00B2189B" w:rsidTr="008375D5">
        <w:trPr>
          <w:trHeight w:val="283"/>
          <w:jc w:val="center"/>
        </w:trPr>
        <w:tc>
          <w:tcPr>
            <w:tcW w:w="5562" w:type="dxa"/>
            <w:vMerge/>
            <w:shd w:val="clear" w:color="auto" w:fill="FFFFFF"/>
          </w:tcPr>
          <w:p w:rsidR="005B25B6" w:rsidRPr="00FF4B8C" w:rsidRDefault="005B25B6" w:rsidP="008375D5">
            <w:pPr>
              <w:widowControl w:val="0"/>
              <w:spacing w:before="120" w:line="288" w:lineRule="auto"/>
              <w:rPr>
                <w:rFonts w:ascii="Calibri" w:hAnsi="Calibri"/>
                <w:noProof/>
                <w:color w:val="FF0000"/>
                <w:sz w:val="22"/>
                <w:lang w:eastAsia="hr-HR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5B25B6" w:rsidRPr="003D0FDF" w:rsidRDefault="005B25B6" w:rsidP="008375D5">
            <w:pPr>
              <w:spacing w:line="240" w:lineRule="auto"/>
              <w:ind w:hanging="36"/>
              <w:jc w:val="left"/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3D0FDF"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  <w:t xml:space="preserve">Temeljni kapital 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5B25B6" w:rsidRPr="003D0FDF" w:rsidRDefault="00B2189B" w:rsidP="008375D5">
            <w:pPr>
              <w:spacing w:line="240" w:lineRule="auto"/>
              <w:jc w:val="left"/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3D0FDF"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  <w:t>80.000</w:t>
            </w:r>
            <w:r w:rsidR="005B25B6" w:rsidRPr="003D0FDF"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  <w:t xml:space="preserve"> kn</w:t>
            </w:r>
          </w:p>
        </w:tc>
      </w:tr>
      <w:tr w:rsidR="00B2189B" w:rsidRPr="00B2189B" w:rsidTr="008375D5">
        <w:trPr>
          <w:trHeight w:val="283"/>
          <w:jc w:val="center"/>
        </w:trPr>
        <w:tc>
          <w:tcPr>
            <w:tcW w:w="5562" w:type="dxa"/>
            <w:vMerge/>
            <w:shd w:val="clear" w:color="auto" w:fill="FFFFFF"/>
          </w:tcPr>
          <w:p w:rsidR="005B25B6" w:rsidRPr="00FF4B8C" w:rsidRDefault="005B25B6" w:rsidP="008375D5">
            <w:pPr>
              <w:widowControl w:val="0"/>
              <w:spacing w:before="120" w:line="288" w:lineRule="auto"/>
              <w:rPr>
                <w:rFonts w:ascii="Calibri" w:hAnsi="Calibri"/>
                <w:noProof/>
                <w:color w:val="FF0000"/>
                <w:sz w:val="22"/>
                <w:lang w:eastAsia="hr-HR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5B25B6" w:rsidRPr="003D0FDF" w:rsidRDefault="005B25B6" w:rsidP="008375D5">
            <w:pPr>
              <w:spacing w:line="240" w:lineRule="auto"/>
              <w:ind w:hanging="36"/>
              <w:jc w:val="left"/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3D0FDF"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  <w:t xml:space="preserve">Korisnik koncesije 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5B25B6" w:rsidRPr="003D0FDF" w:rsidRDefault="005B25B6" w:rsidP="008375D5">
            <w:pPr>
              <w:spacing w:line="240" w:lineRule="auto"/>
              <w:ind w:right="-108"/>
              <w:jc w:val="left"/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3D0FDF"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  <w:t>Ne</w:t>
            </w:r>
          </w:p>
        </w:tc>
      </w:tr>
      <w:tr w:rsidR="00B2189B" w:rsidRPr="00B2189B" w:rsidTr="008375D5">
        <w:trPr>
          <w:trHeight w:val="283"/>
          <w:jc w:val="center"/>
        </w:trPr>
        <w:tc>
          <w:tcPr>
            <w:tcW w:w="5562" w:type="dxa"/>
            <w:vMerge/>
            <w:shd w:val="clear" w:color="auto" w:fill="FFFFFF"/>
          </w:tcPr>
          <w:p w:rsidR="005B25B6" w:rsidRPr="00FF4B8C" w:rsidRDefault="005B25B6" w:rsidP="008375D5">
            <w:pPr>
              <w:widowControl w:val="0"/>
              <w:spacing w:before="120" w:line="288" w:lineRule="auto"/>
              <w:rPr>
                <w:rFonts w:ascii="Calibri" w:hAnsi="Calibri"/>
                <w:noProof/>
                <w:color w:val="FF0000"/>
                <w:sz w:val="22"/>
                <w:lang w:eastAsia="hr-HR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5B25B6" w:rsidRPr="003D0FDF" w:rsidRDefault="005B25B6" w:rsidP="008375D5">
            <w:pPr>
              <w:spacing w:line="240" w:lineRule="auto"/>
              <w:ind w:hanging="36"/>
              <w:jc w:val="left"/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3D0FDF"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  <w:t xml:space="preserve">U predstečanoj nagodbi 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5B25B6" w:rsidRPr="003D0FDF" w:rsidRDefault="005B25B6" w:rsidP="008375D5">
            <w:pPr>
              <w:spacing w:line="240" w:lineRule="auto"/>
              <w:jc w:val="left"/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3D0FDF"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  <w:t>Ne</w:t>
            </w:r>
          </w:p>
        </w:tc>
      </w:tr>
    </w:tbl>
    <w:p w:rsidR="005B25B6" w:rsidRPr="00FF4B8C" w:rsidRDefault="005B25B6" w:rsidP="005B25B6">
      <w:pPr>
        <w:jc w:val="left"/>
        <w:rPr>
          <w:i/>
          <w:color w:val="FF0000"/>
          <w:sz w:val="4"/>
          <w:szCs w:val="16"/>
          <w:lang w:eastAsia="hr-HR"/>
        </w:rPr>
      </w:pPr>
    </w:p>
    <w:p w:rsidR="005B25B6" w:rsidRPr="006A3153" w:rsidRDefault="005B25B6" w:rsidP="005B25B6">
      <w:pPr>
        <w:rPr>
          <w:i/>
          <w:color w:val="17365D" w:themeColor="text2" w:themeShade="BF"/>
          <w:sz w:val="16"/>
          <w:szCs w:val="16"/>
          <w:lang w:eastAsia="hr-HR"/>
        </w:rPr>
      </w:pPr>
      <w:r w:rsidRPr="006A3153">
        <w:rPr>
          <w:i/>
          <w:color w:val="17365D" w:themeColor="text2" w:themeShade="BF"/>
          <w:sz w:val="16"/>
          <w:szCs w:val="16"/>
          <w:lang w:eastAsia="hr-HR"/>
        </w:rPr>
        <w:t xml:space="preserve">Izvor: Financijska agencija – Registar godišnjih financijskih izvještaja, </w:t>
      </w:r>
      <w:hyperlink r:id="rId18" w:history="1">
        <w:r w:rsidRPr="006A3153">
          <w:rPr>
            <w:i/>
            <w:color w:val="17365D" w:themeColor="text2" w:themeShade="BF"/>
            <w:sz w:val="16"/>
            <w:szCs w:val="16"/>
            <w:u w:val="single"/>
            <w:lang w:eastAsia="hr-HR"/>
          </w:rPr>
          <w:t>Transparentno.hr</w:t>
        </w:r>
      </w:hyperlink>
    </w:p>
    <w:p w:rsidR="005B25B6" w:rsidRDefault="003578B6" w:rsidP="003D0D64">
      <w:pPr>
        <w:spacing w:before="120"/>
        <w:rPr>
          <w:rFonts w:cs="Arial"/>
          <w:color w:val="17365D" w:themeColor="text2" w:themeShade="BF"/>
          <w:szCs w:val="20"/>
        </w:rPr>
      </w:pPr>
      <w:r>
        <w:rPr>
          <w:rFonts w:cs="Arial"/>
          <w:color w:val="17365D" w:themeColor="text2" w:themeShade="BF"/>
          <w:szCs w:val="20"/>
        </w:rPr>
        <w:t xml:space="preserve">Ukupno prvih pet poduzetnika </w:t>
      </w:r>
      <w:r w:rsidR="007D5030">
        <w:rPr>
          <w:rFonts w:cs="Arial"/>
          <w:color w:val="17365D" w:themeColor="text2" w:themeShade="BF"/>
          <w:szCs w:val="20"/>
        </w:rPr>
        <w:t>iskazalo je dobit razdoblja u iznosu od 1,2 milijuna kuna (94,7</w:t>
      </w:r>
      <w:r w:rsidR="00B1201B">
        <w:rPr>
          <w:rFonts w:cs="Arial"/>
          <w:color w:val="17365D" w:themeColor="text2" w:themeShade="BF"/>
          <w:szCs w:val="20"/>
        </w:rPr>
        <w:t xml:space="preserve"> </w:t>
      </w:r>
      <w:r w:rsidR="007D5030">
        <w:rPr>
          <w:rFonts w:cs="Arial"/>
          <w:color w:val="17365D" w:themeColor="text2" w:themeShade="BF"/>
          <w:szCs w:val="20"/>
        </w:rPr>
        <w:t>% dobiti razdoblja razreda 47.65).</w:t>
      </w:r>
    </w:p>
    <w:p w:rsidR="00B2189B" w:rsidRPr="00970E52" w:rsidRDefault="00B2189B" w:rsidP="00B1201B">
      <w:pPr>
        <w:widowControl w:val="0"/>
        <w:tabs>
          <w:tab w:val="left" w:pos="1134"/>
          <w:tab w:val="left" w:pos="8222"/>
        </w:tabs>
        <w:spacing w:before="180" w:after="40" w:line="240" w:lineRule="auto"/>
        <w:rPr>
          <w:rFonts w:cs="Arial"/>
          <w:b/>
          <w:color w:val="17365D" w:themeColor="text2" w:themeShade="BF"/>
          <w:szCs w:val="20"/>
        </w:rPr>
      </w:pPr>
      <w:r w:rsidRPr="00970E52">
        <w:rPr>
          <w:b/>
          <w:color w:val="17365D" w:themeColor="text2" w:themeShade="BF"/>
          <w:sz w:val="18"/>
          <w:szCs w:val="18"/>
          <w:lang w:eastAsia="hr-HR"/>
        </w:rPr>
        <w:t>Tablica 3.</w:t>
      </w:r>
      <w:r w:rsidRPr="00970E52">
        <w:rPr>
          <w:b/>
          <w:color w:val="17365D" w:themeColor="text2" w:themeShade="BF"/>
          <w:sz w:val="18"/>
          <w:szCs w:val="18"/>
          <w:lang w:eastAsia="hr-HR"/>
        </w:rPr>
        <w:tab/>
        <w:t xml:space="preserve">Top 5 poduzetnika po </w:t>
      </w:r>
      <w:r>
        <w:rPr>
          <w:b/>
          <w:color w:val="17365D" w:themeColor="text2" w:themeShade="BF"/>
          <w:sz w:val="18"/>
          <w:szCs w:val="18"/>
          <w:lang w:eastAsia="hr-HR"/>
        </w:rPr>
        <w:t>dobiti razdoblja</w:t>
      </w:r>
      <w:r w:rsidRPr="00970E52">
        <w:rPr>
          <w:b/>
          <w:color w:val="17365D" w:themeColor="text2" w:themeShade="BF"/>
          <w:sz w:val="18"/>
          <w:szCs w:val="18"/>
          <w:lang w:eastAsia="hr-HR"/>
        </w:rPr>
        <w:t xml:space="preserve"> u 2015. g., u razredu djelatnosti 47.65</w:t>
      </w:r>
      <w:r w:rsidR="005E0927">
        <w:rPr>
          <w:b/>
          <w:color w:val="17365D" w:themeColor="text2" w:themeShade="BF"/>
          <w:sz w:val="19"/>
          <w:szCs w:val="19"/>
          <w:lang w:eastAsia="hr-HR"/>
        </w:rPr>
        <w:tab/>
      </w:r>
      <w:r w:rsidRPr="00970E52">
        <w:rPr>
          <w:rFonts w:cs="Arial"/>
          <w:color w:val="17365D" w:themeColor="text2" w:themeShade="BF"/>
          <w:sz w:val="16"/>
          <w:szCs w:val="16"/>
        </w:rPr>
        <w:t>(iznosi u tisućama kn)</w:t>
      </w:r>
    </w:p>
    <w:tbl>
      <w:tblPr>
        <w:tblW w:w="9869" w:type="dxa"/>
        <w:jc w:val="center"/>
        <w:tblInd w:w="-308" w:type="dxa"/>
        <w:tblLayout w:type="fixed"/>
        <w:tblLook w:val="00A0" w:firstRow="1" w:lastRow="0" w:firstColumn="1" w:lastColumn="0" w:noHBand="0" w:noVBand="0"/>
      </w:tblPr>
      <w:tblGrid>
        <w:gridCol w:w="510"/>
        <w:gridCol w:w="1361"/>
        <w:gridCol w:w="2268"/>
        <w:gridCol w:w="964"/>
        <w:gridCol w:w="1588"/>
        <w:gridCol w:w="1589"/>
        <w:gridCol w:w="1589"/>
      </w:tblGrid>
      <w:tr w:rsidR="00802F90" w:rsidRPr="002806BB" w:rsidTr="00B1201B">
        <w:trPr>
          <w:trHeight w:val="397"/>
          <w:jc w:val="center"/>
        </w:trPr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:rsidR="00C603B6" w:rsidRPr="00970E52" w:rsidRDefault="00C603B6" w:rsidP="00802F90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70E52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1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:rsidR="00C603B6" w:rsidRPr="00970E52" w:rsidRDefault="00C603B6" w:rsidP="00802F90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70E52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:rsidR="00C603B6" w:rsidRPr="00970E52" w:rsidRDefault="00C603B6" w:rsidP="00802F90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70E52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:rsidR="00C603B6" w:rsidRPr="00970E52" w:rsidRDefault="00C603B6" w:rsidP="00802F90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70E52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Mjesto</w:t>
            </w:r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:rsidR="00C603B6" w:rsidRPr="00970E52" w:rsidRDefault="00C603B6" w:rsidP="00802F90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Dobit razdoblja</w:t>
            </w:r>
          </w:p>
        </w:tc>
        <w:tc>
          <w:tcPr>
            <w:tcW w:w="15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:rsidR="00C603B6" w:rsidRPr="00970E52" w:rsidRDefault="00C603B6" w:rsidP="00802F90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70E52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5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:rsidR="00C603B6" w:rsidRPr="00970E52" w:rsidRDefault="00C603B6" w:rsidP="00802F90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70E52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zaposlenih</w:t>
            </w:r>
          </w:p>
        </w:tc>
      </w:tr>
      <w:tr w:rsidR="00C040DF" w:rsidRPr="002806BB" w:rsidTr="00B1201B">
        <w:trPr>
          <w:trHeight w:val="283"/>
          <w:jc w:val="center"/>
        </w:trPr>
        <w:tc>
          <w:tcPr>
            <w:tcW w:w="510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040DF" w:rsidRPr="002806BB" w:rsidRDefault="00C040DF" w:rsidP="00802F90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806BB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61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040DF" w:rsidRDefault="00C040DF" w:rsidP="00802F90">
            <w:pPr>
              <w:spacing w:line="240" w:lineRule="auto"/>
              <w:jc w:val="center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72438732598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040DF" w:rsidRDefault="006B5814" w:rsidP="00802F90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hyperlink r:id="rId19" w:history="1">
              <w:r w:rsidR="00C040DF" w:rsidRPr="006B5814">
                <w:rPr>
                  <w:rStyle w:val="Hyperlink"/>
                  <w:rFonts w:cs="Arial"/>
                  <w:sz w:val="18"/>
                  <w:szCs w:val="18"/>
                </w:rPr>
                <w:t xml:space="preserve">INTEKS PROMET </w:t>
              </w:r>
              <w:r w:rsidR="001904C0" w:rsidRPr="006B5814">
                <w:rPr>
                  <w:rStyle w:val="Hyperlink"/>
                  <w:rFonts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040DF" w:rsidRDefault="00B1201B" w:rsidP="00802F90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040DF" w:rsidRPr="00B1201B" w:rsidRDefault="00C040DF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742</w:t>
            </w:r>
          </w:p>
        </w:tc>
        <w:tc>
          <w:tcPr>
            <w:tcW w:w="1589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040DF" w:rsidRPr="00B1201B" w:rsidRDefault="00C040DF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12.151</w:t>
            </w:r>
          </w:p>
        </w:tc>
        <w:tc>
          <w:tcPr>
            <w:tcW w:w="1589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040DF" w:rsidRPr="00B1201B" w:rsidRDefault="00C040DF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29</w:t>
            </w:r>
          </w:p>
        </w:tc>
      </w:tr>
      <w:tr w:rsidR="00C040DF" w:rsidRPr="002806BB" w:rsidTr="00B1201B">
        <w:trPr>
          <w:trHeight w:val="283"/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040DF" w:rsidRPr="002806BB" w:rsidRDefault="00C040DF" w:rsidP="00802F90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806BB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040DF" w:rsidRDefault="00C040DF" w:rsidP="00802F90">
            <w:pPr>
              <w:spacing w:line="240" w:lineRule="auto"/>
              <w:jc w:val="center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32619970125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040DF" w:rsidRDefault="006B5814" w:rsidP="00802F90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hyperlink r:id="rId20" w:history="1">
              <w:r w:rsidR="00C040DF" w:rsidRPr="006B5814">
                <w:rPr>
                  <w:rStyle w:val="Hyperlink"/>
                  <w:rFonts w:cs="Arial"/>
                  <w:sz w:val="18"/>
                  <w:szCs w:val="18"/>
                </w:rPr>
                <w:t xml:space="preserve">POKER PIK </w:t>
              </w:r>
              <w:r w:rsidR="001904C0" w:rsidRPr="006B5814">
                <w:rPr>
                  <w:rStyle w:val="Hyperlink"/>
                  <w:rFonts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040DF" w:rsidRDefault="00B1201B" w:rsidP="00802F90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Čakovec</w:t>
            </w:r>
          </w:p>
        </w:tc>
        <w:tc>
          <w:tcPr>
            <w:tcW w:w="15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040DF" w:rsidRPr="00B1201B" w:rsidRDefault="00C040DF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279</w:t>
            </w:r>
          </w:p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040DF" w:rsidRPr="00B1201B" w:rsidRDefault="00C040DF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2.233</w:t>
            </w:r>
          </w:p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040DF" w:rsidRPr="00B1201B" w:rsidRDefault="00C040DF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6</w:t>
            </w:r>
          </w:p>
        </w:tc>
      </w:tr>
      <w:tr w:rsidR="00C040DF" w:rsidRPr="002806BB" w:rsidTr="00B1201B">
        <w:trPr>
          <w:trHeight w:val="283"/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040DF" w:rsidRPr="002806BB" w:rsidRDefault="00C040DF" w:rsidP="00802F90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806BB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040DF" w:rsidRDefault="00C040DF" w:rsidP="00802F90">
            <w:pPr>
              <w:spacing w:line="240" w:lineRule="auto"/>
              <w:jc w:val="center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73323157067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040DF" w:rsidRDefault="006B5814" w:rsidP="00802F90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hyperlink r:id="rId21" w:history="1">
              <w:r w:rsidR="00C040DF" w:rsidRPr="006B5814">
                <w:rPr>
                  <w:rStyle w:val="Hyperlink"/>
                  <w:rFonts w:cs="Arial"/>
                  <w:sz w:val="18"/>
                  <w:szCs w:val="18"/>
                </w:rPr>
                <w:t xml:space="preserve">A.D.S. </w:t>
              </w:r>
              <w:r w:rsidR="001904C0" w:rsidRPr="006B5814">
                <w:rPr>
                  <w:rStyle w:val="Hyperlink"/>
                  <w:rFonts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040DF" w:rsidRDefault="00B1201B" w:rsidP="00802F90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Umag</w:t>
            </w:r>
          </w:p>
        </w:tc>
        <w:tc>
          <w:tcPr>
            <w:tcW w:w="15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040DF" w:rsidRPr="00B1201B" w:rsidRDefault="00C040DF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83</w:t>
            </w:r>
          </w:p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040DF" w:rsidRPr="00B1201B" w:rsidRDefault="00C040DF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3.246</w:t>
            </w:r>
          </w:p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040DF" w:rsidRPr="00B1201B" w:rsidRDefault="00C040DF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7</w:t>
            </w:r>
          </w:p>
        </w:tc>
      </w:tr>
      <w:tr w:rsidR="00C040DF" w:rsidRPr="002806BB" w:rsidTr="00B1201B">
        <w:trPr>
          <w:trHeight w:val="283"/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040DF" w:rsidRPr="002806BB" w:rsidRDefault="00C040DF" w:rsidP="00802F90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806BB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040DF" w:rsidRDefault="00C040DF" w:rsidP="00802F90">
            <w:pPr>
              <w:spacing w:line="240" w:lineRule="auto"/>
              <w:jc w:val="center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91841941117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040DF" w:rsidRDefault="006B5814" w:rsidP="00802F90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hyperlink r:id="rId22" w:history="1">
              <w:r w:rsidR="00C040DF" w:rsidRPr="006B5814">
                <w:rPr>
                  <w:rStyle w:val="Hyperlink"/>
                  <w:rFonts w:cs="Arial"/>
                  <w:sz w:val="18"/>
                  <w:szCs w:val="18"/>
                </w:rPr>
                <w:t xml:space="preserve">PLAVA KUTIJA </w:t>
              </w:r>
              <w:r w:rsidR="001904C0" w:rsidRPr="006B5814">
                <w:rPr>
                  <w:rStyle w:val="Hyperlink"/>
                  <w:rFonts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040DF" w:rsidRDefault="00B1201B" w:rsidP="00802F90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15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040DF" w:rsidRPr="00B1201B" w:rsidRDefault="00C040DF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79</w:t>
            </w:r>
          </w:p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040DF" w:rsidRPr="00B1201B" w:rsidRDefault="00C040DF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2.582</w:t>
            </w:r>
          </w:p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040DF" w:rsidRPr="00B1201B" w:rsidRDefault="00C040DF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0</w:t>
            </w:r>
          </w:p>
        </w:tc>
      </w:tr>
      <w:tr w:rsidR="00C040DF" w:rsidRPr="002806BB" w:rsidTr="00B1201B">
        <w:trPr>
          <w:trHeight w:val="283"/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noWrap/>
            <w:vAlign w:val="center"/>
          </w:tcPr>
          <w:p w:rsidR="00C040DF" w:rsidRPr="002806BB" w:rsidRDefault="00C040DF" w:rsidP="00802F90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806BB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61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noWrap/>
            <w:vAlign w:val="center"/>
          </w:tcPr>
          <w:p w:rsidR="00C040DF" w:rsidRDefault="00C040DF" w:rsidP="00802F90">
            <w:pPr>
              <w:spacing w:line="240" w:lineRule="auto"/>
              <w:jc w:val="center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61771526184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noWrap/>
            <w:vAlign w:val="center"/>
          </w:tcPr>
          <w:p w:rsidR="00C040DF" w:rsidRPr="006B5814" w:rsidRDefault="006B5814" w:rsidP="00802F90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hyperlink r:id="rId23" w:history="1">
              <w:r w:rsidR="00C040DF" w:rsidRPr="006B5814">
                <w:rPr>
                  <w:rStyle w:val="Hyperlink"/>
                  <w:rFonts w:cs="Arial"/>
                  <w:sz w:val="18"/>
                  <w:szCs w:val="18"/>
                </w:rPr>
                <w:t xml:space="preserve">LORA TRGOVINA </w:t>
              </w:r>
              <w:r w:rsidR="001904C0" w:rsidRPr="006B5814">
                <w:rPr>
                  <w:rStyle w:val="Hyperlink"/>
                  <w:rFonts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noWrap/>
            <w:vAlign w:val="center"/>
          </w:tcPr>
          <w:p w:rsidR="00C040DF" w:rsidRDefault="00B1201B" w:rsidP="00802F90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1588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vAlign w:val="center"/>
          </w:tcPr>
          <w:p w:rsidR="00C040DF" w:rsidRPr="00B1201B" w:rsidRDefault="00C040DF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57</w:t>
            </w:r>
          </w:p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vAlign w:val="center"/>
          </w:tcPr>
          <w:p w:rsidR="00C040DF" w:rsidRPr="00B1201B" w:rsidRDefault="00C040DF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476</w:t>
            </w:r>
          </w:p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noWrap/>
            <w:vAlign w:val="center"/>
          </w:tcPr>
          <w:p w:rsidR="00C040DF" w:rsidRPr="00B1201B" w:rsidRDefault="00C040DF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5</w:t>
            </w:r>
          </w:p>
        </w:tc>
      </w:tr>
      <w:tr w:rsidR="00C20099" w:rsidRPr="002806BB" w:rsidTr="00802F90">
        <w:trPr>
          <w:trHeight w:val="283"/>
          <w:jc w:val="center"/>
        </w:trPr>
        <w:tc>
          <w:tcPr>
            <w:tcW w:w="510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C20099" w:rsidRPr="002806BB" w:rsidRDefault="00C20099" w:rsidP="00802F90">
            <w:pPr>
              <w:spacing w:line="240" w:lineRule="auto"/>
              <w:jc w:val="left"/>
              <w:rPr>
                <w:rFonts w:cs="Arial"/>
                <w:b/>
                <w:color w:val="17365D" w:themeColor="text2" w:themeShade="BF"/>
                <w:sz w:val="16"/>
                <w:szCs w:val="16"/>
                <w:lang w:eastAsia="hr-HR"/>
              </w:rPr>
            </w:pPr>
            <w:r w:rsidRPr="002806BB">
              <w:rPr>
                <w:rFonts w:cs="Arial"/>
                <w:b/>
                <w:color w:val="17365D" w:themeColor="text2" w:themeShade="BF"/>
                <w:sz w:val="16"/>
                <w:szCs w:val="16"/>
                <w:lang w:eastAsia="hr-HR"/>
              </w:rPr>
              <w:t>Ukupno top 5</w:t>
            </w:r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C20099" w:rsidRPr="00B1201B" w:rsidRDefault="00C20099" w:rsidP="00802F90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B1201B">
              <w:rPr>
                <w:rFonts w:cs="Arial"/>
                <w:b/>
                <w:bCs/>
                <w:color w:val="16365C"/>
                <w:sz w:val="18"/>
                <w:szCs w:val="18"/>
              </w:rPr>
              <w:t>1.240</w:t>
            </w:r>
          </w:p>
        </w:tc>
        <w:tc>
          <w:tcPr>
            <w:tcW w:w="15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C20099" w:rsidRPr="00B1201B" w:rsidRDefault="00C20099" w:rsidP="00802F90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B1201B">
              <w:rPr>
                <w:rFonts w:cs="Arial"/>
                <w:b/>
                <w:bCs/>
                <w:color w:val="16365C"/>
                <w:sz w:val="18"/>
                <w:szCs w:val="18"/>
              </w:rPr>
              <w:t>20.688</w:t>
            </w:r>
          </w:p>
        </w:tc>
        <w:tc>
          <w:tcPr>
            <w:tcW w:w="15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C20099" w:rsidRPr="00B1201B" w:rsidRDefault="00C20099" w:rsidP="00802F90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B1201B">
              <w:rPr>
                <w:rFonts w:cs="Arial"/>
                <w:b/>
                <w:bCs/>
                <w:color w:val="16365C"/>
                <w:sz w:val="18"/>
                <w:szCs w:val="18"/>
              </w:rPr>
              <w:t>47</w:t>
            </w:r>
          </w:p>
        </w:tc>
      </w:tr>
      <w:tr w:rsidR="00C20099" w:rsidRPr="002806BB" w:rsidTr="00802F90">
        <w:trPr>
          <w:trHeight w:val="283"/>
          <w:jc w:val="center"/>
        </w:trPr>
        <w:tc>
          <w:tcPr>
            <w:tcW w:w="510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:rsidR="00C20099" w:rsidRPr="002806BB" w:rsidRDefault="00C20099" w:rsidP="00802F90">
            <w:pPr>
              <w:spacing w:line="240" w:lineRule="auto"/>
              <w:jc w:val="left"/>
              <w:rPr>
                <w:rFonts w:cs="Arial"/>
                <w:b/>
                <w:color w:val="17365D" w:themeColor="text2" w:themeShade="BF"/>
                <w:sz w:val="16"/>
                <w:szCs w:val="16"/>
                <w:lang w:eastAsia="hr-HR"/>
              </w:rPr>
            </w:pPr>
            <w:r w:rsidRPr="002806BB">
              <w:rPr>
                <w:rFonts w:cs="Arial"/>
                <w:b/>
                <w:color w:val="17365D" w:themeColor="text2" w:themeShade="BF"/>
                <w:sz w:val="16"/>
                <w:szCs w:val="16"/>
                <w:lang w:eastAsia="hr-HR"/>
              </w:rPr>
              <w:t xml:space="preserve">Ukupno svi </w:t>
            </w:r>
            <w:r w:rsidR="00802F90">
              <w:rPr>
                <w:rFonts w:cs="Arial"/>
                <w:b/>
                <w:color w:val="17365D" w:themeColor="text2" w:themeShade="BF"/>
                <w:sz w:val="16"/>
                <w:szCs w:val="16"/>
                <w:lang w:eastAsia="hr-HR"/>
              </w:rPr>
              <w:t xml:space="preserve">poduzetnici po </w:t>
            </w:r>
            <w:r w:rsidRPr="002806BB">
              <w:rPr>
                <w:rFonts w:cs="Arial"/>
                <w:b/>
                <w:color w:val="17365D" w:themeColor="text2" w:themeShade="BF"/>
                <w:sz w:val="16"/>
                <w:szCs w:val="16"/>
                <w:lang w:eastAsia="hr-HR"/>
              </w:rPr>
              <w:t>odabranim kriterijima (</w:t>
            </w:r>
            <w:r w:rsidR="00802F90">
              <w:rPr>
                <w:rFonts w:cs="Arial"/>
                <w:b/>
                <w:color w:val="17365D" w:themeColor="text2" w:themeShade="BF"/>
                <w:sz w:val="16"/>
                <w:szCs w:val="16"/>
                <w:lang w:eastAsia="hr-HR"/>
              </w:rPr>
              <w:t>25</w:t>
            </w:r>
            <w:r w:rsidRPr="002806BB">
              <w:rPr>
                <w:rFonts w:cs="Arial"/>
                <w:b/>
                <w:color w:val="17365D" w:themeColor="text2" w:themeShade="BF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vAlign w:val="center"/>
          </w:tcPr>
          <w:p w:rsidR="00C20099" w:rsidRPr="00B1201B" w:rsidRDefault="00C20099" w:rsidP="00802F90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B1201B">
              <w:rPr>
                <w:rFonts w:cs="Arial"/>
                <w:b/>
                <w:bCs/>
                <w:color w:val="16365C"/>
                <w:sz w:val="18"/>
                <w:szCs w:val="18"/>
              </w:rPr>
              <w:t>1.310</w:t>
            </w:r>
          </w:p>
        </w:tc>
        <w:tc>
          <w:tcPr>
            <w:tcW w:w="15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vAlign w:val="center"/>
          </w:tcPr>
          <w:p w:rsidR="00C20099" w:rsidRPr="00B1201B" w:rsidRDefault="00C20099" w:rsidP="00802F90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B1201B">
              <w:rPr>
                <w:rFonts w:cs="Arial"/>
                <w:b/>
                <w:bCs/>
                <w:color w:val="16365C"/>
                <w:sz w:val="18"/>
                <w:szCs w:val="18"/>
              </w:rPr>
              <w:t>53.222</w:t>
            </w:r>
          </w:p>
        </w:tc>
        <w:tc>
          <w:tcPr>
            <w:tcW w:w="15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:rsidR="00C20099" w:rsidRPr="00B1201B" w:rsidRDefault="00C20099" w:rsidP="00802F90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B1201B">
              <w:rPr>
                <w:rFonts w:cs="Arial"/>
                <w:b/>
                <w:bCs/>
                <w:color w:val="16365C"/>
                <w:sz w:val="18"/>
                <w:szCs w:val="18"/>
              </w:rPr>
              <w:t>150</w:t>
            </w:r>
          </w:p>
        </w:tc>
      </w:tr>
      <w:tr w:rsidR="00CE5B52" w:rsidRPr="002806BB" w:rsidTr="00802F90">
        <w:trPr>
          <w:trHeight w:val="283"/>
          <w:jc w:val="center"/>
        </w:trPr>
        <w:tc>
          <w:tcPr>
            <w:tcW w:w="510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:rsidR="00CE5B52" w:rsidRDefault="00CE5B52" w:rsidP="00802F90">
            <w:pPr>
              <w:spacing w:line="240" w:lineRule="auto"/>
              <w:jc w:val="left"/>
              <w:rPr>
                <w:rFonts w:cs="Arial"/>
                <w:b/>
                <w:bCs/>
                <w:color w:val="17365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17365D"/>
                <w:sz w:val="16"/>
                <w:szCs w:val="16"/>
              </w:rPr>
              <w:t>Udio top 5 poduzetnika po dobiti razdoblja u razredu 47.65</w:t>
            </w:r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vAlign w:val="center"/>
          </w:tcPr>
          <w:p w:rsidR="00CE5B52" w:rsidRPr="00B1201B" w:rsidRDefault="00CE5B52" w:rsidP="00802F90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B1201B">
              <w:rPr>
                <w:rFonts w:cs="Arial"/>
                <w:b/>
                <w:bCs/>
                <w:color w:val="16365C"/>
                <w:sz w:val="18"/>
                <w:szCs w:val="18"/>
              </w:rPr>
              <w:t>94,6%</w:t>
            </w:r>
          </w:p>
        </w:tc>
        <w:tc>
          <w:tcPr>
            <w:tcW w:w="15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vAlign w:val="center"/>
          </w:tcPr>
          <w:p w:rsidR="00CE5B52" w:rsidRPr="00B1201B" w:rsidRDefault="00CE5B52" w:rsidP="00802F90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B1201B">
              <w:rPr>
                <w:rFonts w:cs="Arial"/>
                <w:b/>
                <w:bCs/>
                <w:color w:val="16365C"/>
                <w:sz w:val="18"/>
                <w:szCs w:val="18"/>
              </w:rPr>
              <w:t>38,9%</w:t>
            </w:r>
          </w:p>
        </w:tc>
        <w:tc>
          <w:tcPr>
            <w:tcW w:w="15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:rsidR="00CE5B52" w:rsidRPr="00B1201B" w:rsidRDefault="00CE5B52" w:rsidP="00802F90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B1201B">
              <w:rPr>
                <w:rFonts w:cs="Arial"/>
                <w:b/>
                <w:bCs/>
                <w:color w:val="16365C"/>
                <w:sz w:val="18"/>
                <w:szCs w:val="18"/>
              </w:rPr>
              <w:t>31,3%</w:t>
            </w:r>
          </w:p>
        </w:tc>
      </w:tr>
    </w:tbl>
    <w:p w:rsidR="00B2189B" w:rsidRPr="00970E52" w:rsidRDefault="00B2189B" w:rsidP="00B2189B">
      <w:pPr>
        <w:spacing w:before="40"/>
        <w:rPr>
          <w:rFonts w:cs="Arial"/>
          <w:i/>
          <w:color w:val="17365D" w:themeColor="text2" w:themeShade="BF"/>
          <w:sz w:val="16"/>
          <w:szCs w:val="16"/>
          <w:lang w:eastAsia="hr-HR"/>
        </w:rPr>
      </w:pPr>
      <w:r w:rsidRPr="00970E52">
        <w:rPr>
          <w:rFonts w:cs="Arial"/>
          <w:i/>
          <w:color w:val="17365D" w:themeColor="text2" w:themeShade="BF"/>
          <w:sz w:val="16"/>
          <w:szCs w:val="16"/>
          <w:lang w:eastAsia="hr-HR"/>
        </w:rPr>
        <w:t>Izvor: Fina – Registar godišnjih financijskih izvještaja</w:t>
      </w:r>
    </w:p>
    <w:p w:rsidR="005B25B6" w:rsidRDefault="007D5030" w:rsidP="00003B7F">
      <w:pPr>
        <w:spacing w:before="180"/>
        <w:rPr>
          <w:rFonts w:cs="Arial"/>
          <w:color w:val="17365D" w:themeColor="text2" w:themeShade="BF"/>
          <w:szCs w:val="20"/>
        </w:rPr>
      </w:pPr>
      <w:r>
        <w:rPr>
          <w:rFonts w:cs="Arial"/>
          <w:color w:val="17365D" w:themeColor="text2" w:themeShade="BF"/>
          <w:szCs w:val="20"/>
        </w:rPr>
        <w:t xml:space="preserve">Najveći ukupan prihod u razredu djelatnosti 47.65 iskazao je poduzetnik </w:t>
      </w:r>
      <w:hyperlink r:id="rId24" w:history="1">
        <w:r w:rsidRPr="006B5814">
          <w:rPr>
            <w:rStyle w:val="Hyperlink"/>
            <w:rFonts w:cs="Arial"/>
            <w:szCs w:val="20"/>
          </w:rPr>
          <w:t>EUROM DENIS MALOPRODAJA d.o.o.</w:t>
        </w:r>
      </w:hyperlink>
      <w:r>
        <w:rPr>
          <w:rFonts w:cs="Arial"/>
          <w:color w:val="17365D" w:themeColor="text2" w:themeShade="BF"/>
          <w:szCs w:val="20"/>
        </w:rPr>
        <w:t xml:space="preserve"> i to u iznosu od 21,9 milijuna kuna (</w:t>
      </w:r>
      <w:r w:rsidR="00913456">
        <w:rPr>
          <w:rFonts w:cs="Arial"/>
          <w:color w:val="17365D" w:themeColor="text2" w:themeShade="BF"/>
          <w:szCs w:val="20"/>
        </w:rPr>
        <w:t>45,5</w:t>
      </w:r>
      <w:r w:rsidR="00B1201B">
        <w:rPr>
          <w:rFonts w:cs="Arial"/>
          <w:color w:val="17365D" w:themeColor="text2" w:themeShade="BF"/>
          <w:szCs w:val="20"/>
        </w:rPr>
        <w:t xml:space="preserve"> </w:t>
      </w:r>
      <w:r w:rsidR="00913456">
        <w:rPr>
          <w:rFonts w:cs="Arial"/>
          <w:color w:val="17365D" w:themeColor="text2" w:themeShade="BF"/>
          <w:szCs w:val="20"/>
        </w:rPr>
        <w:t xml:space="preserve">% ukupnog prihoda top </w:t>
      </w:r>
      <w:r w:rsidR="00B1201B">
        <w:rPr>
          <w:rFonts w:cs="Arial"/>
          <w:color w:val="17365D" w:themeColor="text2" w:themeShade="BF"/>
          <w:szCs w:val="20"/>
        </w:rPr>
        <w:t>pet</w:t>
      </w:r>
      <w:r w:rsidR="00913456">
        <w:rPr>
          <w:rFonts w:cs="Arial"/>
          <w:color w:val="17365D" w:themeColor="text2" w:themeShade="BF"/>
          <w:szCs w:val="20"/>
        </w:rPr>
        <w:t xml:space="preserve"> poduzetnika s najvećim prihodom razreda djelatnosti 47.65 i 41,2</w:t>
      </w:r>
      <w:r w:rsidR="00B1201B">
        <w:rPr>
          <w:rFonts w:cs="Arial"/>
          <w:color w:val="17365D" w:themeColor="text2" w:themeShade="BF"/>
          <w:szCs w:val="20"/>
        </w:rPr>
        <w:t xml:space="preserve"> </w:t>
      </w:r>
      <w:r w:rsidR="00913456">
        <w:rPr>
          <w:rFonts w:cs="Arial"/>
          <w:color w:val="17365D" w:themeColor="text2" w:themeShade="BF"/>
          <w:szCs w:val="20"/>
        </w:rPr>
        <w:t>% razreda djelatnosti 47.65).</w:t>
      </w:r>
    </w:p>
    <w:p w:rsidR="002640E8" w:rsidRPr="00B1201B" w:rsidRDefault="00B2189B" w:rsidP="00B1201B">
      <w:pPr>
        <w:tabs>
          <w:tab w:val="left" w:pos="1134"/>
        </w:tabs>
        <w:spacing w:before="180" w:after="40" w:line="240" w:lineRule="auto"/>
        <w:ind w:left="1134" w:hanging="1134"/>
        <w:jc w:val="left"/>
        <w:rPr>
          <w:rFonts w:cs="Arial"/>
          <w:color w:val="17365D" w:themeColor="text2" w:themeShade="BF"/>
          <w:sz w:val="18"/>
          <w:szCs w:val="18"/>
        </w:rPr>
      </w:pPr>
      <w:r w:rsidRPr="00B1201B">
        <w:rPr>
          <w:rFonts w:cs="Arial"/>
          <w:b/>
          <w:color w:val="17365D" w:themeColor="text2" w:themeShade="BF"/>
          <w:sz w:val="18"/>
          <w:szCs w:val="18"/>
        </w:rPr>
        <w:t>Tablica 4</w:t>
      </w:r>
      <w:r w:rsidR="002640E8" w:rsidRPr="00B1201B">
        <w:rPr>
          <w:rFonts w:cs="Arial"/>
          <w:b/>
          <w:color w:val="17365D" w:themeColor="text2" w:themeShade="BF"/>
          <w:sz w:val="18"/>
          <w:szCs w:val="18"/>
        </w:rPr>
        <w:t>.</w:t>
      </w:r>
      <w:r w:rsidR="002640E8" w:rsidRPr="00B1201B">
        <w:rPr>
          <w:rFonts w:cs="Arial"/>
          <w:b/>
          <w:color w:val="17365D" w:themeColor="text2" w:themeShade="BF"/>
          <w:sz w:val="18"/>
          <w:szCs w:val="18"/>
        </w:rPr>
        <w:tab/>
      </w:r>
      <w:hyperlink r:id="rId25" w:history="1">
        <w:r w:rsidR="005C5161" w:rsidRPr="006B5814">
          <w:rPr>
            <w:rStyle w:val="Hyperlink"/>
            <w:rFonts w:eastAsia="Times New Roman" w:cs="Arial"/>
            <w:b/>
            <w:sz w:val="18"/>
            <w:szCs w:val="18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EUROM DENIS MALOPRODAJA d.o.o</w:t>
        </w:r>
      </w:hyperlink>
      <w:r w:rsidR="005C5161" w:rsidRPr="006B5814">
        <w:rPr>
          <w:rFonts w:eastAsia="Times New Roman" w:cs="Arial"/>
          <w:b/>
          <w:sz w:val="18"/>
          <w:szCs w:val="18"/>
          <w:lang w:eastAsia="hr-HR"/>
          <w14:textFill>
            <w14:solidFill>
              <w14:srgbClr w14:val="1F497D">
                <w14:lumMod w14:val="75000"/>
              </w14:srgbClr>
            </w14:solidFill>
          </w14:textFill>
        </w:rPr>
        <w:t>.</w:t>
      </w:r>
      <w:r w:rsidR="003D0FDF" w:rsidRPr="00B1201B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2640E8" w:rsidRPr="00B1201B">
        <w:rPr>
          <w:rFonts w:cs="Arial"/>
          <w:b/>
          <w:color w:val="17365D" w:themeColor="text2" w:themeShade="BF"/>
          <w:sz w:val="18"/>
          <w:szCs w:val="18"/>
        </w:rPr>
        <w:t xml:space="preserve">na prvom je mjestu među poduzetnicima u djelatnosti NKD 47.65 prema </w:t>
      </w:r>
      <w:r w:rsidR="005C5161" w:rsidRPr="00B1201B">
        <w:rPr>
          <w:rFonts w:cs="Arial"/>
          <w:b/>
          <w:color w:val="17365D" w:themeColor="text2" w:themeShade="BF"/>
          <w:sz w:val="18"/>
          <w:szCs w:val="18"/>
        </w:rPr>
        <w:t>ukupnom prihodu u 2015</w:t>
      </w:r>
      <w:r w:rsidR="002640E8" w:rsidRPr="00B1201B">
        <w:rPr>
          <w:rFonts w:cs="Arial"/>
          <w:b/>
          <w:color w:val="17365D" w:themeColor="text2" w:themeShade="BF"/>
          <w:sz w:val="18"/>
          <w:szCs w:val="18"/>
        </w:rPr>
        <w:t xml:space="preserve">. godini – </w:t>
      </w:r>
      <w:r w:rsidR="002640E8" w:rsidRPr="00B1201B">
        <w:rPr>
          <w:rFonts w:cs="Arial"/>
          <w:color w:val="17365D" w:themeColor="text2" w:themeShade="BF"/>
          <w:sz w:val="18"/>
          <w:szCs w:val="18"/>
        </w:rPr>
        <w:t xml:space="preserve">niže prikazani podaci objavljeni su na </w:t>
      </w:r>
      <w:hyperlink r:id="rId26" w:history="1">
        <w:r w:rsidR="002640E8" w:rsidRPr="00B1201B">
          <w:rPr>
            <w:rFonts w:cs="Arial"/>
            <w:color w:val="17365D" w:themeColor="text2" w:themeShade="BF"/>
            <w:sz w:val="18"/>
            <w:szCs w:val="18"/>
            <w:u w:val="single"/>
          </w:rPr>
          <w:t>Transparentno.hr</w:t>
        </w:r>
      </w:hyperlink>
      <w:r w:rsidR="002640E8" w:rsidRPr="00B1201B">
        <w:rPr>
          <w:rFonts w:cs="Arial"/>
          <w:color w:val="17365D" w:themeColor="text2" w:themeShade="BF"/>
          <w:sz w:val="18"/>
          <w:szCs w:val="18"/>
          <w:vertAlign w:val="superscript"/>
        </w:rPr>
        <w:footnoteReference w:id="7"/>
      </w:r>
    </w:p>
    <w:tbl>
      <w:tblPr>
        <w:tblW w:w="9792" w:type="dxa"/>
        <w:jc w:val="center"/>
        <w:tblInd w:w="-1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5562"/>
        <w:gridCol w:w="1984"/>
        <w:gridCol w:w="2246"/>
      </w:tblGrid>
      <w:tr w:rsidR="00A8335B" w:rsidRPr="00A8335B" w:rsidTr="00F308C9">
        <w:trPr>
          <w:trHeight w:val="283"/>
          <w:jc w:val="center"/>
        </w:trPr>
        <w:tc>
          <w:tcPr>
            <w:tcW w:w="5562" w:type="dxa"/>
            <w:vMerge w:val="restart"/>
            <w:shd w:val="clear" w:color="auto" w:fill="FFFFFF"/>
            <w:vAlign w:val="center"/>
          </w:tcPr>
          <w:p w:rsidR="002640E8" w:rsidRPr="00A8335B" w:rsidRDefault="005C5161" w:rsidP="00612009">
            <w:pPr>
              <w:widowControl w:val="0"/>
              <w:spacing w:line="240" w:lineRule="auto"/>
              <w:jc w:val="center"/>
              <w:rPr>
                <w:rFonts w:ascii="Calibri" w:hAnsi="Calibri"/>
                <w:noProof/>
                <w:color w:val="FF0000"/>
                <w:sz w:val="22"/>
                <w:lang w:eastAsia="hr-HR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4380B76F" wp14:editId="3C09E7E1">
                  <wp:extent cx="3450866" cy="1105231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1588" cy="110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640E8" w:rsidRPr="003D0FDF" w:rsidRDefault="002640E8" w:rsidP="00F308C9">
            <w:pPr>
              <w:spacing w:line="240" w:lineRule="auto"/>
              <w:ind w:hanging="36"/>
              <w:jc w:val="left"/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3D0FDF"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  <w:t xml:space="preserve">OIB 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2640E8" w:rsidRPr="003D0FDF" w:rsidRDefault="006A3153" w:rsidP="006A3153">
            <w:pPr>
              <w:spacing w:line="240" w:lineRule="auto"/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3D0FDF"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  <w:t>44225131109</w:t>
            </w:r>
          </w:p>
        </w:tc>
      </w:tr>
      <w:tr w:rsidR="00A8335B" w:rsidRPr="00A8335B" w:rsidTr="00F308C9">
        <w:trPr>
          <w:trHeight w:val="283"/>
          <w:jc w:val="center"/>
        </w:trPr>
        <w:tc>
          <w:tcPr>
            <w:tcW w:w="5562" w:type="dxa"/>
            <w:vMerge/>
            <w:shd w:val="clear" w:color="auto" w:fill="FFFFFF"/>
          </w:tcPr>
          <w:p w:rsidR="002640E8" w:rsidRPr="00A8335B" w:rsidRDefault="002640E8" w:rsidP="0092611E">
            <w:pPr>
              <w:widowControl w:val="0"/>
              <w:spacing w:before="120" w:line="288" w:lineRule="auto"/>
              <w:rPr>
                <w:rFonts w:ascii="Calibri" w:hAnsi="Calibri"/>
                <w:noProof/>
                <w:color w:val="FF0000"/>
                <w:sz w:val="22"/>
                <w:lang w:eastAsia="hr-HR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640E8" w:rsidRPr="003D0FDF" w:rsidRDefault="002640E8" w:rsidP="00F308C9">
            <w:pPr>
              <w:spacing w:line="240" w:lineRule="auto"/>
              <w:ind w:hanging="36"/>
              <w:jc w:val="left"/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3D0FDF"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  <w:t xml:space="preserve">MB 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2640E8" w:rsidRPr="003D0FDF" w:rsidRDefault="006A3153" w:rsidP="0092611E">
            <w:pPr>
              <w:spacing w:line="240" w:lineRule="auto"/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3D0FDF"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  <w:t>04109481</w:t>
            </w:r>
          </w:p>
        </w:tc>
      </w:tr>
      <w:tr w:rsidR="00A8335B" w:rsidRPr="00A8335B" w:rsidTr="00F308C9">
        <w:trPr>
          <w:trHeight w:val="283"/>
          <w:jc w:val="center"/>
        </w:trPr>
        <w:tc>
          <w:tcPr>
            <w:tcW w:w="5562" w:type="dxa"/>
            <w:vMerge/>
            <w:shd w:val="clear" w:color="auto" w:fill="FFFFFF"/>
          </w:tcPr>
          <w:p w:rsidR="002640E8" w:rsidRPr="00A8335B" w:rsidRDefault="002640E8" w:rsidP="0092611E">
            <w:pPr>
              <w:widowControl w:val="0"/>
              <w:spacing w:before="120" w:line="288" w:lineRule="auto"/>
              <w:rPr>
                <w:rFonts w:ascii="Calibri" w:hAnsi="Calibri"/>
                <w:noProof/>
                <w:color w:val="FF0000"/>
                <w:sz w:val="22"/>
                <w:lang w:eastAsia="hr-HR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640E8" w:rsidRPr="003D0FDF" w:rsidRDefault="002640E8" w:rsidP="00F308C9">
            <w:pPr>
              <w:spacing w:line="240" w:lineRule="auto"/>
              <w:ind w:hanging="36"/>
              <w:jc w:val="left"/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3D0FDF"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  <w:t xml:space="preserve">Veličina 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2640E8" w:rsidRPr="003D0FDF" w:rsidRDefault="002640E8" w:rsidP="0092611E">
            <w:pPr>
              <w:spacing w:line="240" w:lineRule="auto"/>
              <w:jc w:val="left"/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3D0FDF"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  <w:t>Mali</w:t>
            </w:r>
          </w:p>
        </w:tc>
      </w:tr>
      <w:tr w:rsidR="00A8335B" w:rsidRPr="00A8335B" w:rsidTr="00F308C9">
        <w:trPr>
          <w:trHeight w:val="283"/>
          <w:jc w:val="center"/>
        </w:trPr>
        <w:tc>
          <w:tcPr>
            <w:tcW w:w="5562" w:type="dxa"/>
            <w:vMerge/>
            <w:shd w:val="clear" w:color="auto" w:fill="FFFFFF"/>
          </w:tcPr>
          <w:p w:rsidR="002640E8" w:rsidRPr="00A8335B" w:rsidRDefault="002640E8" w:rsidP="0092611E">
            <w:pPr>
              <w:widowControl w:val="0"/>
              <w:spacing w:before="120" w:line="288" w:lineRule="auto"/>
              <w:rPr>
                <w:rFonts w:ascii="Calibri" w:hAnsi="Calibri"/>
                <w:noProof/>
                <w:color w:val="FF0000"/>
                <w:sz w:val="22"/>
                <w:lang w:eastAsia="hr-HR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640E8" w:rsidRPr="003D0FDF" w:rsidRDefault="002640E8" w:rsidP="00F308C9">
            <w:pPr>
              <w:spacing w:line="240" w:lineRule="auto"/>
              <w:ind w:hanging="36"/>
              <w:jc w:val="left"/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3D0FDF"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  <w:t xml:space="preserve">Temeljni kapital 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2640E8" w:rsidRPr="003D0FDF" w:rsidRDefault="002640E8" w:rsidP="0092611E">
            <w:pPr>
              <w:spacing w:line="240" w:lineRule="auto"/>
              <w:jc w:val="left"/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3D0FDF"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  <w:t>20.000 kn</w:t>
            </w:r>
          </w:p>
        </w:tc>
      </w:tr>
      <w:tr w:rsidR="00A8335B" w:rsidRPr="00A8335B" w:rsidTr="00F308C9">
        <w:trPr>
          <w:trHeight w:val="283"/>
          <w:jc w:val="center"/>
        </w:trPr>
        <w:tc>
          <w:tcPr>
            <w:tcW w:w="5562" w:type="dxa"/>
            <w:vMerge/>
            <w:shd w:val="clear" w:color="auto" w:fill="FFFFFF"/>
          </w:tcPr>
          <w:p w:rsidR="002640E8" w:rsidRPr="00A8335B" w:rsidRDefault="002640E8" w:rsidP="0092611E">
            <w:pPr>
              <w:widowControl w:val="0"/>
              <w:spacing w:before="120" w:line="288" w:lineRule="auto"/>
              <w:rPr>
                <w:rFonts w:ascii="Calibri" w:hAnsi="Calibri"/>
                <w:noProof/>
                <w:color w:val="FF0000"/>
                <w:sz w:val="22"/>
                <w:lang w:eastAsia="hr-HR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640E8" w:rsidRPr="003D0FDF" w:rsidRDefault="002640E8" w:rsidP="00F308C9">
            <w:pPr>
              <w:spacing w:line="240" w:lineRule="auto"/>
              <w:ind w:hanging="36"/>
              <w:jc w:val="left"/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3D0FDF"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  <w:t xml:space="preserve">Korisnik koncesije 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2640E8" w:rsidRPr="003D0FDF" w:rsidRDefault="002640E8" w:rsidP="0092611E">
            <w:pPr>
              <w:spacing w:line="240" w:lineRule="auto"/>
              <w:ind w:right="-108"/>
              <w:jc w:val="left"/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3D0FDF"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  <w:t>Ne</w:t>
            </w:r>
          </w:p>
        </w:tc>
      </w:tr>
      <w:tr w:rsidR="00A8335B" w:rsidRPr="00A8335B" w:rsidTr="00F308C9">
        <w:trPr>
          <w:trHeight w:val="283"/>
          <w:jc w:val="center"/>
        </w:trPr>
        <w:tc>
          <w:tcPr>
            <w:tcW w:w="5562" w:type="dxa"/>
            <w:vMerge/>
            <w:shd w:val="clear" w:color="auto" w:fill="FFFFFF"/>
          </w:tcPr>
          <w:p w:rsidR="002640E8" w:rsidRPr="00A8335B" w:rsidRDefault="002640E8" w:rsidP="0092611E">
            <w:pPr>
              <w:widowControl w:val="0"/>
              <w:spacing w:before="120" w:line="288" w:lineRule="auto"/>
              <w:rPr>
                <w:rFonts w:ascii="Calibri" w:hAnsi="Calibri"/>
                <w:noProof/>
                <w:color w:val="FF0000"/>
                <w:sz w:val="22"/>
                <w:lang w:eastAsia="hr-HR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640E8" w:rsidRPr="003D0FDF" w:rsidRDefault="002640E8" w:rsidP="00F308C9">
            <w:pPr>
              <w:spacing w:line="240" w:lineRule="auto"/>
              <w:ind w:hanging="36"/>
              <w:jc w:val="left"/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3D0FDF"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  <w:t xml:space="preserve">U predstečanoj nagodbi 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2640E8" w:rsidRPr="003D0FDF" w:rsidRDefault="002640E8" w:rsidP="0092611E">
            <w:pPr>
              <w:spacing w:line="240" w:lineRule="auto"/>
              <w:jc w:val="left"/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3D0FDF">
              <w:rPr>
                <w:rFonts w:cs="Arial"/>
                <w:noProof/>
                <w:color w:val="17365D" w:themeColor="text2" w:themeShade="BF"/>
                <w:sz w:val="16"/>
                <w:szCs w:val="16"/>
                <w:lang w:eastAsia="hr-HR"/>
              </w:rPr>
              <w:t>Ne</w:t>
            </w:r>
          </w:p>
        </w:tc>
      </w:tr>
    </w:tbl>
    <w:p w:rsidR="002640E8" w:rsidRPr="00A8335B" w:rsidRDefault="002640E8" w:rsidP="00E5018E">
      <w:pPr>
        <w:jc w:val="left"/>
        <w:rPr>
          <w:i/>
          <w:color w:val="FF0000"/>
          <w:sz w:val="4"/>
          <w:szCs w:val="16"/>
          <w:lang w:eastAsia="hr-HR"/>
        </w:rPr>
      </w:pPr>
    </w:p>
    <w:p w:rsidR="002640E8" w:rsidRPr="006A3153" w:rsidRDefault="002640E8" w:rsidP="004777B5">
      <w:pPr>
        <w:spacing w:line="240" w:lineRule="auto"/>
        <w:rPr>
          <w:i/>
          <w:color w:val="17365D" w:themeColor="text2" w:themeShade="BF"/>
          <w:sz w:val="16"/>
          <w:szCs w:val="16"/>
          <w:lang w:eastAsia="hr-HR"/>
        </w:rPr>
      </w:pPr>
      <w:r w:rsidRPr="006A3153">
        <w:rPr>
          <w:i/>
          <w:color w:val="17365D" w:themeColor="text2" w:themeShade="BF"/>
          <w:sz w:val="16"/>
          <w:szCs w:val="16"/>
          <w:lang w:eastAsia="hr-HR"/>
        </w:rPr>
        <w:t xml:space="preserve">Izvor: Financijska agencija – Registar godišnjih financijskih izvještaja, </w:t>
      </w:r>
      <w:hyperlink r:id="rId28" w:history="1">
        <w:r w:rsidRPr="006A3153">
          <w:rPr>
            <w:i/>
            <w:color w:val="17365D" w:themeColor="text2" w:themeShade="BF"/>
            <w:sz w:val="16"/>
            <w:szCs w:val="16"/>
            <w:u w:val="single"/>
            <w:lang w:eastAsia="hr-HR"/>
          </w:rPr>
          <w:t>Transparentno.hr</w:t>
        </w:r>
      </w:hyperlink>
    </w:p>
    <w:p w:rsidR="002640E8" w:rsidRPr="003D0FDF" w:rsidRDefault="002640E8" w:rsidP="00B1201B">
      <w:pPr>
        <w:spacing w:before="180"/>
        <w:rPr>
          <w:rFonts w:cs="Arial"/>
          <w:color w:val="17365D" w:themeColor="text2" w:themeShade="BF"/>
          <w:szCs w:val="20"/>
        </w:rPr>
      </w:pPr>
      <w:r w:rsidRPr="00913456">
        <w:rPr>
          <w:rFonts w:cs="Arial"/>
          <w:color w:val="17365D" w:themeColor="text2" w:themeShade="BF"/>
          <w:szCs w:val="20"/>
        </w:rPr>
        <w:t>Prosječna obračunata mjesečna neto plaća zaposlenih kod poduzetnika u djelatnosti trgovine na malo igrama i igračkama u speci</w:t>
      </w:r>
      <w:r w:rsidR="005B25B6" w:rsidRPr="00913456">
        <w:rPr>
          <w:rFonts w:cs="Arial"/>
          <w:color w:val="17365D" w:themeColor="text2" w:themeShade="BF"/>
          <w:szCs w:val="20"/>
        </w:rPr>
        <w:t>jaliziranim prodavaonica, u 2015</w:t>
      </w:r>
      <w:r w:rsidRPr="00913456">
        <w:rPr>
          <w:rFonts w:cs="Arial"/>
          <w:color w:val="17365D" w:themeColor="text2" w:themeShade="BF"/>
          <w:szCs w:val="20"/>
        </w:rPr>
        <w:t xml:space="preserve">. godini iznosila </w:t>
      </w:r>
      <w:r w:rsidRPr="00675A67">
        <w:rPr>
          <w:rFonts w:cs="Arial"/>
          <w:color w:val="17365D" w:themeColor="text2" w:themeShade="BF"/>
          <w:szCs w:val="20"/>
        </w:rPr>
        <w:t xml:space="preserve">je </w:t>
      </w:r>
      <w:r w:rsidR="00675A67" w:rsidRPr="00675A67">
        <w:rPr>
          <w:rFonts w:cs="Arial"/>
          <w:color w:val="17365D" w:themeColor="text2" w:themeShade="BF"/>
          <w:szCs w:val="20"/>
        </w:rPr>
        <w:t>3.088 kuna</w:t>
      </w:r>
      <w:r w:rsidRPr="00675A67">
        <w:rPr>
          <w:rFonts w:cs="Arial"/>
          <w:color w:val="17365D" w:themeColor="text2" w:themeShade="BF"/>
          <w:szCs w:val="20"/>
        </w:rPr>
        <w:t xml:space="preserve">, što </w:t>
      </w:r>
      <w:r w:rsidRPr="003D0FDF">
        <w:rPr>
          <w:rFonts w:cs="Arial"/>
          <w:color w:val="17365D" w:themeColor="text2" w:themeShade="BF"/>
          <w:szCs w:val="20"/>
        </w:rPr>
        <w:t xml:space="preserve">je </w:t>
      </w:r>
      <w:r w:rsidR="003D0FDF" w:rsidRPr="003D0FDF">
        <w:rPr>
          <w:rFonts w:cs="Arial"/>
          <w:color w:val="17365D" w:themeColor="text2" w:themeShade="BF"/>
          <w:szCs w:val="20"/>
        </w:rPr>
        <w:t>38,5</w:t>
      </w:r>
      <w:r w:rsidRPr="003D0FDF">
        <w:rPr>
          <w:rFonts w:cs="Arial"/>
          <w:color w:val="17365D" w:themeColor="text2" w:themeShade="BF"/>
          <w:szCs w:val="20"/>
        </w:rPr>
        <w:t>% manje od prosječne mjesečne neto plaće zaposlenih kod poduzetnika na razini RH (</w:t>
      </w:r>
      <w:r w:rsidR="003D0FDF" w:rsidRPr="003D0FDF">
        <w:rPr>
          <w:rFonts w:cs="Arial"/>
          <w:color w:val="17365D" w:themeColor="text2" w:themeShade="BF"/>
          <w:szCs w:val="20"/>
        </w:rPr>
        <w:t>5.019</w:t>
      </w:r>
      <w:r w:rsidRPr="003D0FDF">
        <w:rPr>
          <w:rFonts w:cs="Arial"/>
          <w:color w:val="17365D" w:themeColor="text2" w:themeShade="BF"/>
          <w:szCs w:val="20"/>
        </w:rPr>
        <w:t xml:space="preserve"> kuna). Zaposlenima kod poduzetnika u spomenutom području djelatnosti obračunana je najveća prosječna mjesečna plaća 2011. g</w:t>
      </w:r>
      <w:r w:rsidR="003D0FDF">
        <w:rPr>
          <w:rFonts w:cs="Arial"/>
          <w:color w:val="17365D" w:themeColor="text2" w:themeShade="BF"/>
          <w:szCs w:val="20"/>
        </w:rPr>
        <w:t>odine i iznosila je 4.180 kuna odnosno bila je 1.092 kune veća u odnosu na prosječnu mjesečnu plaću obračunatu u 2015. godini</w:t>
      </w:r>
      <w:r w:rsidR="00FE0A23">
        <w:rPr>
          <w:rFonts w:cs="Arial"/>
          <w:color w:val="17365D" w:themeColor="text2" w:themeShade="BF"/>
          <w:szCs w:val="20"/>
        </w:rPr>
        <w:t xml:space="preserve"> odnosno 35,4</w:t>
      </w:r>
      <w:r w:rsidR="00B1201B">
        <w:rPr>
          <w:rFonts w:cs="Arial"/>
          <w:color w:val="17365D" w:themeColor="text2" w:themeShade="BF"/>
          <w:szCs w:val="20"/>
        </w:rPr>
        <w:t xml:space="preserve"> </w:t>
      </w:r>
      <w:r w:rsidR="00FE0A23">
        <w:rPr>
          <w:rFonts w:cs="Arial"/>
          <w:color w:val="17365D" w:themeColor="text2" w:themeShade="BF"/>
          <w:szCs w:val="20"/>
        </w:rPr>
        <w:t>%</w:t>
      </w:r>
      <w:r w:rsidR="003D0FDF">
        <w:rPr>
          <w:rFonts w:cs="Arial"/>
          <w:color w:val="17365D" w:themeColor="text2" w:themeShade="BF"/>
          <w:szCs w:val="20"/>
        </w:rPr>
        <w:t>.</w:t>
      </w:r>
    </w:p>
    <w:p w:rsidR="002640E8" w:rsidRPr="00970E52" w:rsidRDefault="00B2189B" w:rsidP="004777B5">
      <w:pPr>
        <w:widowControl w:val="0"/>
        <w:tabs>
          <w:tab w:val="left" w:pos="1134"/>
          <w:tab w:val="left" w:pos="8222"/>
        </w:tabs>
        <w:spacing w:before="180" w:after="40" w:line="240" w:lineRule="auto"/>
        <w:rPr>
          <w:rFonts w:cs="Arial"/>
          <w:b/>
          <w:color w:val="17365D" w:themeColor="text2" w:themeShade="BF"/>
          <w:szCs w:val="20"/>
        </w:rPr>
      </w:pPr>
      <w:r>
        <w:rPr>
          <w:b/>
          <w:color w:val="17365D" w:themeColor="text2" w:themeShade="BF"/>
          <w:sz w:val="18"/>
          <w:szCs w:val="18"/>
          <w:lang w:eastAsia="hr-HR"/>
        </w:rPr>
        <w:lastRenderedPageBreak/>
        <w:t>Tablica 5</w:t>
      </w:r>
      <w:r w:rsidR="002640E8" w:rsidRPr="00970E52">
        <w:rPr>
          <w:b/>
          <w:color w:val="17365D" w:themeColor="text2" w:themeShade="BF"/>
          <w:sz w:val="18"/>
          <w:szCs w:val="18"/>
          <w:lang w:eastAsia="hr-HR"/>
        </w:rPr>
        <w:t>.</w:t>
      </w:r>
      <w:r w:rsidR="002640E8" w:rsidRPr="00970E52">
        <w:rPr>
          <w:b/>
          <w:color w:val="17365D" w:themeColor="text2" w:themeShade="BF"/>
          <w:sz w:val="18"/>
          <w:szCs w:val="18"/>
          <w:lang w:eastAsia="hr-HR"/>
        </w:rPr>
        <w:tab/>
        <w:t xml:space="preserve">Top </w:t>
      </w:r>
      <w:r w:rsidR="004777B5">
        <w:rPr>
          <w:b/>
          <w:color w:val="17365D" w:themeColor="text2" w:themeShade="BF"/>
          <w:sz w:val="18"/>
          <w:szCs w:val="18"/>
          <w:lang w:eastAsia="hr-HR"/>
        </w:rPr>
        <w:t>pet</w:t>
      </w:r>
      <w:r w:rsidR="002640E8" w:rsidRPr="00970E52">
        <w:rPr>
          <w:b/>
          <w:color w:val="17365D" w:themeColor="text2" w:themeShade="BF"/>
          <w:sz w:val="18"/>
          <w:szCs w:val="18"/>
          <w:lang w:eastAsia="hr-HR"/>
        </w:rPr>
        <w:t xml:space="preserve"> poduz</w:t>
      </w:r>
      <w:r w:rsidR="00970E52" w:rsidRPr="00970E52">
        <w:rPr>
          <w:b/>
          <w:color w:val="17365D" w:themeColor="text2" w:themeShade="BF"/>
          <w:sz w:val="18"/>
          <w:szCs w:val="18"/>
          <w:lang w:eastAsia="hr-HR"/>
        </w:rPr>
        <w:t>etnika po ukupnom prihodu u 2015</w:t>
      </w:r>
      <w:r w:rsidR="002640E8" w:rsidRPr="00970E52">
        <w:rPr>
          <w:b/>
          <w:color w:val="17365D" w:themeColor="text2" w:themeShade="BF"/>
          <w:sz w:val="18"/>
          <w:szCs w:val="18"/>
          <w:lang w:eastAsia="hr-HR"/>
        </w:rPr>
        <w:t>. g., u razredu djelatnosti 47.65</w:t>
      </w:r>
      <w:r w:rsidR="002D48D5">
        <w:rPr>
          <w:b/>
          <w:color w:val="17365D" w:themeColor="text2" w:themeShade="BF"/>
          <w:sz w:val="19"/>
          <w:szCs w:val="19"/>
          <w:lang w:eastAsia="hr-HR"/>
        </w:rPr>
        <w:tab/>
      </w:r>
      <w:r w:rsidR="002640E8" w:rsidRPr="00970E52">
        <w:rPr>
          <w:rFonts w:cs="Arial"/>
          <w:color w:val="17365D" w:themeColor="text2" w:themeShade="BF"/>
          <w:sz w:val="16"/>
          <w:szCs w:val="16"/>
        </w:rPr>
        <w:t>(iznosi u tisućama kn)</w:t>
      </w:r>
    </w:p>
    <w:tbl>
      <w:tblPr>
        <w:tblW w:w="9835" w:type="dxa"/>
        <w:jc w:val="center"/>
        <w:tblLayout w:type="fixed"/>
        <w:tblLook w:val="00A0" w:firstRow="1" w:lastRow="0" w:firstColumn="1" w:lastColumn="0" w:noHBand="0" w:noVBand="0"/>
      </w:tblPr>
      <w:tblGrid>
        <w:gridCol w:w="453"/>
        <w:gridCol w:w="1331"/>
        <w:gridCol w:w="3402"/>
        <w:gridCol w:w="851"/>
        <w:gridCol w:w="1134"/>
        <w:gridCol w:w="1247"/>
        <w:gridCol w:w="1417"/>
      </w:tblGrid>
      <w:tr w:rsidR="004777B5" w:rsidRPr="002806BB" w:rsidTr="004777B5">
        <w:trPr>
          <w:trHeight w:val="425"/>
          <w:jc w:val="center"/>
        </w:trPr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:rsidR="002640E8" w:rsidRPr="00970E52" w:rsidRDefault="002640E8" w:rsidP="00802F90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70E52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:rsidR="002640E8" w:rsidRPr="00970E52" w:rsidRDefault="002640E8" w:rsidP="00802F90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70E52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:rsidR="002640E8" w:rsidRPr="00970E52" w:rsidRDefault="002640E8" w:rsidP="00802F90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70E52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:rsidR="002640E8" w:rsidRPr="00B1201B" w:rsidRDefault="002640E8" w:rsidP="00802F90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B1201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Mjesto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:rsidR="002640E8" w:rsidRPr="00B1201B" w:rsidRDefault="002640E8" w:rsidP="00802F90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B1201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:rsidR="002640E8" w:rsidRPr="00B1201B" w:rsidRDefault="002640E8" w:rsidP="00802F90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B1201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:rsidR="002640E8" w:rsidRPr="00B1201B" w:rsidRDefault="002640E8" w:rsidP="00802F90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B1201B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Dobit ili gubitak razdoblja</w:t>
            </w:r>
          </w:p>
        </w:tc>
      </w:tr>
      <w:tr w:rsidR="00C603B6" w:rsidRPr="002806BB" w:rsidTr="004777B5">
        <w:trPr>
          <w:trHeight w:val="283"/>
          <w:jc w:val="center"/>
        </w:trPr>
        <w:tc>
          <w:tcPr>
            <w:tcW w:w="453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Default="00C603B6" w:rsidP="00802F90">
            <w:pPr>
              <w:spacing w:line="240" w:lineRule="auto"/>
              <w:jc w:val="right"/>
              <w:rPr>
                <w:rFonts w:cs="Arial"/>
                <w:color w:val="17365D"/>
                <w:sz w:val="18"/>
                <w:szCs w:val="18"/>
              </w:rPr>
            </w:pPr>
            <w:r>
              <w:rPr>
                <w:rFonts w:cs="Arial"/>
                <w:color w:val="17365D"/>
                <w:sz w:val="18"/>
                <w:szCs w:val="18"/>
              </w:rPr>
              <w:t>1.</w:t>
            </w: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Default="00C603B6" w:rsidP="00802F90">
            <w:pPr>
              <w:spacing w:line="240" w:lineRule="auto"/>
              <w:jc w:val="center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44225131109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Default="006B5814" w:rsidP="00802F90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hyperlink r:id="rId29" w:history="1">
              <w:r w:rsidR="00C603B6" w:rsidRPr="006B5814">
                <w:rPr>
                  <w:rStyle w:val="Hyperlink"/>
                  <w:rFonts w:cs="Arial"/>
                  <w:sz w:val="18"/>
                  <w:szCs w:val="18"/>
                </w:rPr>
                <w:t xml:space="preserve">EUROM DENIS MALOPRODAJA </w:t>
              </w:r>
              <w:r w:rsidR="001904C0" w:rsidRPr="006B5814">
                <w:rPr>
                  <w:rStyle w:val="Hyperlink"/>
                  <w:rFonts w:cs="Arial"/>
                  <w:sz w:val="18"/>
                  <w:szCs w:val="18"/>
                </w:rPr>
                <w:t>d.o.o</w:t>
              </w:r>
            </w:hyperlink>
            <w:r w:rsidR="001904C0" w:rsidRPr="006B5814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Default="00B1201B" w:rsidP="00802F90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603B6" w:rsidRPr="00B1201B" w:rsidRDefault="00C603B6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21.909</w:t>
            </w:r>
          </w:p>
        </w:tc>
        <w:tc>
          <w:tcPr>
            <w:tcW w:w="1247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Pr="00B1201B" w:rsidRDefault="00C603B6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Pr="00B1201B" w:rsidRDefault="00C603B6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23</w:t>
            </w:r>
          </w:p>
        </w:tc>
      </w:tr>
      <w:tr w:rsidR="00C603B6" w:rsidRPr="002806BB" w:rsidTr="004777B5">
        <w:trPr>
          <w:trHeight w:val="283"/>
          <w:jc w:val="center"/>
        </w:trPr>
        <w:tc>
          <w:tcPr>
            <w:tcW w:w="4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Default="00C603B6" w:rsidP="00802F90">
            <w:pPr>
              <w:spacing w:line="240" w:lineRule="auto"/>
              <w:jc w:val="right"/>
              <w:rPr>
                <w:rFonts w:cs="Arial"/>
                <w:color w:val="17365D"/>
                <w:sz w:val="18"/>
                <w:szCs w:val="18"/>
              </w:rPr>
            </w:pPr>
            <w:r>
              <w:rPr>
                <w:rFonts w:cs="Arial"/>
                <w:color w:val="17365D"/>
                <w:sz w:val="18"/>
                <w:szCs w:val="18"/>
              </w:rPr>
              <w:t>2.</w:t>
            </w:r>
          </w:p>
        </w:tc>
        <w:tc>
          <w:tcPr>
            <w:tcW w:w="13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Default="00C603B6" w:rsidP="00802F90">
            <w:pPr>
              <w:spacing w:line="240" w:lineRule="auto"/>
              <w:jc w:val="center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72438732598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Default="006B5814" w:rsidP="00802F90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hyperlink r:id="rId30" w:history="1">
              <w:r w:rsidR="00C603B6" w:rsidRPr="006B5814">
                <w:rPr>
                  <w:rStyle w:val="Hyperlink"/>
                  <w:rFonts w:cs="Arial"/>
                  <w:sz w:val="18"/>
                  <w:szCs w:val="18"/>
                </w:rPr>
                <w:t xml:space="preserve">INTEKS PROMET </w:t>
              </w:r>
              <w:r w:rsidR="001904C0" w:rsidRPr="006B5814">
                <w:rPr>
                  <w:rStyle w:val="Hyperlink"/>
                  <w:rFonts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Default="00B1201B" w:rsidP="00802F90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603B6" w:rsidRPr="00B1201B" w:rsidRDefault="00C603B6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12.151</w:t>
            </w:r>
          </w:p>
        </w:tc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Pr="00B1201B" w:rsidRDefault="00C603B6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Pr="00B1201B" w:rsidRDefault="00C603B6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742</w:t>
            </w:r>
          </w:p>
        </w:tc>
      </w:tr>
      <w:tr w:rsidR="00C603B6" w:rsidRPr="002806BB" w:rsidTr="004777B5">
        <w:trPr>
          <w:trHeight w:val="283"/>
          <w:jc w:val="center"/>
        </w:trPr>
        <w:tc>
          <w:tcPr>
            <w:tcW w:w="4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Default="00C603B6" w:rsidP="00802F90">
            <w:pPr>
              <w:spacing w:line="240" w:lineRule="auto"/>
              <w:jc w:val="right"/>
              <w:rPr>
                <w:rFonts w:cs="Arial"/>
                <w:color w:val="17365D"/>
                <w:sz w:val="18"/>
                <w:szCs w:val="18"/>
              </w:rPr>
            </w:pPr>
            <w:r>
              <w:rPr>
                <w:rFonts w:cs="Arial"/>
                <w:color w:val="17365D"/>
                <w:sz w:val="18"/>
                <w:szCs w:val="18"/>
              </w:rPr>
              <w:t>3.</w:t>
            </w:r>
          </w:p>
        </w:tc>
        <w:tc>
          <w:tcPr>
            <w:tcW w:w="13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Default="00C603B6" w:rsidP="00802F90">
            <w:pPr>
              <w:spacing w:line="240" w:lineRule="auto"/>
              <w:jc w:val="center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84932146143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Default="006B5814" w:rsidP="00802F90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hyperlink r:id="rId31" w:history="1">
              <w:r w:rsidR="00C603B6" w:rsidRPr="006B5814">
                <w:rPr>
                  <w:rStyle w:val="Hyperlink"/>
                  <w:rFonts w:cs="Arial"/>
                  <w:sz w:val="18"/>
                  <w:szCs w:val="18"/>
                </w:rPr>
                <w:t xml:space="preserve">PRODIS MALOPRODAJA </w:t>
              </w:r>
              <w:r w:rsidR="001904C0" w:rsidRPr="006B5814">
                <w:rPr>
                  <w:rStyle w:val="Hyperlink"/>
                  <w:rFonts w:cs="Arial"/>
                  <w:sz w:val="18"/>
                  <w:szCs w:val="18"/>
                </w:rPr>
                <w:t>d.o.o</w:t>
              </w:r>
            </w:hyperlink>
            <w:r w:rsidR="001904C0" w:rsidRPr="006B5814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Default="00B1201B" w:rsidP="00802F90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603B6" w:rsidRPr="00B1201B" w:rsidRDefault="00C603B6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8.231</w:t>
            </w:r>
          </w:p>
        </w:tc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Pr="00B1201B" w:rsidRDefault="00C603B6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Pr="00B1201B" w:rsidRDefault="00C603B6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28</w:t>
            </w:r>
          </w:p>
        </w:tc>
      </w:tr>
      <w:tr w:rsidR="00C603B6" w:rsidRPr="002806BB" w:rsidTr="004777B5">
        <w:trPr>
          <w:trHeight w:val="283"/>
          <w:jc w:val="center"/>
        </w:trPr>
        <w:tc>
          <w:tcPr>
            <w:tcW w:w="4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Default="003578B6" w:rsidP="00802F90">
            <w:pPr>
              <w:spacing w:line="240" w:lineRule="auto"/>
              <w:jc w:val="right"/>
              <w:rPr>
                <w:rFonts w:cs="Arial"/>
                <w:color w:val="17365D"/>
                <w:sz w:val="18"/>
                <w:szCs w:val="18"/>
              </w:rPr>
            </w:pPr>
            <w:r>
              <w:rPr>
                <w:rFonts w:cs="Arial"/>
                <w:color w:val="17365D"/>
                <w:sz w:val="18"/>
                <w:szCs w:val="18"/>
              </w:rPr>
              <w:t>4.</w:t>
            </w:r>
          </w:p>
        </w:tc>
        <w:tc>
          <w:tcPr>
            <w:tcW w:w="13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Default="00C603B6" w:rsidP="00802F90">
            <w:pPr>
              <w:spacing w:line="240" w:lineRule="auto"/>
              <w:jc w:val="center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73323157067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Pr="00B836FC" w:rsidRDefault="006B5814" w:rsidP="00802F90">
            <w:pPr>
              <w:spacing w:line="240" w:lineRule="auto"/>
              <w:rPr>
                <w:rFonts w:cs="Arial"/>
                <w:color w:val="0000FF"/>
                <w:sz w:val="18"/>
                <w:szCs w:val="18"/>
              </w:rPr>
            </w:pPr>
            <w:hyperlink r:id="rId32" w:history="1">
              <w:r w:rsidR="00802F90" w:rsidRPr="006B5814">
                <w:rPr>
                  <w:rStyle w:val="Hyperlink"/>
                  <w:rFonts w:cs="Arial"/>
                  <w:sz w:val="18"/>
                  <w:szCs w:val="18"/>
                </w:rPr>
                <w:t>A.D.S. d.o.o.</w:t>
              </w:r>
            </w:hyperlink>
            <w:r w:rsidR="00802F90" w:rsidRPr="00B836FC">
              <w:rPr>
                <w:rFonts w:cs="Arial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Default="00B1201B" w:rsidP="00802F90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Umag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603B6" w:rsidRPr="00B1201B" w:rsidRDefault="00C603B6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3.246</w:t>
            </w:r>
          </w:p>
        </w:tc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Pr="00B1201B" w:rsidRDefault="00C603B6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C603B6" w:rsidRPr="00B1201B" w:rsidRDefault="00C603B6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83</w:t>
            </w:r>
          </w:p>
        </w:tc>
      </w:tr>
      <w:tr w:rsidR="00C603B6" w:rsidRPr="002806BB" w:rsidTr="004777B5">
        <w:trPr>
          <w:trHeight w:val="283"/>
          <w:jc w:val="center"/>
        </w:trPr>
        <w:tc>
          <w:tcPr>
            <w:tcW w:w="453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noWrap/>
            <w:vAlign w:val="center"/>
          </w:tcPr>
          <w:p w:rsidR="00C603B6" w:rsidRDefault="003578B6" w:rsidP="00802F90">
            <w:pPr>
              <w:spacing w:line="240" w:lineRule="auto"/>
              <w:jc w:val="right"/>
              <w:rPr>
                <w:rFonts w:cs="Arial"/>
                <w:color w:val="17365D"/>
                <w:sz w:val="18"/>
                <w:szCs w:val="18"/>
              </w:rPr>
            </w:pPr>
            <w:r>
              <w:rPr>
                <w:rFonts w:cs="Arial"/>
                <w:color w:val="17365D"/>
                <w:sz w:val="18"/>
                <w:szCs w:val="18"/>
              </w:rPr>
              <w:t>5</w:t>
            </w:r>
            <w:r w:rsidR="00C603B6">
              <w:rPr>
                <w:rFonts w:cs="Arial"/>
                <w:color w:val="17365D"/>
                <w:sz w:val="18"/>
                <w:szCs w:val="18"/>
              </w:rPr>
              <w:t>.</w:t>
            </w:r>
          </w:p>
        </w:tc>
        <w:tc>
          <w:tcPr>
            <w:tcW w:w="1331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noWrap/>
            <w:vAlign w:val="center"/>
          </w:tcPr>
          <w:p w:rsidR="00C603B6" w:rsidRDefault="00C603B6" w:rsidP="00802F90">
            <w:pPr>
              <w:spacing w:line="240" w:lineRule="auto"/>
              <w:jc w:val="center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91841941117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noWrap/>
            <w:vAlign w:val="center"/>
          </w:tcPr>
          <w:p w:rsidR="00C603B6" w:rsidRDefault="006B5814" w:rsidP="00802F90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hyperlink r:id="rId33" w:history="1">
              <w:r w:rsidR="00C603B6" w:rsidRPr="006B5814">
                <w:rPr>
                  <w:rStyle w:val="Hyperlink"/>
                  <w:rFonts w:cs="Arial"/>
                  <w:sz w:val="18"/>
                  <w:szCs w:val="18"/>
                </w:rPr>
                <w:t xml:space="preserve">PLAVA KUTIJA </w:t>
              </w:r>
              <w:r w:rsidR="001904C0" w:rsidRPr="006B5814">
                <w:rPr>
                  <w:rStyle w:val="Hyperlink"/>
                  <w:rFonts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noWrap/>
            <w:vAlign w:val="center"/>
          </w:tcPr>
          <w:p w:rsidR="00C603B6" w:rsidRDefault="00B1201B" w:rsidP="00802F90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vAlign w:val="center"/>
          </w:tcPr>
          <w:p w:rsidR="00C603B6" w:rsidRPr="00B1201B" w:rsidRDefault="00C603B6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2.582</w:t>
            </w:r>
          </w:p>
        </w:tc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noWrap/>
            <w:vAlign w:val="center"/>
          </w:tcPr>
          <w:p w:rsidR="00C603B6" w:rsidRPr="00B1201B" w:rsidRDefault="00C603B6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noWrap/>
            <w:vAlign w:val="center"/>
          </w:tcPr>
          <w:p w:rsidR="00C603B6" w:rsidRPr="00B1201B" w:rsidRDefault="00C603B6" w:rsidP="00802F90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B1201B">
              <w:rPr>
                <w:rFonts w:cs="Arial"/>
                <w:color w:val="003366"/>
                <w:sz w:val="18"/>
                <w:szCs w:val="18"/>
              </w:rPr>
              <w:t>79</w:t>
            </w:r>
          </w:p>
        </w:tc>
      </w:tr>
      <w:tr w:rsidR="007D5030" w:rsidRPr="002806BB" w:rsidTr="00B836FC">
        <w:trPr>
          <w:trHeight w:val="283"/>
          <w:jc w:val="center"/>
        </w:trPr>
        <w:tc>
          <w:tcPr>
            <w:tcW w:w="603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D5030" w:rsidRPr="00802F90" w:rsidRDefault="007D5030" w:rsidP="00802F90">
            <w:pPr>
              <w:spacing w:line="240" w:lineRule="auto"/>
              <w:jc w:val="left"/>
              <w:rPr>
                <w:rFonts w:cs="Arial"/>
                <w:b/>
                <w:color w:val="17365D" w:themeColor="text2" w:themeShade="BF"/>
                <w:sz w:val="17"/>
                <w:szCs w:val="17"/>
                <w:lang w:eastAsia="hr-HR"/>
              </w:rPr>
            </w:pPr>
            <w:r w:rsidRPr="00802F90">
              <w:rPr>
                <w:rFonts w:cs="Arial"/>
                <w:b/>
                <w:color w:val="17365D" w:themeColor="text2" w:themeShade="BF"/>
                <w:sz w:val="17"/>
                <w:szCs w:val="17"/>
                <w:lang w:eastAsia="hr-HR"/>
              </w:rPr>
              <w:t xml:space="preserve">Ukupno top </w:t>
            </w:r>
            <w:r w:rsidR="004777B5" w:rsidRPr="00802F90">
              <w:rPr>
                <w:rFonts w:cs="Arial"/>
                <w:b/>
                <w:color w:val="17365D" w:themeColor="text2" w:themeShade="BF"/>
                <w:sz w:val="17"/>
                <w:szCs w:val="17"/>
                <w:lang w:eastAsia="hr-HR"/>
              </w:rPr>
              <w:t>pet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7D5030" w:rsidRPr="00B1201B" w:rsidRDefault="007D5030" w:rsidP="00802F90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B1201B">
              <w:rPr>
                <w:rFonts w:cs="Arial"/>
                <w:b/>
                <w:bCs/>
                <w:color w:val="16365C"/>
                <w:sz w:val="18"/>
                <w:szCs w:val="18"/>
              </w:rPr>
              <w:t>48.118</w:t>
            </w:r>
          </w:p>
        </w:tc>
        <w:tc>
          <w:tcPr>
            <w:tcW w:w="1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D5030" w:rsidRPr="00B1201B" w:rsidRDefault="007D5030" w:rsidP="00802F90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B1201B">
              <w:rPr>
                <w:rFonts w:cs="Arial"/>
                <w:b/>
                <w:bCs/>
                <w:color w:val="16365C"/>
                <w:sz w:val="18"/>
                <w:szCs w:val="18"/>
              </w:rPr>
              <w:t>124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D5030" w:rsidRPr="00B1201B" w:rsidRDefault="007D5030" w:rsidP="00802F90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B1201B">
              <w:rPr>
                <w:rFonts w:cs="Arial"/>
                <w:b/>
                <w:bCs/>
                <w:color w:val="16365C"/>
                <w:sz w:val="18"/>
                <w:szCs w:val="18"/>
              </w:rPr>
              <w:t>954</w:t>
            </w:r>
          </w:p>
        </w:tc>
      </w:tr>
      <w:tr w:rsidR="007D5030" w:rsidRPr="002806BB" w:rsidTr="00B836FC">
        <w:trPr>
          <w:trHeight w:val="283"/>
          <w:jc w:val="center"/>
        </w:trPr>
        <w:tc>
          <w:tcPr>
            <w:tcW w:w="603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:rsidR="007D5030" w:rsidRPr="00802F90" w:rsidRDefault="007D5030" w:rsidP="00802F90">
            <w:pPr>
              <w:spacing w:line="240" w:lineRule="auto"/>
              <w:jc w:val="left"/>
              <w:rPr>
                <w:rFonts w:cs="Arial"/>
                <w:b/>
                <w:color w:val="17365D" w:themeColor="text2" w:themeShade="BF"/>
                <w:sz w:val="17"/>
                <w:szCs w:val="17"/>
                <w:lang w:eastAsia="hr-HR"/>
              </w:rPr>
            </w:pPr>
            <w:r w:rsidRPr="00802F90">
              <w:rPr>
                <w:rFonts w:cs="Arial"/>
                <w:b/>
                <w:color w:val="17365D" w:themeColor="text2" w:themeShade="BF"/>
                <w:sz w:val="17"/>
                <w:szCs w:val="17"/>
                <w:lang w:eastAsia="hr-HR"/>
              </w:rPr>
              <w:t xml:space="preserve">Ukupno svi </w:t>
            </w:r>
            <w:r w:rsidR="00802F90">
              <w:rPr>
                <w:rFonts w:cs="Arial"/>
                <w:b/>
                <w:color w:val="17365D" w:themeColor="text2" w:themeShade="BF"/>
                <w:sz w:val="17"/>
                <w:szCs w:val="17"/>
                <w:lang w:eastAsia="hr-HR"/>
              </w:rPr>
              <w:t xml:space="preserve">poduzetnici </w:t>
            </w:r>
            <w:r w:rsidRPr="00802F90">
              <w:rPr>
                <w:rFonts w:cs="Arial"/>
                <w:b/>
                <w:color w:val="17365D" w:themeColor="text2" w:themeShade="BF"/>
                <w:sz w:val="17"/>
                <w:szCs w:val="17"/>
                <w:lang w:eastAsia="hr-HR"/>
              </w:rPr>
              <w:t>po odabranim kriterijima (</w:t>
            </w:r>
            <w:r w:rsidR="00802F90">
              <w:rPr>
                <w:rFonts w:cs="Arial"/>
                <w:b/>
                <w:color w:val="17365D" w:themeColor="text2" w:themeShade="BF"/>
                <w:sz w:val="17"/>
                <w:szCs w:val="17"/>
                <w:lang w:eastAsia="hr-HR"/>
              </w:rPr>
              <w:t>25</w:t>
            </w:r>
            <w:r w:rsidRPr="00802F90">
              <w:rPr>
                <w:rFonts w:cs="Arial"/>
                <w:b/>
                <w:color w:val="17365D" w:themeColor="text2" w:themeShade="BF"/>
                <w:sz w:val="17"/>
                <w:szCs w:val="17"/>
                <w:lang w:eastAsia="hr-HR"/>
              </w:rPr>
              <w:t>)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vAlign w:val="center"/>
          </w:tcPr>
          <w:p w:rsidR="007D5030" w:rsidRPr="00B1201B" w:rsidRDefault="007D5030" w:rsidP="00802F90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B1201B">
              <w:rPr>
                <w:rFonts w:cs="Arial"/>
                <w:b/>
                <w:bCs/>
                <w:color w:val="16365C"/>
                <w:sz w:val="18"/>
                <w:szCs w:val="18"/>
              </w:rPr>
              <w:t>53.222</w:t>
            </w:r>
          </w:p>
        </w:tc>
        <w:tc>
          <w:tcPr>
            <w:tcW w:w="1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:rsidR="007D5030" w:rsidRPr="00B1201B" w:rsidRDefault="007D5030" w:rsidP="00802F90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B1201B">
              <w:rPr>
                <w:rFonts w:cs="Arial"/>
                <w:b/>
                <w:bCs/>
                <w:color w:val="16365C"/>
                <w:sz w:val="18"/>
                <w:szCs w:val="18"/>
              </w:rPr>
              <w:t>150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:rsidR="007D5030" w:rsidRPr="00B1201B" w:rsidRDefault="007D5030" w:rsidP="00802F90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B1201B">
              <w:rPr>
                <w:rFonts w:cs="Arial"/>
                <w:b/>
                <w:bCs/>
                <w:color w:val="16365C"/>
                <w:sz w:val="18"/>
                <w:szCs w:val="18"/>
              </w:rPr>
              <w:t>1.310</w:t>
            </w:r>
          </w:p>
        </w:tc>
      </w:tr>
      <w:tr w:rsidR="00CE5B52" w:rsidRPr="002806BB" w:rsidTr="00B836FC">
        <w:trPr>
          <w:trHeight w:val="283"/>
          <w:jc w:val="center"/>
        </w:trPr>
        <w:tc>
          <w:tcPr>
            <w:tcW w:w="603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:rsidR="00CE5B52" w:rsidRPr="00802F90" w:rsidRDefault="00CE5B52" w:rsidP="00802F90">
            <w:pPr>
              <w:spacing w:line="240" w:lineRule="auto"/>
              <w:jc w:val="left"/>
              <w:rPr>
                <w:rFonts w:cs="Arial"/>
                <w:b/>
                <w:bCs/>
                <w:color w:val="17365D"/>
                <w:sz w:val="17"/>
                <w:szCs w:val="17"/>
              </w:rPr>
            </w:pPr>
            <w:r w:rsidRPr="00802F90">
              <w:rPr>
                <w:rFonts w:cs="Arial"/>
                <w:b/>
                <w:bCs/>
                <w:color w:val="17365D"/>
                <w:sz w:val="17"/>
                <w:szCs w:val="17"/>
              </w:rPr>
              <w:t>Udio top 5 poduzetnika po ukupnom prihodu u razredu djelatnosti 47.65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vAlign w:val="center"/>
          </w:tcPr>
          <w:p w:rsidR="00CE5B52" w:rsidRPr="00B1201B" w:rsidRDefault="00CE5B52" w:rsidP="00802F90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B1201B">
              <w:rPr>
                <w:rFonts w:cs="Arial"/>
                <w:b/>
                <w:bCs/>
                <w:color w:val="16365C"/>
                <w:sz w:val="18"/>
                <w:szCs w:val="18"/>
              </w:rPr>
              <w:t>90,4%</w:t>
            </w:r>
          </w:p>
        </w:tc>
        <w:tc>
          <w:tcPr>
            <w:tcW w:w="1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:rsidR="00CE5B52" w:rsidRPr="00B1201B" w:rsidRDefault="00CE5B52" w:rsidP="00802F90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B1201B">
              <w:rPr>
                <w:rFonts w:cs="Arial"/>
                <w:b/>
                <w:bCs/>
                <w:color w:val="16365C"/>
                <w:sz w:val="18"/>
                <w:szCs w:val="18"/>
              </w:rPr>
              <w:t>82,7%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:rsidR="00CE5B52" w:rsidRPr="00B1201B" w:rsidRDefault="00CE5B52" w:rsidP="00802F90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B1201B">
              <w:rPr>
                <w:rFonts w:cs="Arial"/>
                <w:b/>
                <w:bCs/>
                <w:color w:val="16365C"/>
                <w:sz w:val="18"/>
                <w:szCs w:val="18"/>
              </w:rPr>
              <w:t>72,8%</w:t>
            </w:r>
          </w:p>
        </w:tc>
      </w:tr>
    </w:tbl>
    <w:p w:rsidR="002640E8" w:rsidRPr="00970E52" w:rsidRDefault="002640E8" w:rsidP="00E5018E">
      <w:pPr>
        <w:spacing w:before="40"/>
        <w:rPr>
          <w:rFonts w:cs="Arial"/>
          <w:i/>
          <w:color w:val="17365D" w:themeColor="text2" w:themeShade="BF"/>
          <w:sz w:val="16"/>
          <w:szCs w:val="16"/>
          <w:lang w:eastAsia="hr-HR"/>
        </w:rPr>
      </w:pPr>
      <w:r w:rsidRPr="00970E52">
        <w:rPr>
          <w:rFonts w:cs="Arial"/>
          <w:i/>
          <w:color w:val="17365D" w:themeColor="text2" w:themeShade="BF"/>
          <w:sz w:val="16"/>
          <w:szCs w:val="16"/>
          <w:lang w:eastAsia="hr-HR"/>
        </w:rPr>
        <w:t>Izvor: Fina – Registar godišnjih financijskih izvještaja</w:t>
      </w:r>
    </w:p>
    <w:p w:rsidR="002640E8" w:rsidRDefault="002640E8" w:rsidP="004777B5">
      <w:pPr>
        <w:spacing w:before="180"/>
        <w:rPr>
          <w:color w:val="17365D" w:themeColor="text2" w:themeShade="BF"/>
          <w:szCs w:val="20"/>
        </w:rPr>
      </w:pPr>
      <w:r w:rsidRPr="003D0FDF">
        <w:rPr>
          <w:color w:val="17365D" w:themeColor="text2" w:themeShade="BF"/>
          <w:szCs w:val="20"/>
        </w:rPr>
        <w:t>Udio pet poduzetnika s najvećim prihodom u 201</w:t>
      </w:r>
      <w:r w:rsidR="003D0FDF" w:rsidRPr="003D0FDF">
        <w:rPr>
          <w:color w:val="17365D" w:themeColor="text2" w:themeShade="BF"/>
          <w:szCs w:val="20"/>
        </w:rPr>
        <w:t>5. godini u ukupnim prihodima 25</w:t>
      </w:r>
      <w:r w:rsidRPr="003D0FDF">
        <w:rPr>
          <w:color w:val="17365D" w:themeColor="text2" w:themeShade="BF"/>
          <w:szCs w:val="20"/>
        </w:rPr>
        <w:t xml:space="preserve"> poduzetnika, u djelatnosti trgovine na malo igrama i igračkama u specijaliziranim prodavaonicama, bio je </w:t>
      </w:r>
      <w:r w:rsidR="003D0FDF" w:rsidRPr="003D0FDF">
        <w:rPr>
          <w:color w:val="17365D" w:themeColor="text2" w:themeShade="BF"/>
          <w:szCs w:val="20"/>
        </w:rPr>
        <w:t>90,4</w:t>
      </w:r>
      <w:r w:rsidR="004777B5">
        <w:rPr>
          <w:color w:val="17365D" w:themeColor="text2" w:themeShade="BF"/>
          <w:szCs w:val="20"/>
        </w:rPr>
        <w:t xml:space="preserve"> </w:t>
      </w:r>
      <w:r w:rsidRPr="003D0FDF">
        <w:rPr>
          <w:color w:val="17365D" w:themeColor="text2" w:themeShade="BF"/>
          <w:szCs w:val="20"/>
        </w:rPr>
        <w:t>%.</w:t>
      </w:r>
    </w:p>
    <w:p w:rsidR="002640E8" w:rsidRPr="006E7911" w:rsidRDefault="002640E8" w:rsidP="00AC70AF">
      <w:pPr>
        <w:spacing w:before="120"/>
        <w:rPr>
          <w:rFonts w:cs="Arial"/>
          <w:color w:val="17365D" w:themeColor="text2" w:themeShade="BF"/>
          <w:szCs w:val="20"/>
        </w:rPr>
      </w:pPr>
      <w:r w:rsidRPr="00D26BEC">
        <w:rPr>
          <w:rFonts w:cs="Arial"/>
          <w:color w:val="17365D" w:themeColor="text2" w:themeShade="BF"/>
          <w:szCs w:val="20"/>
        </w:rPr>
        <w:t>U niže navedenom grafikonu uspoređeni su poduzetnici s najvećim prihodom iz razreda djelatnosti NKD 4</w:t>
      </w:r>
      <w:r w:rsidR="00603283" w:rsidRPr="00D26BEC">
        <w:rPr>
          <w:rFonts w:cs="Arial"/>
          <w:color w:val="17365D" w:themeColor="text2" w:themeShade="BF"/>
          <w:szCs w:val="20"/>
        </w:rPr>
        <w:t xml:space="preserve">7.65 prema </w:t>
      </w:r>
      <w:r w:rsidR="004A526E">
        <w:rPr>
          <w:rFonts w:cs="Arial"/>
          <w:color w:val="17365D" w:themeColor="text2" w:themeShade="BF"/>
          <w:szCs w:val="20"/>
        </w:rPr>
        <w:t>novostvorenoj vrijednosti</w:t>
      </w:r>
      <w:r w:rsidR="00603283" w:rsidRPr="00D26BEC">
        <w:rPr>
          <w:rFonts w:cs="Arial"/>
          <w:color w:val="17365D" w:themeColor="text2" w:themeShade="BF"/>
          <w:szCs w:val="20"/>
        </w:rPr>
        <w:t xml:space="preserve"> u 2015</w:t>
      </w:r>
      <w:r w:rsidRPr="00D26BEC">
        <w:rPr>
          <w:rFonts w:cs="Arial"/>
          <w:color w:val="17365D" w:themeColor="text2" w:themeShade="BF"/>
          <w:szCs w:val="20"/>
        </w:rPr>
        <w:t>. godini</w:t>
      </w:r>
      <w:r w:rsidRPr="00BC3CD8">
        <w:rPr>
          <w:rFonts w:cs="Arial"/>
          <w:color w:val="17365D" w:themeColor="text2" w:themeShade="BF"/>
          <w:szCs w:val="20"/>
        </w:rPr>
        <w:t xml:space="preserve">. Prema tom kriteriju na prvom je mjestu, </w:t>
      </w:r>
      <w:hyperlink r:id="rId34" w:history="1">
        <w:r w:rsidR="00BC3CD8" w:rsidRPr="006B5814">
          <w:rPr>
            <w:rStyle w:val="Hyperlink"/>
            <w:rFonts w:cs="Arial"/>
            <w:szCs w:val="20"/>
          </w:rPr>
          <w:t>EUROM DENIS MALOPRODAJA d.o.o.</w:t>
        </w:r>
      </w:hyperlink>
      <w:r w:rsidRPr="00BC3CD8">
        <w:rPr>
          <w:rFonts w:cs="Arial"/>
          <w:color w:val="17365D" w:themeColor="text2" w:themeShade="BF"/>
          <w:szCs w:val="20"/>
        </w:rPr>
        <w:t xml:space="preserve"> iz Zagreba </w:t>
      </w:r>
      <w:r w:rsidRPr="006E7911">
        <w:rPr>
          <w:rFonts w:cs="Arial"/>
          <w:color w:val="17365D" w:themeColor="text2" w:themeShade="BF"/>
          <w:szCs w:val="20"/>
        </w:rPr>
        <w:t xml:space="preserve">kod </w:t>
      </w:r>
      <w:r w:rsidR="006E7911" w:rsidRPr="006E7911">
        <w:rPr>
          <w:rFonts w:cs="Arial"/>
          <w:color w:val="17365D" w:themeColor="text2" w:themeShade="BF"/>
          <w:szCs w:val="20"/>
        </w:rPr>
        <w:t>kojeg je novostvorena vrijednost</w:t>
      </w:r>
      <w:r w:rsidRPr="006E7911">
        <w:rPr>
          <w:rFonts w:cs="Arial"/>
          <w:color w:val="17365D" w:themeColor="text2" w:themeShade="BF"/>
          <w:szCs w:val="20"/>
        </w:rPr>
        <w:t xml:space="preserve"> </w:t>
      </w:r>
      <w:r w:rsidR="006E7911" w:rsidRPr="006E7911">
        <w:rPr>
          <w:rFonts w:cs="Arial"/>
          <w:color w:val="17365D" w:themeColor="text2" w:themeShade="BF"/>
          <w:szCs w:val="20"/>
        </w:rPr>
        <w:t>iznosila</w:t>
      </w:r>
      <w:r w:rsidRPr="006E7911">
        <w:rPr>
          <w:rFonts w:cs="Arial"/>
          <w:color w:val="17365D" w:themeColor="text2" w:themeShade="BF"/>
          <w:szCs w:val="20"/>
        </w:rPr>
        <w:t xml:space="preserve"> </w:t>
      </w:r>
      <w:r w:rsidR="00BC3CD8" w:rsidRPr="006E7911">
        <w:rPr>
          <w:rFonts w:cs="Arial"/>
          <w:color w:val="17365D" w:themeColor="text2" w:themeShade="BF"/>
          <w:szCs w:val="20"/>
        </w:rPr>
        <w:t>4,1</w:t>
      </w:r>
      <w:r w:rsidRPr="006E7911">
        <w:rPr>
          <w:rFonts w:cs="Arial"/>
          <w:color w:val="17365D" w:themeColor="text2" w:themeShade="BF"/>
          <w:szCs w:val="20"/>
        </w:rPr>
        <w:t xml:space="preserve"> </w:t>
      </w:r>
      <w:r w:rsidR="00982F1D" w:rsidRPr="006E7911">
        <w:rPr>
          <w:rFonts w:cs="Arial"/>
          <w:color w:val="17365D" w:themeColor="text2" w:themeShade="BF"/>
          <w:szCs w:val="20"/>
        </w:rPr>
        <w:t>milij</w:t>
      </w:r>
      <w:r w:rsidR="00B836FC">
        <w:rPr>
          <w:rFonts w:cs="Arial"/>
          <w:color w:val="17365D" w:themeColor="text2" w:themeShade="BF"/>
          <w:szCs w:val="20"/>
        </w:rPr>
        <w:t>una</w:t>
      </w:r>
      <w:r w:rsidR="00982F1D" w:rsidRPr="006E7911">
        <w:rPr>
          <w:rFonts w:cs="Arial"/>
          <w:color w:val="17365D" w:themeColor="text2" w:themeShade="BF"/>
          <w:szCs w:val="20"/>
        </w:rPr>
        <w:t xml:space="preserve"> kuna.</w:t>
      </w:r>
      <w:r w:rsidR="004777B5">
        <w:rPr>
          <w:rFonts w:cs="Arial"/>
          <w:color w:val="17365D" w:themeColor="text2" w:themeShade="BF"/>
          <w:szCs w:val="20"/>
        </w:rPr>
        <w:t xml:space="preserve"> </w:t>
      </w:r>
      <w:r w:rsidRPr="006E7911">
        <w:rPr>
          <w:rFonts w:cs="Arial"/>
          <w:color w:val="17365D" w:themeColor="text2" w:themeShade="BF"/>
          <w:szCs w:val="20"/>
        </w:rPr>
        <w:t xml:space="preserve">Za usporedbu, </w:t>
      </w:r>
      <w:r w:rsidR="00982F1D" w:rsidRPr="006E7911">
        <w:rPr>
          <w:rFonts w:cs="Arial"/>
          <w:color w:val="17365D" w:themeColor="text2" w:themeShade="BF"/>
          <w:szCs w:val="20"/>
        </w:rPr>
        <w:t xml:space="preserve">novostvorena vrijednost </w:t>
      </w:r>
      <w:r w:rsidRPr="006E7911">
        <w:rPr>
          <w:rFonts w:cs="Arial"/>
          <w:color w:val="17365D" w:themeColor="text2" w:themeShade="BF"/>
          <w:szCs w:val="20"/>
        </w:rPr>
        <w:t>kod</w:t>
      </w:r>
      <w:r w:rsidR="00982F1D" w:rsidRPr="006E7911">
        <w:rPr>
          <w:rFonts w:cs="Arial"/>
          <w:color w:val="17365D" w:themeColor="text2" w:themeShade="BF"/>
          <w:szCs w:val="20"/>
        </w:rPr>
        <w:t xml:space="preserve"> poduzetnika na razini RH u 2015</w:t>
      </w:r>
      <w:r w:rsidR="006E7911" w:rsidRPr="006E7911">
        <w:rPr>
          <w:rFonts w:cs="Arial"/>
          <w:color w:val="17365D" w:themeColor="text2" w:themeShade="BF"/>
          <w:szCs w:val="20"/>
        </w:rPr>
        <w:t>. godini iznosila je</w:t>
      </w:r>
      <w:r w:rsidRPr="006E7911">
        <w:rPr>
          <w:rFonts w:cs="Arial"/>
          <w:color w:val="17365D" w:themeColor="text2" w:themeShade="BF"/>
          <w:szCs w:val="20"/>
        </w:rPr>
        <w:t xml:space="preserve"> </w:t>
      </w:r>
      <w:r w:rsidR="001C7662">
        <w:rPr>
          <w:rFonts w:cs="Arial"/>
          <w:color w:val="17365D" w:themeColor="text2" w:themeShade="BF"/>
          <w:szCs w:val="20"/>
        </w:rPr>
        <w:t>blizu</w:t>
      </w:r>
      <w:r w:rsidR="00882624">
        <w:rPr>
          <w:rFonts w:cs="Arial"/>
          <w:color w:val="17365D" w:themeColor="text2" w:themeShade="BF"/>
          <w:szCs w:val="20"/>
        </w:rPr>
        <w:t xml:space="preserve"> </w:t>
      </w:r>
      <w:r w:rsidR="00982F1D" w:rsidRPr="006E7911">
        <w:rPr>
          <w:rFonts w:cs="Arial"/>
          <w:color w:val="17365D" w:themeColor="text2" w:themeShade="BF"/>
          <w:szCs w:val="20"/>
        </w:rPr>
        <w:t>1,6</w:t>
      </w:r>
      <w:r w:rsidRPr="006E7911">
        <w:rPr>
          <w:rFonts w:cs="Arial"/>
          <w:color w:val="17365D" w:themeColor="text2" w:themeShade="BF"/>
          <w:szCs w:val="20"/>
        </w:rPr>
        <w:t xml:space="preserve"> </w:t>
      </w:r>
      <w:r w:rsidR="00982F1D" w:rsidRPr="006E7911">
        <w:rPr>
          <w:rFonts w:cs="Arial"/>
          <w:color w:val="17365D" w:themeColor="text2" w:themeShade="BF"/>
          <w:szCs w:val="20"/>
        </w:rPr>
        <w:t>milij</w:t>
      </w:r>
      <w:r w:rsidR="00B836FC">
        <w:rPr>
          <w:rFonts w:cs="Arial"/>
          <w:color w:val="17365D" w:themeColor="text2" w:themeShade="BF"/>
          <w:szCs w:val="20"/>
        </w:rPr>
        <w:t>una</w:t>
      </w:r>
      <w:r w:rsidRPr="006E7911">
        <w:rPr>
          <w:rFonts w:cs="Arial"/>
          <w:color w:val="17365D" w:themeColor="text2" w:themeShade="BF"/>
          <w:szCs w:val="20"/>
        </w:rPr>
        <w:t xml:space="preserve"> kuna.</w:t>
      </w:r>
    </w:p>
    <w:p w:rsidR="002640E8" w:rsidRPr="00A11207" w:rsidRDefault="002640E8" w:rsidP="004777B5">
      <w:pPr>
        <w:widowControl w:val="0"/>
        <w:tabs>
          <w:tab w:val="left" w:pos="1134"/>
        </w:tabs>
        <w:spacing w:before="180" w:after="60" w:line="240" w:lineRule="auto"/>
        <w:ind w:left="1134" w:hanging="1134"/>
        <w:jc w:val="left"/>
        <w:rPr>
          <w:rFonts w:cs="Arial"/>
          <w:color w:val="17365D" w:themeColor="text2" w:themeShade="BF"/>
          <w:sz w:val="18"/>
          <w:szCs w:val="18"/>
          <w:lang w:eastAsia="hr-HR"/>
        </w:rPr>
      </w:pPr>
      <w:r w:rsidRPr="00A11207">
        <w:rPr>
          <w:rFonts w:cs="Arial"/>
          <w:b/>
          <w:color w:val="17365D" w:themeColor="text2" w:themeShade="BF"/>
          <w:sz w:val="18"/>
          <w:szCs w:val="18"/>
        </w:rPr>
        <w:t>Grafikon 1.</w:t>
      </w:r>
      <w:r w:rsidRPr="00A11207">
        <w:rPr>
          <w:rFonts w:cs="Arial"/>
          <w:b/>
          <w:color w:val="17365D" w:themeColor="text2" w:themeShade="BF"/>
          <w:sz w:val="18"/>
          <w:szCs w:val="18"/>
        </w:rPr>
        <w:tab/>
        <w:t xml:space="preserve">Usporedni prikaz </w:t>
      </w:r>
      <w:r w:rsidR="00BC3CD8">
        <w:rPr>
          <w:rFonts w:cs="Arial"/>
          <w:b/>
          <w:color w:val="17365D" w:themeColor="text2" w:themeShade="BF"/>
          <w:sz w:val="18"/>
          <w:szCs w:val="18"/>
        </w:rPr>
        <w:t>novostvorene vrijednosti</w:t>
      </w:r>
      <w:r w:rsidRPr="00A11207">
        <w:rPr>
          <w:rFonts w:cs="Arial"/>
          <w:b/>
          <w:color w:val="17365D" w:themeColor="text2" w:themeShade="BF"/>
          <w:sz w:val="18"/>
          <w:szCs w:val="18"/>
        </w:rPr>
        <w:t xml:space="preserve"> p</w:t>
      </w:r>
      <w:r w:rsidRPr="00A11207">
        <w:rPr>
          <w:rFonts w:cs="Arial"/>
          <w:b/>
          <w:color w:val="17365D" w:themeColor="text2" w:themeShade="BF"/>
          <w:sz w:val="18"/>
          <w:szCs w:val="18"/>
          <w:lang w:eastAsia="hr-HR"/>
        </w:rPr>
        <w:t xml:space="preserve">rvih </w:t>
      </w:r>
      <w:r w:rsidR="004777B5">
        <w:rPr>
          <w:rFonts w:cs="Arial"/>
          <w:b/>
          <w:color w:val="17365D" w:themeColor="text2" w:themeShade="BF"/>
          <w:sz w:val="18"/>
          <w:szCs w:val="18"/>
          <w:lang w:eastAsia="hr-HR"/>
        </w:rPr>
        <w:t>pet</w:t>
      </w:r>
      <w:r w:rsidRPr="00A11207">
        <w:rPr>
          <w:rFonts w:cs="Arial"/>
          <w:b/>
          <w:color w:val="17365D" w:themeColor="text2" w:themeShade="BF"/>
          <w:sz w:val="18"/>
          <w:szCs w:val="18"/>
          <w:lang w:eastAsia="hr-HR"/>
        </w:rPr>
        <w:t xml:space="preserve"> poduzetnika po ukupnom prihodu u djelatnosti </w:t>
      </w:r>
      <w:r w:rsidR="00D43F57" w:rsidRPr="00A11207">
        <w:rPr>
          <w:rFonts w:cs="Arial"/>
          <w:b/>
          <w:color w:val="17365D" w:themeColor="text2" w:themeShade="BF"/>
          <w:sz w:val="18"/>
          <w:szCs w:val="18"/>
          <w:lang w:eastAsia="hr-HR"/>
        </w:rPr>
        <w:t>47.65</w:t>
      </w:r>
      <w:r w:rsidR="00A11207" w:rsidRPr="00A11207">
        <w:rPr>
          <w:rFonts w:cs="Arial"/>
          <w:b/>
          <w:color w:val="17365D" w:themeColor="text2" w:themeShade="BF"/>
          <w:sz w:val="18"/>
          <w:szCs w:val="18"/>
          <w:lang w:eastAsia="hr-HR"/>
        </w:rPr>
        <w:t xml:space="preserve"> u 2015</w:t>
      </w:r>
      <w:r w:rsidR="00A11207">
        <w:rPr>
          <w:rFonts w:cs="Arial"/>
          <w:b/>
          <w:color w:val="17365D" w:themeColor="text2" w:themeShade="BF"/>
          <w:sz w:val="18"/>
          <w:szCs w:val="18"/>
          <w:lang w:eastAsia="hr-HR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6"/>
        <w:gridCol w:w="3027"/>
      </w:tblGrid>
      <w:tr w:rsidR="004A526E" w:rsidRPr="00A8335B" w:rsidTr="004777B5">
        <w:trPr>
          <w:trHeight w:val="567"/>
        </w:trPr>
        <w:tc>
          <w:tcPr>
            <w:tcW w:w="6946" w:type="dxa"/>
            <w:vMerge w:val="restart"/>
            <w:tcBorders>
              <w:top w:val="single" w:sz="2" w:space="0" w:color="A6A6A6"/>
              <w:left w:val="single" w:sz="2" w:space="0" w:color="A6A6A6"/>
              <w:right w:val="single" w:sz="2" w:space="0" w:color="A6A6A6"/>
            </w:tcBorders>
            <w:vAlign w:val="center"/>
          </w:tcPr>
          <w:p w:rsidR="004A526E" w:rsidRPr="00DB02B2" w:rsidRDefault="004A526E" w:rsidP="00612009">
            <w:pPr>
              <w:widowControl w:val="0"/>
              <w:spacing w:line="240" w:lineRule="auto"/>
              <w:jc w:val="center"/>
              <w:rPr>
                <w:rFonts w:ascii="Calibri" w:hAnsi="Calibri"/>
                <w:color w:val="17365D" w:themeColor="text2" w:themeShade="BF"/>
                <w:sz w:val="18"/>
                <w:szCs w:val="18"/>
              </w:rPr>
            </w:pPr>
            <w:r>
              <w:rPr>
                <w:rFonts w:ascii="Calibri" w:hAnsi="Calibri"/>
                <w:noProof/>
                <w:color w:val="17365D" w:themeColor="text2" w:themeShade="BF"/>
                <w:sz w:val="18"/>
                <w:szCs w:val="18"/>
                <w:lang w:eastAsia="hr-HR"/>
              </w:rPr>
              <w:drawing>
                <wp:inline distT="0" distB="0" distL="0" distR="0" wp14:anchorId="2516DCC5" wp14:editId="79203034">
                  <wp:extent cx="4305042" cy="2235200"/>
                  <wp:effectExtent l="0" t="0" r="63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0379" cy="22379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4A526E" w:rsidRPr="00F114D7" w:rsidRDefault="004A526E" w:rsidP="000C316B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F114D7">
              <w:rPr>
                <w:rFonts w:cs="Arial"/>
                <w:b/>
                <w:color w:val="17365D" w:themeColor="text2" w:themeShade="BF"/>
                <w:sz w:val="18"/>
                <w:szCs w:val="18"/>
              </w:rPr>
              <w:t>A</w:t>
            </w:r>
            <w:r w:rsidRPr="00F114D7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 </w:t>
            </w:r>
            <w:hyperlink r:id="rId36" w:history="1">
              <w:r w:rsidRPr="006B5814">
                <w:rPr>
                  <w:rStyle w:val="Hyperlink"/>
                  <w:rFonts w:cs="Arial"/>
                  <w:sz w:val="18"/>
                  <w:szCs w:val="18"/>
                </w:rPr>
                <w:t>EUROM DENIS MALOPRODAJA d.o.o.</w:t>
              </w:r>
            </w:hyperlink>
          </w:p>
        </w:tc>
      </w:tr>
      <w:tr w:rsidR="004A526E" w:rsidRPr="00A8335B" w:rsidTr="004777B5">
        <w:trPr>
          <w:trHeight w:val="567"/>
        </w:trPr>
        <w:tc>
          <w:tcPr>
            <w:tcW w:w="6946" w:type="dxa"/>
            <w:vMerge/>
            <w:tcBorders>
              <w:left w:val="single" w:sz="2" w:space="0" w:color="A6A6A6"/>
              <w:right w:val="single" w:sz="2" w:space="0" w:color="A6A6A6"/>
            </w:tcBorders>
          </w:tcPr>
          <w:p w:rsidR="004A526E" w:rsidRPr="00A8335B" w:rsidRDefault="004A526E" w:rsidP="000C316B">
            <w:pPr>
              <w:spacing w:line="240" w:lineRule="auto"/>
              <w:jc w:val="left"/>
              <w:rPr>
                <w:rFonts w:ascii="Calibri" w:hAnsi="Calibri"/>
                <w:noProof/>
                <w:color w:val="FF0000"/>
                <w:sz w:val="22"/>
                <w:lang w:eastAsia="hr-HR"/>
              </w:rPr>
            </w:pPr>
          </w:p>
        </w:tc>
        <w:tc>
          <w:tcPr>
            <w:tcW w:w="302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4A526E" w:rsidRPr="00F114D7" w:rsidRDefault="004A526E" w:rsidP="00F114D7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F114D7">
              <w:rPr>
                <w:rFonts w:cs="Arial"/>
                <w:b/>
                <w:color w:val="17365D" w:themeColor="text2" w:themeShade="BF"/>
                <w:sz w:val="18"/>
                <w:szCs w:val="18"/>
              </w:rPr>
              <w:t>B</w:t>
            </w:r>
            <w:r w:rsidRPr="00F114D7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 </w:t>
            </w:r>
            <w:hyperlink r:id="rId37" w:history="1">
              <w:r w:rsidRPr="006B5814">
                <w:rPr>
                  <w:rStyle w:val="Hyperlink"/>
                  <w:rFonts w:cs="Arial"/>
                  <w:sz w:val="18"/>
                  <w:szCs w:val="18"/>
                </w:rPr>
                <w:t>INTEKS PROMET d.o.o.</w:t>
              </w:r>
            </w:hyperlink>
          </w:p>
        </w:tc>
      </w:tr>
      <w:tr w:rsidR="004A526E" w:rsidRPr="00A8335B" w:rsidTr="004777B5">
        <w:trPr>
          <w:trHeight w:val="567"/>
        </w:trPr>
        <w:tc>
          <w:tcPr>
            <w:tcW w:w="6946" w:type="dxa"/>
            <w:vMerge/>
            <w:tcBorders>
              <w:left w:val="single" w:sz="2" w:space="0" w:color="A6A6A6"/>
              <w:right w:val="single" w:sz="2" w:space="0" w:color="A6A6A6"/>
            </w:tcBorders>
          </w:tcPr>
          <w:p w:rsidR="004A526E" w:rsidRPr="00A8335B" w:rsidRDefault="004A526E" w:rsidP="000C316B">
            <w:pPr>
              <w:spacing w:line="240" w:lineRule="auto"/>
              <w:jc w:val="left"/>
              <w:rPr>
                <w:rFonts w:ascii="Calibri" w:hAnsi="Calibri"/>
                <w:noProof/>
                <w:color w:val="FF0000"/>
                <w:sz w:val="22"/>
                <w:lang w:eastAsia="hr-HR"/>
              </w:rPr>
            </w:pPr>
          </w:p>
        </w:tc>
        <w:tc>
          <w:tcPr>
            <w:tcW w:w="302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4A526E" w:rsidRPr="004000EA" w:rsidRDefault="004A526E" w:rsidP="000C316B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000EA">
              <w:rPr>
                <w:rFonts w:cs="Arial"/>
                <w:b/>
                <w:color w:val="042C4A"/>
                <w:sz w:val="18"/>
                <w:szCs w:val="18"/>
              </w:rPr>
              <w:t xml:space="preserve">C </w:t>
            </w:r>
            <w:hyperlink r:id="rId38" w:history="1">
              <w:r w:rsidRPr="006B5814">
                <w:rPr>
                  <w:rStyle w:val="Hyperlink"/>
                  <w:rFonts w:cs="Arial"/>
                  <w:sz w:val="18"/>
                  <w:szCs w:val="18"/>
                </w:rPr>
                <w:t>PRODIS MALOPRODAJA d.o.o.</w:t>
              </w:r>
            </w:hyperlink>
          </w:p>
        </w:tc>
      </w:tr>
      <w:tr w:rsidR="004A526E" w:rsidRPr="00A8335B" w:rsidTr="004777B5">
        <w:trPr>
          <w:trHeight w:val="567"/>
        </w:trPr>
        <w:tc>
          <w:tcPr>
            <w:tcW w:w="6946" w:type="dxa"/>
            <w:vMerge/>
            <w:tcBorders>
              <w:left w:val="single" w:sz="2" w:space="0" w:color="A6A6A6"/>
              <w:right w:val="single" w:sz="2" w:space="0" w:color="A6A6A6"/>
            </w:tcBorders>
          </w:tcPr>
          <w:p w:rsidR="004A526E" w:rsidRPr="00A8335B" w:rsidRDefault="004A526E" w:rsidP="000C316B">
            <w:pPr>
              <w:spacing w:line="240" w:lineRule="auto"/>
              <w:jc w:val="left"/>
              <w:rPr>
                <w:rFonts w:ascii="Calibri" w:hAnsi="Calibri"/>
                <w:noProof/>
                <w:color w:val="FF0000"/>
                <w:sz w:val="22"/>
                <w:lang w:eastAsia="hr-HR"/>
              </w:rPr>
            </w:pPr>
          </w:p>
        </w:tc>
        <w:tc>
          <w:tcPr>
            <w:tcW w:w="302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4A526E" w:rsidRPr="004000EA" w:rsidRDefault="004A526E" w:rsidP="004000EA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000EA">
              <w:rPr>
                <w:rFonts w:cs="Arial"/>
                <w:b/>
                <w:color w:val="17365D" w:themeColor="text2" w:themeShade="BF"/>
                <w:sz w:val="18"/>
                <w:szCs w:val="18"/>
              </w:rPr>
              <w:t>D</w:t>
            </w:r>
            <w:r w:rsidRPr="004000EA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 </w:t>
            </w:r>
            <w:hyperlink r:id="rId39" w:history="1">
              <w:r w:rsidRPr="006B5814">
                <w:rPr>
                  <w:rStyle w:val="Hyperlink"/>
                  <w:rFonts w:cs="Arial"/>
                  <w:sz w:val="18"/>
                  <w:szCs w:val="18"/>
                </w:rPr>
                <w:t>A.D.S. d.o.o.</w:t>
              </w:r>
            </w:hyperlink>
          </w:p>
        </w:tc>
      </w:tr>
      <w:tr w:rsidR="004A526E" w:rsidRPr="00A8335B" w:rsidTr="004777B5">
        <w:trPr>
          <w:trHeight w:val="567"/>
        </w:trPr>
        <w:tc>
          <w:tcPr>
            <w:tcW w:w="6946" w:type="dxa"/>
            <w:vMerge/>
            <w:tcBorders>
              <w:left w:val="single" w:sz="2" w:space="0" w:color="A6A6A6"/>
              <w:right w:val="single" w:sz="2" w:space="0" w:color="A6A6A6"/>
            </w:tcBorders>
          </w:tcPr>
          <w:p w:rsidR="004A526E" w:rsidRPr="00A8335B" w:rsidRDefault="004A526E" w:rsidP="000C316B">
            <w:pPr>
              <w:spacing w:line="240" w:lineRule="auto"/>
              <w:jc w:val="left"/>
              <w:rPr>
                <w:rFonts w:ascii="Calibri" w:hAnsi="Calibri"/>
                <w:noProof/>
                <w:color w:val="FF0000"/>
                <w:sz w:val="22"/>
                <w:lang w:eastAsia="hr-HR"/>
              </w:rPr>
            </w:pPr>
          </w:p>
        </w:tc>
        <w:tc>
          <w:tcPr>
            <w:tcW w:w="302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4A526E" w:rsidRPr="004000EA" w:rsidRDefault="004A526E" w:rsidP="000C316B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000EA">
              <w:rPr>
                <w:rFonts w:cs="Arial"/>
                <w:b/>
                <w:color w:val="17365D" w:themeColor="text2" w:themeShade="BF"/>
                <w:sz w:val="18"/>
                <w:szCs w:val="18"/>
              </w:rPr>
              <w:t>E</w:t>
            </w:r>
            <w:r w:rsidRPr="004000EA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 </w:t>
            </w:r>
            <w:hyperlink r:id="rId40" w:history="1">
              <w:r w:rsidRPr="006B5814">
                <w:rPr>
                  <w:rStyle w:val="Hyperlink"/>
                  <w:rFonts w:cs="Arial"/>
                  <w:sz w:val="18"/>
                  <w:szCs w:val="18"/>
                </w:rPr>
                <w:t xml:space="preserve">PLAVA KUTIJA </w:t>
              </w:r>
              <w:r w:rsidRPr="006B5814">
                <w:rPr>
                  <w:rStyle w:val="Hyperlink"/>
                  <w:rFonts w:cs="Arial"/>
                  <w:sz w:val="16"/>
                  <w:szCs w:val="16"/>
                  <w:lang w:eastAsia="hr-HR"/>
                </w:rPr>
                <w:t>d.o.o.</w:t>
              </w:r>
            </w:hyperlink>
          </w:p>
        </w:tc>
      </w:tr>
      <w:tr w:rsidR="004A526E" w:rsidRPr="00A8335B" w:rsidTr="004777B5">
        <w:trPr>
          <w:trHeight w:val="567"/>
        </w:trPr>
        <w:tc>
          <w:tcPr>
            <w:tcW w:w="6946" w:type="dxa"/>
            <w:vMerge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4A526E" w:rsidRPr="00A8335B" w:rsidRDefault="004A526E" w:rsidP="000C316B">
            <w:pPr>
              <w:spacing w:line="240" w:lineRule="auto"/>
              <w:jc w:val="left"/>
              <w:rPr>
                <w:rFonts w:ascii="Calibri" w:hAnsi="Calibri"/>
                <w:noProof/>
                <w:color w:val="FF0000"/>
                <w:sz w:val="22"/>
                <w:lang w:eastAsia="hr-HR"/>
              </w:rPr>
            </w:pPr>
          </w:p>
        </w:tc>
        <w:tc>
          <w:tcPr>
            <w:tcW w:w="302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4A526E" w:rsidRPr="005C41BC" w:rsidRDefault="005C41BC" w:rsidP="005C41BC">
            <w:pPr>
              <w:spacing w:line="240" w:lineRule="auto"/>
              <w:jc w:val="left"/>
              <w:rPr>
                <w:rFonts w:cs="Arial"/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b/>
                <w:color w:val="244061"/>
                <w:sz w:val="18"/>
                <w:szCs w:val="18"/>
              </w:rPr>
              <w:t xml:space="preserve">* </w:t>
            </w:r>
            <w:r w:rsidR="004A526E" w:rsidRPr="005C41BC">
              <w:rPr>
                <w:rFonts w:cs="Arial"/>
                <w:b/>
                <w:color w:val="244061"/>
                <w:sz w:val="18"/>
                <w:szCs w:val="18"/>
              </w:rPr>
              <w:t>Novostvorena vrijednost poduzetnika na razini RH</w:t>
            </w:r>
          </w:p>
        </w:tc>
      </w:tr>
    </w:tbl>
    <w:p w:rsidR="002640E8" w:rsidRDefault="002640E8" w:rsidP="005D024C">
      <w:pPr>
        <w:widowControl w:val="0"/>
        <w:spacing w:before="40"/>
        <w:rPr>
          <w:rFonts w:cs="Arial"/>
          <w:i/>
          <w:noProof/>
          <w:color w:val="17365D" w:themeColor="text2" w:themeShade="BF"/>
          <w:sz w:val="16"/>
          <w:szCs w:val="16"/>
          <w:u w:val="single"/>
          <w:lang w:eastAsia="hr-HR"/>
        </w:rPr>
      </w:pPr>
      <w:r w:rsidRPr="00D26BEC">
        <w:rPr>
          <w:rFonts w:cs="Arial"/>
          <w:i/>
          <w:noProof/>
          <w:color w:val="17365D" w:themeColor="text2" w:themeShade="BF"/>
          <w:sz w:val="16"/>
          <w:szCs w:val="16"/>
          <w:lang w:eastAsia="hr-HR"/>
        </w:rPr>
        <w:t xml:space="preserve">Izvor: Fina, servis </w:t>
      </w:r>
      <w:hyperlink r:id="rId41" w:history="1">
        <w:r w:rsidRPr="00D26BEC">
          <w:rPr>
            <w:rFonts w:cs="Arial"/>
            <w:i/>
            <w:noProof/>
            <w:color w:val="17365D" w:themeColor="text2" w:themeShade="BF"/>
            <w:sz w:val="16"/>
            <w:szCs w:val="16"/>
            <w:u w:val="single"/>
            <w:lang w:eastAsia="hr-HR"/>
          </w:rPr>
          <w:t>info.BIZ</w:t>
        </w:r>
      </w:hyperlink>
    </w:p>
    <w:p w:rsidR="00DA7704" w:rsidRPr="0034613E" w:rsidRDefault="00DA7704" w:rsidP="00DA7704">
      <w:pPr>
        <w:spacing w:before="180"/>
        <w:rPr>
          <w:rFonts w:cs="Arial"/>
          <w:color w:val="17365D" w:themeColor="text2" w:themeShade="BF"/>
          <w:szCs w:val="20"/>
        </w:rPr>
      </w:pPr>
      <w:r w:rsidRPr="0034613E">
        <w:rPr>
          <w:rFonts w:cs="Arial"/>
          <w:color w:val="17365D" w:themeColor="text2" w:themeShade="BF"/>
          <w:szCs w:val="20"/>
        </w:rPr>
        <w:t>U posljednjih nekoliko godina promijenile su se i navike potrošača, pa su roditelji postali skloniji kupnji igračaka u trgovačkim lancima i drogerijama (koje imaju dobro opskrbljene odjele s igračkama te pojačavaju njihov asortiman), umjesto da traže specijalizirane trgovine.</w:t>
      </w:r>
    </w:p>
    <w:p w:rsidR="00DA7704" w:rsidRDefault="00DA7704" w:rsidP="00DA7704">
      <w:pPr>
        <w:spacing w:before="120"/>
        <w:rPr>
          <w:rFonts w:cs="Arial"/>
          <w:color w:val="17365D" w:themeColor="text2" w:themeShade="BF"/>
          <w:szCs w:val="20"/>
        </w:rPr>
      </w:pPr>
      <w:r w:rsidRPr="0034613E">
        <w:rPr>
          <w:rFonts w:cs="Arial"/>
          <w:color w:val="17365D" w:themeColor="text2" w:themeShade="BF"/>
          <w:szCs w:val="20"/>
        </w:rPr>
        <w:t xml:space="preserve">Hrvatsko tržište igračaka gotovo je u potpunosti bazirano na uvozu, a jedini hrvatski proizvođač igračaka, </w:t>
      </w:r>
      <w:hyperlink r:id="rId42" w:history="1">
        <w:r w:rsidRPr="006B5814">
          <w:rPr>
            <w:rStyle w:val="Hyperlink"/>
            <w:rFonts w:cs="Arial"/>
            <w:szCs w:val="20"/>
          </w:rPr>
          <w:t>BISERKA PROIZVO</w:t>
        </w:r>
        <w:r w:rsidRPr="006B5814">
          <w:rPr>
            <w:rStyle w:val="Hyperlink"/>
            <w:rFonts w:cs="Arial"/>
            <w:szCs w:val="20"/>
          </w:rPr>
          <w:t>DNJA d.o.o.</w:t>
        </w:r>
      </w:hyperlink>
      <w:r w:rsidR="004777B5" w:rsidRPr="00E14D1F">
        <w:rPr>
          <w:rStyle w:val="Hyperlink"/>
          <w:rFonts w:cs="Arial"/>
          <w:szCs w:val="20"/>
          <w:u w:val="none"/>
        </w:rPr>
        <w:t xml:space="preserve"> </w:t>
      </w:r>
      <w:r w:rsidR="004777B5" w:rsidRPr="00E14D1F">
        <w:rPr>
          <w:rStyle w:val="Hyperlink"/>
          <w:rFonts w:cs="Arial"/>
          <w:color w:val="244061" w:themeColor="accent1" w:themeShade="80"/>
          <w:szCs w:val="20"/>
          <w:u w:val="none"/>
        </w:rPr>
        <w:t>(N</w:t>
      </w:r>
      <w:r w:rsidRPr="0034613E">
        <w:rPr>
          <w:rFonts w:cs="Arial"/>
          <w:color w:val="17365D" w:themeColor="text2" w:themeShade="BF"/>
          <w:szCs w:val="20"/>
        </w:rPr>
        <w:t>KD 32.40 - Proizvodnja igara i igračaka), koja je od nekadašnjih petstotinjak artikala</w:t>
      </w:r>
      <w:r w:rsidR="00003B7F">
        <w:rPr>
          <w:rFonts w:cs="Arial"/>
          <w:color w:val="17365D" w:themeColor="text2" w:themeShade="BF"/>
          <w:szCs w:val="20"/>
        </w:rPr>
        <w:t>,</w:t>
      </w:r>
      <w:r w:rsidRPr="0034613E">
        <w:rPr>
          <w:rFonts w:cs="Arial"/>
          <w:color w:val="17365D" w:themeColor="text2" w:themeShade="BF"/>
          <w:szCs w:val="20"/>
        </w:rPr>
        <w:t xml:space="preserve"> koliko su proizvodili</w:t>
      </w:r>
      <w:r w:rsidR="00003B7F">
        <w:rPr>
          <w:rFonts w:cs="Arial"/>
          <w:color w:val="17365D" w:themeColor="text2" w:themeShade="BF"/>
          <w:szCs w:val="20"/>
        </w:rPr>
        <w:t>,</w:t>
      </w:r>
      <w:r w:rsidRPr="0034613E">
        <w:rPr>
          <w:rFonts w:cs="Arial"/>
          <w:color w:val="17365D" w:themeColor="text2" w:themeShade="BF"/>
          <w:szCs w:val="20"/>
        </w:rPr>
        <w:t xml:space="preserve"> ostala samo na izradi lopti i poneke društvene igre, ne može konkurirati jeftinim kineskim igračkama.</w:t>
      </w:r>
    </w:p>
    <w:p w:rsidR="004777B5" w:rsidRPr="0034613E" w:rsidRDefault="004777B5" w:rsidP="004777B5">
      <w:pPr>
        <w:widowControl w:val="0"/>
        <w:tabs>
          <w:tab w:val="left" w:pos="1134"/>
        </w:tabs>
        <w:spacing w:before="180" w:after="40" w:line="240" w:lineRule="auto"/>
        <w:rPr>
          <w:rFonts w:cs="Arial"/>
          <w:b/>
          <w:noProof/>
          <w:color w:val="17365D" w:themeColor="text2" w:themeShade="BF"/>
          <w:sz w:val="18"/>
          <w:szCs w:val="18"/>
          <w:lang w:eastAsia="hr-HR"/>
        </w:rPr>
      </w:pPr>
      <w:r w:rsidRPr="0034613E">
        <w:rPr>
          <w:rFonts w:cs="Arial"/>
          <w:b/>
          <w:noProof/>
          <w:color w:val="17365D" w:themeColor="text2" w:themeShade="BF"/>
          <w:sz w:val="18"/>
          <w:szCs w:val="18"/>
          <w:lang w:eastAsia="hr-HR"/>
        </w:rPr>
        <w:t>Tablica 4.</w:t>
      </w:r>
      <w:r w:rsidRPr="0034613E">
        <w:rPr>
          <w:rFonts w:cs="Arial"/>
          <w:b/>
          <w:noProof/>
          <w:color w:val="17365D" w:themeColor="text2" w:themeShade="BF"/>
          <w:sz w:val="18"/>
          <w:szCs w:val="18"/>
          <w:lang w:eastAsia="hr-HR"/>
        </w:rPr>
        <w:tab/>
        <w:t xml:space="preserve">Ukupna imovina društva </w:t>
      </w:r>
      <w:hyperlink r:id="rId43" w:history="1">
        <w:r w:rsidRPr="006B5814">
          <w:rPr>
            <w:rStyle w:val="Hyperlink"/>
            <w:rFonts w:cs="Arial"/>
            <w:b/>
            <w:noProof/>
            <w:sz w:val="18"/>
            <w:szCs w:val="18"/>
            <w:lang w:eastAsia="hr-HR"/>
          </w:rPr>
          <w:t>BISERKA PROIZVODNJA d.o.o.</w:t>
        </w:r>
      </w:hyperlink>
      <w:r w:rsidRPr="0034613E">
        <w:rPr>
          <w:rFonts w:cs="Arial"/>
          <w:b/>
          <w:noProof/>
          <w:color w:val="17365D" w:themeColor="text2" w:themeShade="BF"/>
          <w:sz w:val="18"/>
          <w:szCs w:val="18"/>
          <w:lang w:eastAsia="hr-HR"/>
        </w:rPr>
        <w:t xml:space="preserve"> u razdoblju od 2010. do 2015. godine</w:t>
      </w:r>
    </w:p>
    <w:tbl>
      <w:tblPr>
        <w:tblStyle w:val="LightShading-Accent1"/>
        <w:tblW w:w="0" w:type="auto"/>
        <w:tblInd w:w="108" w:type="dxa"/>
        <w:tblLook w:val="04A0" w:firstRow="1" w:lastRow="0" w:firstColumn="1" w:lastColumn="0" w:noHBand="0" w:noVBand="1"/>
      </w:tblPr>
      <w:tblGrid>
        <w:gridCol w:w="1710"/>
        <w:gridCol w:w="1429"/>
        <w:gridCol w:w="1430"/>
        <w:gridCol w:w="1429"/>
        <w:gridCol w:w="1401"/>
        <w:gridCol w:w="1364"/>
        <w:gridCol w:w="1210"/>
      </w:tblGrid>
      <w:tr w:rsidR="004777B5" w:rsidRPr="00DA7704" w:rsidTr="004777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:rsidR="004777B5" w:rsidRPr="004777B5" w:rsidRDefault="004777B5" w:rsidP="004777B5">
            <w:pPr>
              <w:spacing w:line="240" w:lineRule="auto"/>
              <w:jc w:val="center"/>
              <w:rPr>
                <w:rFonts w:cs="Arial"/>
                <w:bCs w:val="0"/>
                <w:color w:val="17365D" w:themeColor="text2" w:themeShade="BF"/>
                <w:sz w:val="17"/>
                <w:szCs w:val="17"/>
                <w:lang w:eastAsia="hr-HR"/>
              </w:rPr>
            </w:pPr>
            <w:r w:rsidRPr="004777B5">
              <w:rPr>
                <w:rFonts w:cs="Arial"/>
                <w:bCs w:val="0"/>
                <w:color w:val="17365D" w:themeColor="text2" w:themeShade="BF"/>
                <w:sz w:val="17"/>
                <w:szCs w:val="17"/>
                <w:lang w:eastAsia="hr-HR"/>
              </w:rPr>
              <w:t>Opis</w:t>
            </w:r>
          </w:p>
        </w:tc>
        <w:tc>
          <w:tcPr>
            <w:tcW w:w="1429" w:type="dxa"/>
            <w:vAlign w:val="center"/>
          </w:tcPr>
          <w:p w:rsidR="004777B5" w:rsidRPr="004777B5" w:rsidRDefault="004777B5" w:rsidP="004777B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17365D" w:themeColor="text2" w:themeShade="BF"/>
                <w:sz w:val="17"/>
                <w:szCs w:val="17"/>
                <w:lang w:eastAsia="hr-HR"/>
              </w:rPr>
            </w:pPr>
            <w:r w:rsidRPr="004777B5">
              <w:rPr>
                <w:rFonts w:cs="Arial"/>
                <w:color w:val="17365D" w:themeColor="text2" w:themeShade="BF"/>
                <w:sz w:val="17"/>
                <w:szCs w:val="17"/>
                <w:lang w:eastAsia="hr-HR"/>
              </w:rPr>
              <w:t>2010.</w:t>
            </w:r>
          </w:p>
        </w:tc>
        <w:tc>
          <w:tcPr>
            <w:tcW w:w="1430" w:type="dxa"/>
            <w:vAlign w:val="center"/>
          </w:tcPr>
          <w:p w:rsidR="004777B5" w:rsidRPr="004777B5" w:rsidRDefault="004777B5" w:rsidP="004777B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17365D" w:themeColor="text2" w:themeShade="BF"/>
                <w:sz w:val="17"/>
                <w:szCs w:val="17"/>
                <w:lang w:eastAsia="hr-HR"/>
              </w:rPr>
            </w:pPr>
            <w:r w:rsidRPr="004777B5">
              <w:rPr>
                <w:rFonts w:cs="Arial"/>
                <w:color w:val="17365D" w:themeColor="text2" w:themeShade="BF"/>
                <w:sz w:val="17"/>
                <w:szCs w:val="17"/>
                <w:lang w:eastAsia="hr-HR"/>
              </w:rPr>
              <w:t>2011.</w:t>
            </w:r>
          </w:p>
        </w:tc>
        <w:tc>
          <w:tcPr>
            <w:tcW w:w="1429" w:type="dxa"/>
            <w:vAlign w:val="center"/>
          </w:tcPr>
          <w:p w:rsidR="004777B5" w:rsidRPr="004777B5" w:rsidRDefault="004777B5" w:rsidP="004777B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17365D" w:themeColor="text2" w:themeShade="BF"/>
                <w:sz w:val="17"/>
                <w:szCs w:val="17"/>
                <w:lang w:eastAsia="hr-HR"/>
              </w:rPr>
            </w:pPr>
            <w:r w:rsidRPr="004777B5">
              <w:rPr>
                <w:rFonts w:cs="Arial"/>
                <w:color w:val="17365D" w:themeColor="text2" w:themeShade="BF"/>
                <w:sz w:val="17"/>
                <w:szCs w:val="17"/>
                <w:lang w:eastAsia="hr-HR"/>
              </w:rPr>
              <w:t>2012.</w:t>
            </w:r>
          </w:p>
        </w:tc>
        <w:tc>
          <w:tcPr>
            <w:tcW w:w="1401" w:type="dxa"/>
            <w:vAlign w:val="center"/>
          </w:tcPr>
          <w:p w:rsidR="004777B5" w:rsidRPr="004777B5" w:rsidRDefault="004777B5" w:rsidP="004777B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17365D" w:themeColor="text2" w:themeShade="BF"/>
                <w:sz w:val="17"/>
                <w:szCs w:val="17"/>
                <w:lang w:eastAsia="hr-HR"/>
              </w:rPr>
            </w:pPr>
            <w:r w:rsidRPr="004777B5">
              <w:rPr>
                <w:rFonts w:cs="Arial"/>
                <w:color w:val="17365D" w:themeColor="text2" w:themeShade="BF"/>
                <w:sz w:val="17"/>
                <w:szCs w:val="17"/>
                <w:lang w:eastAsia="hr-HR"/>
              </w:rPr>
              <w:t>2013.</w:t>
            </w:r>
          </w:p>
        </w:tc>
        <w:tc>
          <w:tcPr>
            <w:tcW w:w="1364" w:type="dxa"/>
            <w:vAlign w:val="center"/>
          </w:tcPr>
          <w:p w:rsidR="004777B5" w:rsidRPr="004777B5" w:rsidRDefault="004777B5" w:rsidP="004777B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17365D" w:themeColor="text2" w:themeShade="BF"/>
                <w:sz w:val="17"/>
                <w:szCs w:val="17"/>
                <w:lang w:eastAsia="hr-HR"/>
              </w:rPr>
            </w:pPr>
            <w:r w:rsidRPr="004777B5">
              <w:rPr>
                <w:rFonts w:cs="Arial"/>
                <w:color w:val="17365D" w:themeColor="text2" w:themeShade="BF"/>
                <w:sz w:val="17"/>
                <w:szCs w:val="17"/>
                <w:lang w:eastAsia="hr-HR"/>
              </w:rPr>
              <w:t>2014.</w:t>
            </w:r>
          </w:p>
        </w:tc>
        <w:tc>
          <w:tcPr>
            <w:tcW w:w="1210" w:type="dxa"/>
            <w:vAlign w:val="center"/>
          </w:tcPr>
          <w:p w:rsidR="004777B5" w:rsidRPr="004777B5" w:rsidRDefault="004777B5" w:rsidP="004777B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4777B5">
              <w:rPr>
                <w:rFonts w:cs="Arial"/>
                <w:color w:val="17365D" w:themeColor="text2" w:themeShade="BF"/>
                <w:sz w:val="17"/>
                <w:szCs w:val="17"/>
                <w:lang w:eastAsia="hr-HR"/>
              </w:rPr>
              <w:t>2015.</w:t>
            </w:r>
          </w:p>
        </w:tc>
      </w:tr>
      <w:tr w:rsidR="004777B5" w:rsidRPr="0034613E" w:rsidTr="0047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:rsidR="004777B5" w:rsidRPr="004777B5" w:rsidRDefault="004777B5" w:rsidP="004777B5">
            <w:pPr>
              <w:widowControl w:val="0"/>
              <w:spacing w:line="240" w:lineRule="auto"/>
              <w:jc w:val="center"/>
              <w:rPr>
                <w:rFonts w:cs="Arial"/>
                <w:b w:val="0"/>
                <w:color w:val="17365D" w:themeColor="text2" w:themeShade="BF"/>
                <w:sz w:val="18"/>
                <w:szCs w:val="18"/>
                <w:lang w:eastAsia="hr-HR"/>
              </w:rPr>
            </w:pPr>
            <w:r w:rsidRPr="004777B5">
              <w:rPr>
                <w:rFonts w:cs="Arial"/>
                <w:b w:val="0"/>
                <w:color w:val="17365D" w:themeColor="text2" w:themeShade="BF"/>
                <w:sz w:val="18"/>
                <w:szCs w:val="18"/>
                <w:lang w:eastAsia="hr-HR"/>
              </w:rPr>
              <w:t>Ukupna imovina</w:t>
            </w:r>
          </w:p>
        </w:tc>
        <w:tc>
          <w:tcPr>
            <w:tcW w:w="1429" w:type="dxa"/>
            <w:vAlign w:val="center"/>
          </w:tcPr>
          <w:p w:rsidR="004777B5" w:rsidRPr="004777B5" w:rsidRDefault="004777B5" w:rsidP="004777B5">
            <w:pPr>
              <w:widowControl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4777B5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>974.256</w:t>
            </w:r>
            <w:r w:rsidR="00B836FC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 xml:space="preserve"> kn</w:t>
            </w:r>
          </w:p>
        </w:tc>
        <w:tc>
          <w:tcPr>
            <w:tcW w:w="1430" w:type="dxa"/>
            <w:vAlign w:val="center"/>
          </w:tcPr>
          <w:p w:rsidR="004777B5" w:rsidRPr="004777B5" w:rsidRDefault="004777B5" w:rsidP="004777B5">
            <w:pPr>
              <w:widowControl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4777B5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>767.403</w:t>
            </w:r>
            <w:r w:rsidR="00B836FC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 xml:space="preserve"> kn</w:t>
            </w:r>
          </w:p>
        </w:tc>
        <w:tc>
          <w:tcPr>
            <w:tcW w:w="1429" w:type="dxa"/>
            <w:vAlign w:val="center"/>
          </w:tcPr>
          <w:p w:rsidR="004777B5" w:rsidRPr="004777B5" w:rsidRDefault="004777B5" w:rsidP="004777B5">
            <w:pPr>
              <w:widowControl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4777B5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>375.765</w:t>
            </w:r>
            <w:r w:rsidR="00B836FC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 xml:space="preserve"> kn</w:t>
            </w:r>
          </w:p>
        </w:tc>
        <w:tc>
          <w:tcPr>
            <w:tcW w:w="1401" w:type="dxa"/>
            <w:vAlign w:val="center"/>
          </w:tcPr>
          <w:p w:rsidR="004777B5" w:rsidRPr="004777B5" w:rsidRDefault="004777B5" w:rsidP="004777B5">
            <w:pPr>
              <w:widowControl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4777B5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>95.965</w:t>
            </w:r>
            <w:r w:rsidR="00B836FC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 xml:space="preserve"> kn</w:t>
            </w:r>
          </w:p>
        </w:tc>
        <w:tc>
          <w:tcPr>
            <w:tcW w:w="1364" w:type="dxa"/>
            <w:vAlign w:val="center"/>
          </w:tcPr>
          <w:p w:rsidR="004777B5" w:rsidRPr="004777B5" w:rsidRDefault="004777B5" w:rsidP="004777B5">
            <w:pPr>
              <w:widowControl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4777B5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>42.035</w:t>
            </w:r>
            <w:r w:rsidR="00B836FC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 xml:space="preserve"> kn</w:t>
            </w:r>
          </w:p>
        </w:tc>
        <w:tc>
          <w:tcPr>
            <w:tcW w:w="1210" w:type="dxa"/>
            <w:vAlign w:val="center"/>
          </w:tcPr>
          <w:p w:rsidR="004777B5" w:rsidRPr="004777B5" w:rsidRDefault="004777B5" w:rsidP="004777B5">
            <w:pPr>
              <w:widowControl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4777B5">
              <w:rPr>
                <w:rFonts w:cs="Arial"/>
                <w:color w:val="17365D" w:themeColor="text2" w:themeShade="BF"/>
                <w:sz w:val="18"/>
                <w:szCs w:val="18"/>
                <w:lang w:eastAsia="hr-HR"/>
              </w:rPr>
              <w:t>28.479</w:t>
            </w:r>
          </w:p>
        </w:tc>
      </w:tr>
    </w:tbl>
    <w:p w:rsidR="004777B5" w:rsidRDefault="004777B5" w:rsidP="004777B5">
      <w:pPr>
        <w:widowControl w:val="0"/>
        <w:spacing w:before="40" w:line="240" w:lineRule="auto"/>
        <w:rPr>
          <w:rFonts w:cs="Arial"/>
          <w:i/>
          <w:noProof/>
          <w:color w:val="17365D" w:themeColor="text2" w:themeShade="BF"/>
          <w:sz w:val="16"/>
          <w:szCs w:val="16"/>
          <w:u w:val="single"/>
          <w:lang w:eastAsia="hr-HR"/>
        </w:rPr>
      </w:pPr>
      <w:r w:rsidRPr="004777B5">
        <w:rPr>
          <w:rFonts w:cs="Arial"/>
          <w:i/>
          <w:noProof/>
          <w:color w:val="17365D" w:themeColor="text2" w:themeShade="BF"/>
          <w:sz w:val="16"/>
          <w:szCs w:val="16"/>
          <w:lang w:eastAsia="hr-HR"/>
        </w:rPr>
        <w:t xml:space="preserve">Izvor: Fina, servis </w:t>
      </w:r>
      <w:hyperlink r:id="rId44" w:history="1">
        <w:r w:rsidRPr="004777B5">
          <w:rPr>
            <w:rFonts w:cs="Arial"/>
            <w:i/>
            <w:noProof/>
            <w:color w:val="17365D" w:themeColor="text2" w:themeShade="BF"/>
            <w:sz w:val="16"/>
            <w:szCs w:val="16"/>
            <w:u w:val="single"/>
            <w:lang w:eastAsia="hr-HR"/>
          </w:rPr>
          <w:t>info.BIZ</w:t>
        </w:r>
      </w:hyperlink>
    </w:p>
    <w:p w:rsidR="007B2502" w:rsidRPr="007B2502" w:rsidRDefault="007B2502" w:rsidP="007B2502">
      <w:pPr>
        <w:widowControl w:val="0"/>
        <w:spacing w:before="180"/>
        <w:rPr>
          <w:rFonts w:cs="Arial"/>
          <w:noProof/>
          <w:color w:val="17365D" w:themeColor="text2" w:themeShade="BF"/>
          <w:szCs w:val="20"/>
          <w:lang w:eastAsia="hr-HR"/>
        </w:rPr>
      </w:pPr>
      <w:r w:rsidRPr="00CC18A1">
        <w:rPr>
          <w:rFonts w:cs="Arial"/>
          <w:noProof/>
          <w:color w:val="17365D" w:themeColor="text2" w:themeShade="BF"/>
          <w:szCs w:val="20"/>
          <w:lang w:eastAsia="hr-HR"/>
        </w:rPr>
        <w:t>Jednako kako se iz</w:t>
      </w:r>
      <w:bookmarkStart w:id="1" w:name="_GoBack"/>
      <w:bookmarkEnd w:id="1"/>
      <w:r w:rsidRPr="00CC18A1">
        <w:rPr>
          <w:rFonts w:cs="Arial"/>
          <w:noProof/>
          <w:color w:val="17365D" w:themeColor="text2" w:themeShade="BF"/>
          <w:szCs w:val="20"/>
          <w:lang w:eastAsia="hr-HR"/>
        </w:rPr>
        <w:t xml:space="preserve"> godine u godinu smanjivao ukupni prihod (grafikon 2), smanjivala se i vrijednost ukupne imovine društva (tablica 4).</w:t>
      </w:r>
    </w:p>
    <w:p w:rsidR="00DA7704" w:rsidRDefault="00DA7704" w:rsidP="007B2502">
      <w:pPr>
        <w:pageBreakBefore/>
        <w:widowControl w:val="0"/>
        <w:tabs>
          <w:tab w:val="left" w:pos="1134"/>
        </w:tabs>
        <w:spacing w:after="60"/>
        <w:rPr>
          <w:rFonts w:cs="Arial"/>
          <w:b/>
          <w:color w:val="17365D" w:themeColor="text2" w:themeShade="BF"/>
          <w:sz w:val="18"/>
          <w:szCs w:val="18"/>
        </w:rPr>
      </w:pPr>
      <w:r w:rsidRPr="0034613E">
        <w:rPr>
          <w:rFonts w:cs="Arial"/>
          <w:b/>
          <w:color w:val="17365D" w:themeColor="text2" w:themeShade="BF"/>
          <w:sz w:val="18"/>
          <w:szCs w:val="18"/>
        </w:rPr>
        <w:lastRenderedPageBreak/>
        <w:t>Grafikon 2.</w:t>
      </w:r>
      <w:r w:rsidRPr="0034613E">
        <w:rPr>
          <w:rFonts w:cs="Arial"/>
          <w:b/>
          <w:color w:val="17365D" w:themeColor="text2" w:themeShade="BF"/>
          <w:sz w:val="18"/>
          <w:szCs w:val="18"/>
        </w:rPr>
        <w:tab/>
        <w:t xml:space="preserve">Ukupan prihod društva </w:t>
      </w:r>
      <w:hyperlink r:id="rId45" w:history="1">
        <w:r w:rsidRPr="006B5814">
          <w:rPr>
            <w:rStyle w:val="Hyperlink"/>
            <w:rFonts w:cs="Arial"/>
            <w:b/>
            <w:sz w:val="18"/>
            <w:szCs w:val="18"/>
          </w:rPr>
          <w:t>BISERKA PROIZVODNJA d.o</w:t>
        </w:r>
        <w:r w:rsidR="0034613E" w:rsidRPr="006B5814">
          <w:rPr>
            <w:rStyle w:val="Hyperlink"/>
            <w:rFonts w:cs="Arial"/>
            <w:b/>
            <w:sz w:val="18"/>
            <w:szCs w:val="18"/>
          </w:rPr>
          <w:t>.o.</w:t>
        </w:r>
      </w:hyperlink>
      <w:r w:rsidR="0034613E" w:rsidRPr="0034613E">
        <w:rPr>
          <w:rFonts w:cs="Arial"/>
          <w:b/>
          <w:color w:val="17365D" w:themeColor="text2" w:themeShade="BF"/>
          <w:sz w:val="18"/>
          <w:szCs w:val="18"/>
        </w:rPr>
        <w:t xml:space="preserve"> u razdoblju </w:t>
      </w:r>
      <w:r w:rsidR="00C85582">
        <w:rPr>
          <w:rFonts w:cs="Arial"/>
          <w:b/>
          <w:color w:val="17365D" w:themeColor="text2" w:themeShade="BF"/>
          <w:sz w:val="18"/>
          <w:szCs w:val="18"/>
        </w:rPr>
        <w:t>od 2008</w:t>
      </w:r>
      <w:r w:rsidR="0034613E" w:rsidRPr="0034613E">
        <w:rPr>
          <w:rFonts w:cs="Arial"/>
          <w:b/>
          <w:color w:val="17365D" w:themeColor="text2" w:themeShade="BF"/>
          <w:sz w:val="18"/>
          <w:szCs w:val="18"/>
        </w:rPr>
        <w:t>. do 2015</w:t>
      </w:r>
      <w:r w:rsidRPr="0034613E">
        <w:rPr>
          <w:rFonts w:cs="Arial"/>
          <w:b/>
          <w:color w:val="17365D" w:themeColor="text2" w:themeShade="BF"/>
          <w:sz w:val="18"/>
          <w:szCs w:val="18"/>
        </w:rPr>
        <w:t>. godine</w:t>
      </w:r>
    </w:p>
    <w:p w:rsidR="00983E09" w:rsidRPr="0034613E" w:rsidRDefault="00983E09" w:rsidP="004777B5">
      <w:pPr>
        <w:tabs>
          <w:tab w:val="left" w:pos="1134"/>
        </w:tabs>
        <w:spacing w:after="60" w:line="240" w:lineRule="auto"/>
        <w:rPr>
          <w:rFonts w:cs="Arial"/>
          <w:b/>
          <w:color w:val="17365D" w:themeColor="text2" w:themeShade="BF"/>
          <w:sz w:val="18"/>
          <w:szCs w:val="18"/>
        </w:rPr>
      </w:pPr>
      <w:r>
        <w:rPr>
          <w:rFonts w:cs="Arial"/>
          <w:b/>
          <w:noProof/>
          <w:color w:val="1F497D" w:themeColor="text2"/>
          <w:sz w:val="18"/>
          <w:szCs w:val="18"/>
          <w:lang w:eastAsia="hr-HR"/>
        </w:rPr>
        <w:drawing>
          <wp:inline distT="0" distB="0" distL="0" distR="0" wp14:anchorId="2A5391D1">
            <wp:extent cx="6264000" cy="2088000"/>
            <wp:effectExtent l="0" t="0" r="3810" b="7620"/>
            <wp:docPr id="10" name="Slika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7704" w:rsidRPr="0034613E" w:rsidRDefault="00DA7704" w:rsidP="00DA7704">
      <w:pPr>
        <w:widowControl w:val="0"/>
        <w:spacing w:before="40"/>
        <w:rPr>
          <w:rFonts w:cs="Arial"/>
          <w:i/>
          <w:noProof/>
          <w:color w:val="17365D" w:themeColor="text2" w:themeShade="BF"/>
          <w:sz w:val="16"/>
          <w:szCs w:val="16"/>
          <w:u w:val="single"/>
          <w:lang w:eastAsia="hr-HR"/>
        </w:rPr>
      </w:pPr>
      <w:r w:rsidRPr="0034613E">
        <w:rPr>
          <w:rFonts w:cs="Arial"/>
          <w:i/>
          <w:noProof/>
          <w:color w:val="17365D" w:themeColor="text2" w:themeShade="BF"/>
          <w:sz w:val="16"/>
          <w:szCs w:val="16"/>
          <w:lang w:eastAsia="hr-HR"/>
        </w:rPr>
        <w:t xml:space="preserve">Izvor: Fina, servis </w:t>
      </w:r>
      <w:hyperlink r:id="rId47" w:history="1">
        <w:r w:rsidRPr="0034613E">
          <w:rPr>
            <w:rFonts w:cs="Arial"/>
            <w:i/>
            <w:noProof/>
            <w:color w:val="17365D" w:themeColor="text2" w:themeShade="BF"/>
            <w:sz w:val="16"/>
            <w:szCs w:val="16"/>
            <w:u w:val="single"/>
            <w:lang w:eastAsia="hr-HR"/>
          </w:rPr>
          <w:t>info.BIZ</w:t>
        </w:r>
      </w:hyperlink>
    </w:p>
    <w:p w:rsidR="002640E8" w:rsidRPr="00A8335B" w:rsidRDefault="002640E8" w:rsidP="005502C7">
      <w:pPr>
        <w:pBdr>
          <w:bottom w:val="single" w:sz="12" w:space="9" w:color="auto"/>
        </w:pBdr>
        <w:spacing w:line="240" w:lineRule="auto"/>
        <w:jc w:val="left"/>
        <w:rPr>
          <w:i/>
          <w:color w:val="FF0000"/>
          <w:sz w:val="2"/>
          <w:szCs w:val="16"/>
          <w:lang w:eastAsia="hr-HR"/>
        </w:rPr>
      </w:pPr>
    </w:p>
    <w:p w:rsidR="002640E8" w:rsidRPr="00CD747C" w:rsidRDefault="002640E8" w:rsidP="009C63E5">
      <w:pPr>
        <w:spacing w:before="240" w:line="240" w:lineRule="auto"/>
        <w:rPr>
          <w:rFonts w:cs="Arial"/>
          <w:i/>
          <w:color w:val="17365D" w:themeColor="text2" w:themeShade="BF"/>
          <w:sz w:val="18"/>
          <w:szCs w:val="18"/>
          <w:lang w:eastAsia="hr-HR"/>
        </w:rPr>
      </w:pPr>
      <w:r w:rsidRPr="00CD747C">
        <w:rPr>
          <w:rFonts w:cs="Arial"/>
          <w:i/>
          <w:color w:val="17365D" w:themeColor="text2" w:themeShade="BF"/>
          <w:sz w:val="18"/>
          <w:szCs w:val="18"/>
          <w:lang w:eastAsia="hr-HR"/>
        </w:rPr>
        <w:t xml:space="preserve">Više o rezultatima poslovanja poduzetnika po područjima djelatnosti i po drugim kriterijima, prezentirano je u </w:t>
      </w:r>
      <w:hyperlink r:id="rId48" w:history="1">
        <w:r w:rsidRPr="00CD747C">
          <w:rPr>
            <w:rFonts w:cs="Arial"/>
            <w:i/>
            <w:color w:val="17365D" w:themeColor="text2" w:themeShade="BF"/>
            <w:sz w:val="18"/>
            <w:szCs w:val="18"/>
            <w:u w:val="single"/>
            <w:lang w:eastAsia="hr-HR"/>
          </w:rPr>
          <w:t>standardnim analizama</w:t>
        </w:r>
      </w:hyperlink>
      <w:r w:rsidRPr="00CD747C">
        <w:rPr>
          <w:rFonts w:cs="Arial"/>
          <w:i/>
          <w:color w:val="17365D" w:themeColor="text2" w:themeShade="BF"/>
          <w:sz w:val="18"/>
          <w:szCs w:val="18"/>
          <w:lang w:eastAsia="hr-HR"/>
        </w:rPr>
        <w:t xml:space="preserve"> rezultata poslovanja poduzetnika RH, po županijama </w:t>
      </w:r>
      <w:r w:rsidR="00C443DF" w:rsidRPr="00CD747C">
        <w:rPr>
          <w:rFonts w:cs="Arial"/>
          <w:i/>
          <w:color w:val="17365D" w:themeColor="text2" w:themeShade="BF"/>
          <w:sz w:val="18"/>
          <w:szCs w:val="18"/>
          <w:lang w:eastAsia="hr-HR"/>
        </w:rPr>
        <w:t>i po gradovima i općinama u 2015</w:t>
      </w:r>
      <w:r w:rsidRPr="00CD747C">
        <w:rPr>
          <w:rFonts w:cs="Arial"/>
          <w:i/>
          <w:color w:val="17365D" w:themeColor="text2" w:themeShade="BF"/>
          <w:sz w:val="18"/>
          <w:szCs w:val="18"/>
          <w:lang w:eastAsia="hr-HR"/>
        </w:rPr>
        <w:t xml:space="preserve">. godini. </w:t>
      </w:r>
    </w:p>
    <w:p w:rsidR="002640E8" w:rsidRPr="00CD747C" w:rsidRDefault="002640E8" w:rsidP="009C63E5">
      <w:pPr>
        <w:spacing w:before="120" w:line="240" w:lineRule="auto"/>
        <w:rPr>
          <w:rFonts w:cs="Arial"/>
          <w:i/>
          <w:color w:val="17365D" w:themeColor="text2" w:themeShade="BF"/>
          <w:sz w:val="18"/>
          <w:szCs w:val="18"/>
          <w:lang w:eastAsia="hr-HR"/>
        </w:rPr>
      </w:pPr>
      <w:r w:rsidRPr="00CD747C">
        <w:rPr>
          <w:rFonts w:cs="Arial"/>
          <w:i/>
          <w:color w:val="17365D" w:themeColor="text2" w:themeShade="BF"/>
          <w:sz w:val="18"/>
          <w:szCs w:val="18"/>
          <w:lang w:eastAsia="hr-HR"/>
        </w:rPr>
        <w:t xml:space="preserve">Pojedinačni podaci o rezultatima poslovanja poduzetnika dostupni su besplatno na </w:t>
      </w:r>
      <w:hyperlink r:id="rId49" w:history="1">
        <w:r w:rsidRPr="00CD747C">
          <w:rPr>
            <w:rFonts w:cs="Arial"/>
            <w:i/>
            <w:color w:val="17365D" w:themeColor="text2" w:themeShade="BF"/>
            <w:sz w:val="18"/>
            <w:szCs w:val="18"/>
            <w:u w:val="single"/>
            <w:lang w:eastAsia="hr-HR"/>
          </w:rPr>
          <w:t>RGFI – javna objava</w:t>
        </w:r>
      </w:hyperlink>
      <w:r w:rsidRPr="00CD747C">
        <w:rPr>
          <w:rFonts w:cs="Arial"/>
          <w:i/>
          <w:color w:val="17365D" w:themeColor="text2" w:themeShade="BF"/>
          <w:sz w:val="18"/>
          <w:szCs w:val="18"/>
          <w:lang w:eastAsia="hr-HR"/>
        </w:rPr>
        <w:t xml:space="preserve"> i na </w:t>
      </w:r>
      <w:hyperlink r:id="rId50" w:history="1">
        <w:r w:rsidRPr="00CD747C">
          <w:rPr>
            <w:rFonts w:cs="Arial"/>
            <w:i/>
            <w:color w:val="17365D" w:themeColor="text2" w:themeShade="BF"/>
            <w:sz w:val="18"/>
            <w:szCs w:val="18"/>
            <w:u w:val="single"/>
            <w:lang w:eastAsia="hr-HR"/>
          </w:rPr>
          <w:t>Transparentno.hr</w:t>
        </w:r>
      </w:hyperlink>
      <w:r w:rsidRPr="00CD747C">
        <w:rPr>
          <w:rFonts w:cs="Arial"/>
          <w:i/>
          <w:color w:val="17365D" w:themeColor="text2" w:themeShade="BF"/>
          <w:sz w:val="18"/>
          <w:szCs w:val="18"/>
          <w:u w:val="single"/>
          <w:lang w:eastAsia="hr-HR"/>
        </w:rPr>
        <w:t>,</w:t>
      </w:r>
      <w:r w:rsidRPr="00CD747C">
        <w:rPr>
          <w:rFonts w:cs="Arial"/>
          <w:i/>
          <w:color w:val="17365D" w:themeColor="text2" w:themeShade="BF"/>
          <w:sz w:val="18"/>
          <w:szCs w:val="18"/>
          <w:lang w:eastAsia="hr-HR"/>
        </w:rPr>
        <w:t xml:space="preserve"> a agregirani i pojedinačni podaci dostupni su uz naknadu na servisu </w:t>
      </w:r>
      <w:hyperlink r:id="rId51" w:history="1">
        <w:proofErr w:type="spellStart"/>
        <w:r w:rsidRPr="00CD747C">
          <w:rPr>
            <w:rFonts w:cs="Arial"/>
            <w:i/>
            <w:color w:val="17365D" w:themeColor="text2" w:themeShade="BF"/>
            <w:sz w:val="18"/>
            <w:szCs w:val="18"/>
            <w:u w:val="single"/>
            <w:lang w:eastAsia="hr-HR"/>
          </w:rPr>
          <w:t>info.BIZ</w:t>
        </w:r>
        <w:proofErr w:type="spellEnd"/>
      </w:hyperlink>
    </w:p>
    <w:p w:rsidR="002640E8" w:rsidRPr="00CD747C" w:rsidRDefault="002640E8" w:rsidP="00B836FC">
      <w:pPr>
        <w:spacing w:before="120" w:after="240" w:line="240" w:lineRule="auto"/>
        <w:rPr>
          <w:rFonts w:cs="Arial"/>
          <w:bCs/>
          <w:i/>
          <w:color w:val="17365D" w:themeColor="text2" w:themeShade="BF"/>
          <w:sz w:val="18"/>
          <w:szCs w:val="18"/>
        </w:rPr>
      </w:pPr>
      <w:r w:rsidRPr="00CD747C">
        <w:rPr>
          <w:rFonts w:cs="Arial"/>
          <w:bCs/>
          <w:i/>
          <w:color w:val="17365D" w:themeColor="text2" w:themeShade="BF"/>
          <w:sz w:val="18"/>
          <w:szCs w:val="18"/>
        </w:rPr>
        <w:t xml:space="preserve">Informacija o tome je li poslovni subjekt u blokadi ili ne, dostupna je korištenjem usluge </w:t>
      </w:r>
      <w:hyperlink r:id="rId52" w:history="1">
        <w:r w:rsidRPr="00CD747C">
          <w:rPr>
            <w:rFonts w:cs="Arial"/>
            <w:bCs/>
            <w:i/>
            <w:color w:val="17365D" w:themeColor="text2" w:themeShade="BF"/>
            <w:sz w:val="18"/>
            <w:szCs w:val="18"/>
            <w:u w:val="single"/>
          </w:rPr>
          <w:t>FINA InfoBlokade</w:t>
        </w:r>
      </w:hyperlink>
      <w:r w:rsidRPr="00CD747C">
        <w:rPr>
          <w:rFonts w:cs="Arial"/>
          <w:bCs/>
          <w:i/>
          <w:color w:val="17365D" w:themeColor="text2" w:themeShade="BF"/>
          <w:sz w:val="18"/>
          <w:szCs w:val="18"/>
        </w:rPr>
        <w:t xml:space="preserve"> slanjem SMS poruku na broj 818058. te korištenjem </w:t>
      </w:r>
      <w:hyperlink r:id="rId53" w:history="1">
        <w:r w:rsidRPr="00CD747C">
          <w:rPr>
            <w:rFonts w:cs="Arial"/>
            <w:bCs/>
            <w:i/>
            <w:color w:val="17365D" w:themeColor="text2" w:themeShade="BF"/>
            <w:sz w:val="18"/>
            <w:szCs w:val="18"/>
            <w:u w:val="single"/>
          </w:rPr>
          <w:t>WEB aplikacije JRR</w:t>
        </w:r>
      </w:hyperlink>
      <w:r w:rsidRPr="00CD747C">
        <w:rPr>
          <w:rFonts w:cs="Arial"/>
          <w:bCs/>
          <w:i/>
          <w:color w:val="17365D" w:themeColor="text2" w:themeShade="BF"/>
          <w:sz w:val="18"/>
          <w:szCs w:val="18"/>
        </w:rPr>
        <w:t xml:space="preserve"> tj. uvidom u podatke o računima i statusu blokade poslovnih subjekata, koji se ažuriraju u </w:t>
      </w:r>
      <w:hyperlink r:id="rId54" w:history="1">
        <w:r w:rsidRPr="00CD747C">
          <w:rPr>
            <w:rFonts w:cs="Arial"/>
            <w:bCs/>
            <w:i/>
            <w:color w:val="17365D" w:themeColor="text2" w:themeShade="BF"/>
            <w:sz w:val="18"/>
            <w:szCs w:val="18"/>
            <w:u w:val="single"/>
          </w:rPr>
          <w:t>Jedinstvenom registru računa</w:t>
        </w:r>
      </w:hyperlink>
      <w:r w:rsidRPr="00CD747C">
        <w:rPr>
          <w:rFonts w:cs="Arial"/>
          <w:bCs/>
          <w:i/>
          <w:color w:val="17365D" w:themeColor="text2" w:themeShade="BF"/>
          <w:sz w:val="18"/>
          <w:szCs w:val="18"/>
        </w:rPr>
        <w:t xml:space="preserve"> kojega u skladu sa zakonskim propisima, od 2002. godine, vodi Financijska agencija.</w:t>
      </w:r>
    </w:p>
    <w:tbl>
      <w:tblPr>
        <w:tblW w:w="10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ook w:val="00A0" w:firstRow="1" w:lastRow="0" w:firstColumn="1" w:lastColumn="0" w:noHBand="0" w:noVBand="0"/>
      </w:tblPr>
      <w:tblGrid>
        <w:gridCol w:w="3855"/>
        <w:gridCol w:w="2438"/>
        <w:gridCol w:w="3855"/>
      </w:tblGrid>
      <w:tr w:rsidR="002640E8" w:rsidRPr="000F7077" w:rsidTr="00C40829">
        <w:tc>
          <w:tcPr>
            <w:tcW w:w="3855" w:type="dxa"/>
            <w:tcBorders>
              <w:top w:val="single" w:sz="4" w:space="0" w:color="D9D9D9"/>
              <w:bottom w:val="single" w:sz="4" w:space="0" w:color="D9D9D9"/>
              <w:right w:val="nil"/>
            </w:tcBorders>
            <w:vAlign w:val="center"/>
          </w:tcPr>
          <w:p w:rsidR="002640E8" w:rsidRPr="000F7077" w:rsidRDefault="009C63E5" w:rsidP="00C40829">
            <w:pPr>
              <w:spacing w:before="120"/>
              <w:jc w:val="center"/>
              <w:rPr>
                <w:rFonts w:cs="Arial"/>
                <w:bCs/>
                <w:i/>
                <w:color w:val="17365D" w:themeColor="text2" w:themeShade="BF"/>
                <w:sz w:val="19"/>
                <w:szCs w:val="19"/>
              </w:rPr>
            </w:pPr>
            <w:r w:rsidRPr="000F7077">
              <w:rPr>
                <w:rFonts w:cs="Arial"/>
                <w:noProof/>
                <w:color w:val="17365D" w:themeColor="text2" w:themeShade="BF"/>
                <w:sz w:val="17"/>
                <w:szCs w:val="17"/>
                <w:lang w:eastAsia="hr-HR"/>
              </w:rPr>
              <w:drawing>
                <wp:inline distT="0" distB="0" distL="0" distR="0" wp14:anchorId="31560835" wp14:editId="4C859D5D">
                  <wp:extent cx="2011680" cy="1572895"/>
                  <wp:effectExtent l="0" t="0" r="7620" b="8255"/>
                  <wp:docPr id="3" name="Picture 1" descr="Fina info šasija_210x270.jpg">
                    <a:hlinkClick xmlns:a="http://schemas.openxmlformats.org/drawingml/2006/main" r:id="rId55" tooltip="&quot;&quot; t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na info šasija_210x270.jpg">
                            <a:hlinkClick r:id="rId55" tooltip="&quot;&quot; t 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57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:rsidR="002640E8" w:rsidRPr="00E14D1F" w:rsidRDefault="00E14D1F" w:rsidP="00C40829">
            <w:pPr>
              <w:spacing w:before="120"/>
              <w:jc w:val="center"/>
              <w:rPr>
                <w:rFonts w:cs="Arial"/>
                <w:bCs/>
                <w:color w:val="17365D" w:themeColor="text2" w:themeShade="BF"/>
                <w:sz w:val="19"/>
                <w:szCs w:val="19"/>
              </w:rPr>
            </w:pPr>
            <w:r w:rsidRPr="00E14D1F">
              <w:rPr>
                <w:rFonts w:eastAsia="Times New Roman"/>
                <w:noProof/>
                <w:color w:val="003366"/>
                <w:sz w:val="22"/>
                <w:szCs w:val="20"/>
                <w:lang w:eastAsia="hr-HR"/>
              </w:rPr>
              <w:drawing>
                <wp:inline distT="0" distB="0" distL="0" distR="0" wp14:anchorId="71783323" wp14:editId="2B4EC4F2">
                  <wp:extent cx="1364154" cy="1584000"/>
                  <wp:effectExtent l="19050" t="19050" r="26670" b="1651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2" t="3692" r="1328"/>
                          <a:stretch/>
                        </pic:blipFill>
                        <pic:spPr bwMode="auto">
                          <a:xfrm>
                            <a:off x="0" y="0"/>
                            <a:ext cx="1364154" cy="1584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tcBorders>
              <w:top w:val="single" w:sz="4" w:space="0" w:color="D9D9D9"/>
              <w:left w:val="nil"/>
              <w:bottom w:val="single" w:sz="4" w:space="0" w:color="D9D9D9"/>
            </w:tcBorders>
            <w:vAlign w:val="center"/>
          </w:tcPr>
          <w:p w:rsidR="002640E8" w:rsidRPr="000F7077" w:rsidRDefault="009C63E5" w:rsidP="00C40829">
            <w:pPr>
              <w:spacing w:before="120"/>
              <w:jc w:val="center"/>
              <w:rPr>
                <w:rFonts w:cs="Arial"/>
                <w:bCs/>
                <w:i/>
                <w:color w:val="17365D" w:themeColor="text2" w:themeShade="BF"/>
                <w:sz w:val="19"/>
                <w:szCs w:val="19"/>
              </w:rPr>
            </w:pPr>
            <w:r w:rsidRPr="000F7077">
              <w:rPr>
                <w:rFonts w:cs="Arial"/>
                <w:b/>
                <w:noProof/>
                <w:color w:val="17365D" w:themeColor="text2" w:themeShade="BF"/>
                <w:sz w:val="17"/>
                <w:szCs w:val="17"/>
                <w:lang w:eastAsia="hr-HR"/>
              </w:rPr>
              <w:drawing>
                <wp:inline distT="0" distB="0" distL="0" distR="0" wp14:anchorId="3F6A62AD" wp14:editId="6F585525">
                  <wp:extent cx="2011680" cy="1572895"/>
                  <wp:effectExtent l="0" t="0" r="7620" b="8255"/>
                  <wp:docPr id="5" name="Picture 2" descr="smsBlokade_210x270.jpg">
                    <a:hlinkClick xmlns:a="http://schemas.openxmlformats.org/drawingml/2006/main" r:id="rId58" tooltip="&quot;FINA InfoBlokade&quot; t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sBlokade_210x270.jpg">
                            <a:hlinkClick r:id="rId58" tooltip="&quot;FINA InfoBlokade&quot; t 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57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40E8" w:rsidRPr="000F7077" w:rsidRDefault="002640E8" w:rsidP="000B69F1">
      <w:pPr>
        <w:spacing w:before="120" w:line="240" w:lineRule="auto"/>
        <w:rPr>
          <w:color w:val="17365D" w:themeColor="text2" w:themeShade="BF"/>
        </w:rPr>
      </w:pPr>
    </w:p>
    <w:sectPr w:rsidR="002640E8" w:rsidRPr="000F7077" w:rsidSect="000327EA">
      <w:headerReference w:type="default" r:id="rId60"/>
      <w:pgSz w:w="11906" w:h="16838"/>
      <w:pgMar w:top="1021" w:right="90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540" w:rsidRDefault="001C0540" w:rsidP="00BC2D19">
      <w:pPr>
        <w:spacing w:line="240" w:lineRule="auto"/>
      </w:pPr>
      <w:r>
        <w:separator/>
      </w:r>
    </w:p>
  </w:endnote>
  <w:endnote w:type="continuationSeparator" w:id="0">
    <w:p w:rsidR="001C0540" w:rsidRDefault="001C0540" w:rsidP="00BC2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540" w:rsidRDefault="001C0540" w:rsidP="00BC2D19">
      <w:pPr>
        <w:spacing w:line="240" w:lineRule="auto"/>
      </w:pPr>
      <w:r>
        <w:separator/>
      </w:r>
    </w:p>
  </w:footnote>
  <w:footnote w:type="continuationSeparator" w:id="0">
    <w:p w:rsidR="001C0540" w:rsidRDefault="001C0540" w:rsidP="00BC2D19">
      <w:pPr>
        <w:spacing w:line="240" w:lineRule="auto"/>
      </w:pPr>
      <w:r>
        <w:continuationSeparator/>
      </w:r>
    </w:p>
  </w:footnote>
  <w:footnote w:id="1">
    <w:p w:rsidR="002640E8" w:rsidRDefault="002640E8" w:rsidP="00220903">
      <w:pPr>
        <w:pStyle w:val="FootnoteText"/>
      </w:pPr>
      <w:r w:rsidRPr="004533D9">
        <w:rPr>
          <w:rStyle w:val="FootnoteReference"/>
          <w:color w:val="244061"/>
          <w:sz w:val="17"/>
          <w:szCs w:val="17"/>
        </w:rPr>
        <w:footnoteRef/>
      </w:r>
      <w:r w:rsidRPr="004533D9">
        <w:rPr>
          <w:color w:val="244061"/>
          <w:sz w:val="17"/>
          <w:szCs w:val="17"/>
        </w:rPr>
        <w:t xml:space="preserve"> </w:t>
      </w:r>
      <w:bookmarkStart w:id="0" w:name="OLE_LINK1"/>
      <w:r w:rsidRPr="004533D9">
        <w:rPr>
          <w:rFonts w:cs="Arial"/>
          <w:color w:val="244061"/>
          <w:sz w:val="17"/>
          <w:szCs w:val="17"/>
        </w:rPr>
        <w:t>Serija podataka u tablici za sve godine prikazana je iz godišnjeg financijskog izvještaja iz kolone tekuće godine.</w:t>
      </w:r>
      <w:bookmarkEnd w:id="0"/>
    </w:p>
  </w:footnote>
  <w:footnote w:id="2">
    <w:p w:rsidR="002640E8" w:rsidRDefault="002640E8" w:rsidP="00E7121C">
      <w:pPr>
        <w:pStyle w:val="FootnoteText"/>
        <w:spacing w:before="20"/>
      </w:pPr>
      <w:r w:rsidRPr="004533D9">
        <w:rPr>
          <w:rStyle w:val="FootnoteReference"/>
          <w:color w:val="244061"/>
          <w:sz w:val="17"/>
          <w:szCs w:val="17"/>
        </w:rPr>
        <w:footnoteRef/>
      </w:r>
      <w:r w:rsidRPr="004533D9">
        <w:rPr>
          <w:color w:val="244061"/>
          <w:sz w:val="17"/>
          <w:szCs w:val="17"/>
        </w:rPr>
        <w:t xml:space="preserve"> </w:t>
      </w:r>
      <w:r w:rsidRPr="004533D9">
        <w:rPr>
          <w:rFonts w:cs="Arial"/>
          <w:color w:val="244061"/>
          <w:sz w:val="17"/>
          <w:szCs w:val="17"/>
        </w:rPr>
        <w:t>Područje djelatnosti G -  trgovina na veliko i malo, odjeljak 47 – Trgovina na malo, osim trgovine motornim vozilima i motociklima.</w:t>
      </w:r>
    </w:p>
  </w:footnote>
  <w:footnote w:id="3">
    <w:p w:rsidR="002640E8" w:rsidRDefault="002640E8" w:rsidP="00E7121C">
      <w:pPr>
        <w:pStyle w:val="FootnoteText"/>
        <w:spacing w:before="20"/>
        <w:jc w:val="left"/>
      </w:pPr>
      <w:r w:rsidRPr="004533D9">
        <w:rPr>
          <w:rStyle w:val="FootnoteReference"/>
          <w:color w:val="244061"/>
          <w:sz w:val="17"/>
          <w:szCs w:val="17"/>
        </w:rPr>
        <w:footnoteRef/>
      </w:r>
      <w:r w:rsidRPr="004533D9">
        <w:rPr>
          <w:color w:val="244061"/>
          <w:sz w:val="17"/>
          <w:szCs w:val="17"/>
        </w:rPr>
        <w:t xml:space="preserve"> Trgovački sud u Zagrebu rješenjem broj 7 St-1909/2013 od 2.04.2014. godine otvorio je stečajni postupak nad dužnikom one2play d.o.o., Zagreb. Izvor: Sudski registar</w:t>
      </w:r>
      <w:r w:rsidR="00537806">
        <w:rPr>
          <w:color w:val="244061"/>
          <w:sz w:val="17"/>
          <w:szCs w:val="17"/>
        </w:rPr>
        <w:t xml:space="preserve">, preuzeto 16. veljače 2017. godine, </w:t>
      </w:r>
      <w:hyperlink r:id="rId1" w:anchor="a_tekst_objave" w:history="1">
        <w:r w:rsidR="00537806" w:rsidRPr="00154FAE">
          <w:rPr>
            <w:rStyle w:val="Hyperlink"/>
            <w:sz w:val="17"/>
            <w:szCs w:val="17"/>
          </w:rPr>
          <w:t>https://sudreg.pravosudje.</w:t>
        </w:r>
        <w:r w:rsidR="00537806" w:rsidRPr="00154FAE">
          <w:rPr>
            <w:rStyle w:val="Hyperlink"/>
            <w:sz w:val="17"/>
            <w:szCs w:val="17"/>
          </w:rPr>
          <w:t>hr/registar/f?p=150:28:0::NO:28:P28_SBT_MBS:080334902#a_tekst_objave</w:t>
        </w:r>
      </w:hyperlink>
      <w:r w:rsidR="00537806">
        <w:rPr>
          <w:color w:val="244061"/>
          <w:sz w:val="17"/>
          <w:szCs w:val="17"/>
        </w:rPr>
        <w:t xml:space="preserve"> </w:t>
      </w:r>
    </w:p>
  </w:footnote>
  <w:footnote w:id="4">
    <w:p w:rsidR="00983E09" w:rsidRDefault="00983E09" w:rsidP="00983E09">
      <w:pPr>
        <w:pStyle w:val="FootnoteText"/>
      </w:pPr>
      <w:r w:rsidRPr="00D30E5F">
        <w:rPr>
          <w:rStyle w:val="FootnoteReference"/>
          <w:color w:val="244061"/>
          <w:sz w:val="17"/>
          <w:szCs w:val="17"/>
        </w:rPr>
        <w:footnoteRef/>
      </w:r>
      <w:r w:rsidRPr="00D30E5F">
        <w:rPr>
          <w:color w:val="244061"/>
          <w:sz w:val="17"/>
          <w:szCs w:val="17"/>
        </w:rPr>
        <w:t xml:space="preserve"> Društvo je promijenilo pretežitu djelatnost iz 47.65 u 46.49</w:t>
      </w:r>
      <w:r w:rsidRPr="00D30E5F">
        <w:t xml:space="preserve"> </w:t>
      </w:r>
      <w:r>
        <w:t xml:space="preserve">- </w:t>
      </w:r>
      <w:r w:rsidRPr="00D30E5F">
        <w:rPr>
          <w:color w:val="244061"/>
          <w:sz w:val="17"/>
          <w:szCs w:val="17"/>
        </w:rPr>
        <w:t>Trgovina na veliko ostalim proizvodima za kućanstvo</w:t>
      </w:r>
      <w:r>
        <w:rPr>
          <w:color w:val="244061"/>
          <w:sz w:val="17"/>
          <w:szCs w:val="17"/>
        </w:rPr>
        <w:t>.</w:t>
      </w:r>
    </w:p>
  </w:footnote>
  <w:footnote w:id="5">
    <w:p w:rsidR="00983E09" w:rsidRDefault="00983E09" w:rsidP="00983E09">
      <w:pPr>
        <w:pStyle w:val="FootnoteText"/>
        <w:spacing w:before="20"/>
        <w:jc w:val="left"/>
      </w:pPr>
      <w:r w:rsidRPr="004533D9">
        <w:rPr>
          <w:rStyle w:val="FootnoteReference"/>
          <w:color w:val="244061"/>
          <w:sz w:val="17"/>
          <w:szCs w:val="17"/>
        </w:rPr>
        <w:footnoteRef/>
      </w:r>
      <w:r>
        <w:rPr>
          <w:color w:val="244061"/>
          <w:sz w:val="17"/>
          <w:szCs w:val="17"/>
        </w:rPr>
        <w:t xml:space="preserve"> </w:t>
      </w:r>
      <w:r w:rsidRPr="004533D9">
        <w:rPr>
          <w:color w:val="244061"/>
          <w:sz w:val="17"/>
          <w:szCs w:val="17"/>
        </w:rPr>
        <w:t>Prijedlog dužnika za otvaranje postupka predstečajne nagodbe je odbačen zbog nepotpune dokumentacije. Budući da su postojali razlozi za otvaranje stečajnog postupka, odnosno dužnik je ima</w:t>
      </w:r>
      <w:r>
        <w:rPr>
          <w:color w:val="244061"/>
          <w:sz w:val="17"/>
          <w:szCs w:val="17"/>
        </w:rPr>
        <w:t>o</w:t>
      </w:r>
      <w:r w:rsidRPr="004533D9">
        <w:rPr>
          <w:color w:val="244061"/>
          <w:sz w:val="17"/>
          <w:szCs w:val="17"/>
        </w:rPr>
        <w:t xml:space="preserve"> evidentirane neizvršene osnove za plaćanje u</w:t>
      </w:r>
      <w:r w:rsidRPr="004533D9">
        <w:rPr>
          <w:color w:val="244061"/>
        </w:rPr>
        <w:t xml:space="preserve"> </w:t>
      </w:r>
      <w:r w:rsidRPr="004533D9">
        <w:rPr>
          <w:color w:val="244061"/>
          <w:sz w:val="17"/>
          <w:szCs w:val="17"/>
        </w:rPr>
        <w:t>razdoblju dužem od 60 dana, Nagodbeno vijeće je sukladno čl</w:t>
      </w:r>
      <w:r w:rsidR="00B1201B">
        <w:rPr>
          <w:color w:val="244061"/>
          <w:sz w:val="17"/>
          <w:szCs w:val="17"/>
        </w:rPr>
        <w:t>.</w:t>
      </w:r>
      <w:r w:rsidRPr="004533D9">
        <w:rPr>
          <w:color w:val="244061"/>
          <w:sz w:val="17"/>
          <w:szCs w:val="17"/>
        </w:rPr>
        <w:t xml:space="preserve"> 49. st. 2. podnijelo Prijedlog za pokretanje stečajnog postupka.</w:t>
      </w:r>
      <w:r>
        <w:rPr>
          <w:color w:val="244061"/>
          <w:sz w:val="17"/>
          <w:szCs w:val="17"/>
        </w:rPr>
        <w:t xml:space="preserve"> Izvor: Financijska agencija, </w:t>
      </w:r>
      <w:hyperlink r:id="rId2" w:history="1">
        <w:r w:rsidRPr="00E243DF">
          <w:rPr>
            <w:rStyle w:val="Hyperlink"/>
            <w:sz w:val="17"/>
            <w:szCs w:val="17"/>
          </w:rPr>
          <w:t>http://predstecajnenagodbe.fina.hr/pn-public-web/predmet/search</w:t>
        </w:r>
      </w:hyperlink>
      <w:r>
        <w:rPr>
          <w:color w:val="244061"/>
          <w:sz w:val="17"/>
          <w:szCs w:val="17"/>
        </w:rPr>
        <w:t xml:space="preserve"> </w:t>
      </w:r>
    </w:p>
  </w:footnote>
  <w:footnote w:id="6">
    <w:p w:rsidR="005B25B6" w:rsidRDefault="005B25B6" w:rsidP="00B1201B">
      <w:pPr>
        <w:pStyle w:val="FootnoteText"/>
        <w:jc w:val="left"/>
      </w:pPr>
      <w:r w:rsidRPr="00B150A4">
        <w:rPr>
          <w:rStyle w:val="FootnoteReference"/>
          <w:rFonts w:cs="Arial"/>
          <w:color w:val="244061"/>
          <w:sz w:val="17"/>
          <w:szCs w:val="17"/>
        </w:rPr>
        <w:footnoteRef/>
      </w:r>
      <w:r w:rsidRPr="00B150A4">
        <w:rPr>
          <w:rFonts w:cs="Arial"/>
          <w:color w:val="244061"/>
          <w:sz w:val="17"/>
          <w:szCs w:val="17"/>
        </w:rPr>
        <w:t xml:space="preserve"> Kakvi su osnovni financijski rezultati poslovanja poduzetnika te kolike su prosječne mjesečne neto plaće možete saznati na </w:t>
      </w:r>
      <w:hyperlink r:id="rId3" w:history="1">
        <w:r w:rsidRPr="00B150A4">
          <w:rPr>
            <w:rStyle w:val="Hyperlink"/>
            <w:rFonts w:cs="Arial"/>
            <w:sz w:val="17"/>
            <w:szCs w:val="17"/>
          </w:rPr>
          <w:t>Transparentno.hr</w:t>
        </w:r>
      </w:hyperlink>
      <w:r w:rsidRPr="00B150A4">
        <w:rPr>
          <w:rFonts w:cs="Arial"/>
          <w:color w:val="244061"/>
          <w:sz w:val="17"/>
          <w:szCs w:val="17"/>
        </w:rPr>
        <w:t>, jednostavno i bez novca, koristeći VINGD bodove.</w:t>
      </w:r>
    </w:p>
  </w:footnote>
  <w:footnote w:id="7">
    <w:p w:rsidR="002640E8" w:rsidRDefault="002640E8" w:rsidP="00B1201B">
      <w:pPr>
        <w:pStyle w:val="FootnoteText"/>
        <w:spacing w:before="40"/>
        <w:jc w:val="left"/>
      </w:pPr>
      <w:r w:rsidRPr="00B150A4">
        <w:rPr>
          <w:rStyle w:val="FootnoteReference"/>
          <w:rFonts w:cs="Arial"/>
          <w:color w:val="244061"/>
          <w:sz w:val="17"/>
          <w:szCs w:val="17"/>
        </w:rPr>
        <w:footnoteRef/>
      </w:r>
      <w:r w:rsidRPr="00B150A4">
        <w:rPr>
          <w:rFonts w:cs="Arial"/>
          <w:color w:val="244061"/>
          <w:sz w:val="17"/>
          <w:szCs w:val="17"/>
        </w:rPr>
        <w:t xml:space="preserve"> Kakvi su osnovni financijski rezultati poslovanja poduzetnika te kolike su prosječne mjesečne neto plaće možete saznati na </w:t>
      </w:r>
      <w:hyperlink r:id="rId4" w:history="1">
        <w:r w:rsidRPr="00B150A4">
          <w:rPr>
            <w:rStyle w:val="Hyperlink"/>
            <w:rFonts w:cs="Arial"/>
            <w:sz w:val="17"/>
            <w:szCs w:val="17"/>
          </w:rPr>
          <w:t>Transparentno.hr</w:t>
        </w:r>
      </w:hyperlink>
      <w:r w:rsidRPr="00B150A4">
        <w:rPr>
          <w:rFonts w:cs="Arial"/>
          <w:color w:val="244061"/>
          <w:sz w:val="17"/>
          <w:szCs w:val="17"/>
        </w:rPr>
        <w:t>, jednostavno i bez novca, koristeći VINGD bodove.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149" w:rsidRDefault="009C63E5" w:rsidP="00CE3149">
    <w:pPr>
      <w:pStyle w:val="Header"/>
      <w:spacing w:after="60"/>
    </w:pPr>
    <w:r>
      <w:rPr>
        <w:noProof/>
        <w:lang w:eastAsia="hr-HR"/>
      </w:rPr>
      <w:drawing>
        <wp:inline distT="0" distB="0" distL="0" distR="0">
          <wp:extent cx="1097280" cy="226695"/>
          <wp:effectExtent l="0" t="0" r="7620" b="1905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92C80"/>
    <w:multiLevelType w:val="hybridMultilevel"/>
    <w:tmpl w:val="CCB85872"/>
    <w:lvl w:ilvl="0" w:tplc="A26A51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24406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19"/>
    <w:rsid w:val="00003B7F"/>
    <w:rsid w:val="00016B12"/>
    <w:rsid w:val="00020A17"/>
    <w:rsid w:val="00026C1C"/>
    <w:rsid w:val="000327EA"/>
    <w:rsid w:val="000B0DC5"/>
    <w:rsid w:val="000B3C5A"/>
    <w:rsid w:val="000B69F1"/>
    <w:rsid w:val="000C316B"/>
    <w:rsid w:val="000E0AE7"/>
    <w:rsid w:val="000F7077"/>
    <w:rsid w:val="00116CD9"/>
    <w:rsid w:val="00122ECA"/>
    <w:rsid w:val="00131602"/>
    <w:rsid w:val="0016246C"/>
    <w:rsid w:val="001904C0"/>
    <w:rsid w:val="001A666B"/>
    <w:rsid w:val="001B370D"/>
    <w:rsid w:val="001B5924"/>
    <w:rsid w:val="001C0540"/>
    <w:rsid w:val="001C4021"/>
    <w:rsid w:val="001C7662"/>
    <w:rsid w:val="001E275F"/>
    <w:rsid w:val="001F0743"/>
    <w:rsid w:val="00220903"/>
    <w:rsid w:val="002640E8"/>
    <w:rsid w:val="002806BB"/>
    <w:rsid w:val="002A7609"/>
    <w:rsid w:val="002B4088"/>
    <w:rsid w:val="002D48D5"/>
    <w:rsid w:val="002F3A37"/>
    <w:rsid w:val="0034613E"/>
    <w:rsid w:val="003578B6"/>
    <w:rsid w:val="003719CF"/>
    <w:rsid w:val="00387148"/>
    <w:rsid w:val="00392ABD"/>
    <w:rsid w:val="003C4A66"/>
    <w:rsid w:val="003D00FD"/>
    <w:rsid w:val="003D0D64"/>
    <w:rsid w:val="003D0FDF"/>
    <w:rsid w:val="003F36E4"/>
    <w:rsid w:val="004000EA"/>
    <w:rsid w:val="004249AB"/>
    <w:rsid w:val="004533D9"/>
    <w:rsid w:val="00456853"/>
    <w:rsid w:val="00462250"/>
    <w:rsid w:val="004777B5"/>
    <w:rsid w:val="00483ED4"/>
    <w:rsid w:val="004857BE"/>
    <w:rsid w:val="004A526E"/>
    <w:rsid w:val="004C7373"/>
    <w:rsid w:val="004C794B"/>
    <w:rsid w:val="004F5BA7"/>
    <w:rsid w:val="004F6063"/>
    <w:rsid w:val="00513256"/>
    <w:rsid w:val="00514945"/>
    <w:rsid w:val="0053232D"/>
    <w:rsid w:val="00537806"/>
    <w:rsid w:val="0054591A"/>
    <w:rsid w:val="005502C7"/>
    <w:rsid w:val="005608BF"/>
    <w:rsid w:val="005A2F7A"/>
    <w:rsid w:val="005B25B6"/>
    <w:rsid w:val="005B2D56"/>
    <w:rsid w:val="005B3FD6"/>
    <w:rsid w:val="005C41BC"/>
    <w:rsid w:val="005C5161"/>
    <w:rsid w:val="005D024C"/>
    <w:rsid w:val="005D648A"/>
    <w:rsid w:val="005E0927"/>
    <w:rsid w:val="00603283"/>
    <w:rsid w:val="00610FBF"/>
    <w:rsid w:val="00612009"/>
    <w:rsid w:val="006133C3"/>
    <w:rsid w:val="00642734"/>
    <w:rsid w:val="006428CF"/>
    <w:rsid w:val="0066067F"/>
    <w:rsid w:val="00675A67"/>
    <w:rsid w:val="00685925"/>
    <w:rsid w:val="00693A4F"/>
    <w:rsid w:val="006A3153"/>
    <w:rsid w:val="006A4860"/>
    <w:rsid w:val="006A50E9"/>
    <w:rsid w:val="006B2BEB"/>
    <w:rsid w:val="006B5814"/>
    <w:rsid w:val="006E5DAA"/>
    <w:rsid w:val="006E7911"/>
    <w:rsid w:val="007056AF"/>
    <w:rsid w:val="00715956"/>
    <w:rsid w:val="00737CC4"/>
    <w:rsid w:val="00767DBE"/>
    <w:rsid w:val="007831B8"/>
    <w:rsid w:val="007972B2"/>
    <w:rsid w:val="007975E4"/>
    <w:rsid w:val="007B2502"/>
    <w:rsid w:val="007B352D"/>
    <w:rsid w:val="007D5030"/>
    <w:rsid w:val="007F2A7D"/>
    <w:rsid w:val="00802F90"/>
    <w:rsid w:val="0080664A"/>
    <w:rsid w:val="0083645E"/>
    <w:rsid w:val="00844FC1"/>
    <w:rsid w:val="008670F0"/>
    <w:rsid w:val="0087281F"/>
    <w:rsid w:val="00875E46"/>
    <w:rsid w:val="00882624"/>
    <w:rsid w:val="008A388B"/>
    <w:rsid w:val="008C2F53"/>
    <w:rsid w:val="008D43A2"/>
    <w:rsid w:val="008F57EA"/>
    <w:rsid w:val="00910E23"/>
    <w:rsid w:val="00913456"/>
    <w:rsid w:val="0092611E"/>
    <w:rsid w:val="00942469"/>
    <w:rsid w:val="009663A4"/>
    <w:rsid w:val="00970E52"/>
    <w:rsid w:val="009762F5"/>
    <w:rsid w:val="009814E6"/>
    <w:rsid w:val="00982F1D"/>
    <w:rsid w:val="00983E09"/>
    <w:rsid w:val="00984B81"/>
    <w:rsid w:val="0099695D"/>
    <w:rsid w:val="009A3DC0"/>
    <w:rsid w:val="009B2ED8"/>
    <w:rsid w:val="009C63E5"/>
    <w:rsid w:val="009F076A"/>
    <w:rsid w:val="009F4F23"/>
    <w:rsid w:val="00A0399C"/>
    <w:rsid w:val="00A1069E"/>
    <w:rsid w:val="00A11207"/>
    <w:rsid w:val="00A12B5A"/>
    <w:rsid w:val="00A20B47"/>
    <w:rsid w:val="00A35E11"/>
    <w:rsid w:val="00A61634"/>
    <w:rsid w:val="00A66993"/>
    <w:rsid w:val="00A74C62"/>
    <w:rsid w:val="00A8335B"/>
    <w:rsid w:val="00A86ED1"/>
    <w:rsid w:val="00A877AF"/>
    <w:rsid w:val="00A90E3F"/>
    <w:rsid w:val="00AB0DD8"/>
    <w:rsid w:val="00AC426E"/>
    <w:rsid w:val="00AC70AF"/>
    <w:rsid w:val="00B1201B"/>
    <w:rsid w:val="00B150A4"/>
    <w:rsid w:val="00B1691D"/>
    <w:rsid w:val="00B2189B"/>
    <w:rsid w:val="00B51794"/>
    <w:rsid w:val="00B61418"/>
    <w:rsid w:val="00B836FC"/>
    <w:rsid w:val="00B96338"/>
    <w:rsid w:val="00BA26B9"/>
    <w:rsid w:val="00BC2D19"/>
    <w:rsid w:val="00BC3CD8"/>
    <w:rsid w:val="00BC7669"/>
    <w:rsid w:val="00C040DF"/>
    <w:rsid w:val="00C111B9"/>
    <w:rsid w:val="00C20099"/>
    <w:rsid w:val="00C20DE4"/>
    <w:rsid w:val="00C40829"/>
    <w:rsid w:val="00C443DF"/>
    <w:rsid w:val="00C603B6"/>
    <w:rsid w:val="00C85582"/>
    <w:rsid w:val="00C95B4C"/>
    <w:rsid w:val="00CC18A1"/>
    <w:rsid w:val="00CC521D"/>
    <w:rsid w:val="00CC5922"/>
    <w:rsid w:val="00CD1B65"/>
    <w:rsid w:val="00CD7396"/>
    <w:rsid w:val="00CD747C"/>
    <w:rsid w:val="00CE1BFB"/>
    <w:rsid w:val="00CE3149"/>
    <w:rsid w:val="00CE5B52"/>
    <w:rsid w:val="00CF120F"/>
    <w:rsid w:val="00D030ED"/>
    <w:rsid w:val="00D1372B"/>
    <w:rsid w:val="00D16680"/>
    <w:rsid w:val="00D26BEC"/>
    <w:rsid w:val="00D30E5F"/>
    <w:rsid w:val="00D37470"/>
    <w:rsid w:val="00D43F57"/>
    <w:rsid w:val="00D525B3"/>
    <w:rsid w:val="00D83AFA"/>
    <w:rsid w:val="00D877B3"/>
    <w:rsid w:val="00D95501"/>
    <w:rsid w:val="00DA7704"/>
    <w:rsid w:val="00DB02B2"/>
    <w:rsid w:val="00DB202C"/>
    <w:rsid w:val="00DB5BB9"/>
    <w:rsid w:val="00E0132F"/>
    <w:rsid w:val="00E14D1F"/>
    <w:rsid w:val="00E243DF"/>
    <w:rsid w:val="00E43816"/>
    <w:rsid w:val="00E5018E"/>
    <w:rsid w:val="00E7121C"/>
    <w:rsid w:val="00EB745D"/>
    <w:rsid w:val="00ED09E9"/>
    <w:rsid w:val="00F07B10"/>
    <w:rsid w:val="00F114D7"/>
    <w:rsid w:val="00F1455A"/>
    <w:rsid w:val="00F24CF4"/>
    <w:rsid w:val="00F308C9"/>
    <w:rsid w:val="00F6070B"/>
    <w:rsid w:val="00F86DC4"/>
    <w:rsid w:val="00FA0401"/>
    <w:rsid w:val="00FA092A"/>
    <w:rsid w:val="00FB4EF5"/>
    <w:rsid w:val="00FC6E3B"/>
    <w:rsid w:val="00FE0A23"/>
    <w:rsid w:val="00FF3784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BC2D19"/>
    <w:pPr>
      <w:spacing w:line="240" w:lineRule="auto"/>
    </w:pPr>
    <w:rPr>
      <w:szCs w:val="20"/>
    </w:rPr>
  </w:style>
  <w:style w:type="character" w:customStyle="1" w:styleId="FootnoteTextChar">
    <w:name w:val="Footnote Text Char"/>
    <w:link w:val="FootnoteText"/>
    <w:uiPriority w:val="99"/>
    <w:locked/>
    <w:rsid w:val="00BC2D19"/>
    <w:rPr>
      <w:rFonts w:ascii="Arial" w:hAnsi="Arial" w:cs="Times New Roman"/>
      <w:color w:val="1F497D"/>
      <w:sz w:val="20"/>
      <w:szCs w:val="20"/>
    </w:rPr>
  </w:style>
  <w:style w:type="character" w:styleId="FootnoteReference">
    <w:name w:val="footnote reference"/>
    <w:uiPriority w:val="99"/>
    <w:semiHidden/>
    <w:rsid w:val="00BC2D19"/>
    <w:rPr>
      <w:rFonts w:cs="Times New Roman"/>
      <w:vertAlign w:val="superscript"/>
    </w:rPr>
  </w:style>
  <w:style w:type="character" w:styleId="Hyperlink">
    <w:name w:val="Hyperlink"/>
    <w:uiPriority w:val="99"/>
    <w:rsid w:val="00BC2D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C2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2D19"/>
    <w:rPr>
      <w:rFonts w:ascii="Tahoma" w:hAnsi="Tahoma" w:cs="Tahoma"/>
      <w:color w:val="1F497D"/>
      <w:sz w:val="16"/>
      <w:szCs w:val="16"/>
    </w:rPr>
  </w:style>
  <w:style w:type="paragraph" w:styleId="Header">
    <w:name w:val="header"/>
    <w:basedOn w:val="Normal"/>
    <w:link w:val="Header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locked/>
    <w:rsid w:val="00C111B9"/>
    <w:rPr>
      <w:rFonts w:ascii="Arial" w:hAnsi="Arial" w:cs="Times New Roman"/>
      <w:color w:val="1F497D"/>
      <w:sz w:val="20"/>
    </w:rPr>
  </w:style>
  <w:style w:type="paragraph" w:styleId="Footer">
    <w:name w:val="footer"/>
    <w:basedOn w:val="Normal"/>
    <w:link w:val="Footer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C111B9"/>
    <w:rPr>
      <w:rFonts w:ascii="Arial" w:hAnsi="Arial" w:cs="Times New Roman"/>
      <w:color w:val="1F497D"/>
      <w:sz w:val="20"/>
    </w:rPr>
  </w:style>
  <w:style w:type="table" w:styleId="TableGrid">
    <w:name w:val="Table Grid"/>
    <w:basedOn w:val="TableNormal"/>
    <w:uiPriority w:val="99"/>
    <w:rsid w:val="00F86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AC426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C426E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C426E"/>
    <w:rPr>
      <w:rFonts w:ascii="Arial" w:hAnsi="Arial" w:cs="Times New Roman"/>
      <w:color w:val="1F497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C42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C426E"/>
    <w:rPr>
      <w:rFonts w:ascii="Arial" w:hAnsi="Arial" w:cs="Times New Roman"/>
      <w:b/>
      <w:bCs/>
      <w:color w:val="1F497D"/>
      <w:sz w:val="20"/>
      <w:szCs w:val="20"/>
    </w:rPr>
  </w:style>
  <w:style w:type="table" w:styleId="ColorfulGrid-Accent1">
    <w:name w:val="Colorful Grid Accent 1"/>
    <w:basedOn w:val="TableNormal"/>
    <w:uiPriority w:val="73"/>
    <w:rsid w:val="00FA0401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Shading-Accent1">
    <w:name w:val="Light Shading Accent 1"/>
    <w:basedOn w:val="TableNormal"/>
    <w:uiPriority w:val="60"/>
    <w:rsid w:val="008670F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mt-zeropad8">
    <w:name w:val="fmt-zeropad8"/>
    <w:basedOn w:val="DefaultParagraphFont"/>
    <w:rsid w:val="006A3153"/>
  </w:style>
  <w:style w:type="character" w:customStyle="1" w:styleId="fmt-integer">
    <w:name w:val="fmt-integer"/>
    <w:basedOn w:val="DefaultParagraphFont"/>
    <w:rsid w:val="00B2189B"/>
  </w:style>
  <w:style w:type="character" w:styleId="FollowedHyperlink">
    <w:name w:val="FollowedHyperlink"/>
    <w:basedOn w:val="DefaultParagraphFont"/>
    <w:uiPriority w:val="99"/>
    <w:semiHidden/>
    <w:unhideWhenUsed/>
    <w:rsid w:val="00E0132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4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BC2D19"/>
    <w:pPr>
      <w:spacing w:line="240" w:lineRule="auto"/>
    </w:pPr>
    <w:rPr>
      <w:szCs w:val="20"/>
    </w:rPr>
  </w:style>
  <w:style w:type="character" w:customStyle="1" w:styleId="FootnoteTextChar">
    <w:name w:val="Footnote Text Char"/>
    <w:link w:val="FootnoteText"/>
    <w:uiPriority w:val="99"/>
    <w:locked/>
    <w:rsid w:val="00BC2D19"/>
    <w:rPr>
      <w:rFonts w:ascii="Arial" w:hAnsi="Arial" w:cs="Times New Roman"/>
      <w:color w:val="1F497D"/>
      <w:sz w:val="20"/>
      <w:szCs w:val="20"/>
    </w:rPr>
  </w:style>
  <w:style w:type="character" w:styleId="FootnoteReference">
    <w:name w:val="footnote reference"/>
    <w:uiPriority w:val="99"/>
    <w:semiHidden/>
    <w:rsid w:val="00BC2D19"/>
    <w:rPr>
      <w:rFonts w:cs="Times New Roman"/>
      <w:vertAlign w:val="superscript"/>
    </w:rPr>
  </w:style>
  <w:style w:type="character" w:styleId="Hyperlink">
    <w:name w:val="Hyperlink"/>
    <w:uiPriority w:val="99"/>
    <w:rsid w:val="00BC2D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C2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2D19"/>
    <w:rPr>
      <w:rFonts w:ascii="Tahoma" w:hAnsi="Tahoma" w:cs="Tahoma"/>
      <w:color w:val="1F497D"/>
      <w:sz w:val="16"/>
      <w:szCs w:val="16"/>
    </w:rPr>
  </w:style>
  <w:style w:type="paragraph" w:styleId="Header">
    <w:name w:val="header"/>
    <w:basedOn w:val="Normal"/>
    <w:link w:val="Header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locked/>
    <w:rsid w:val="00C111B9"/>
    <w:rPr>
      <w:rFonts w:ascii="Arial" w:hAnsi="Arial" w:cs="Times New Roman"/>
      <w:color w:val="1F497D"/>
      <w:sz w:val="20"/>
    </w:rPr>
  </w:style>
  <w:style w:type="paragraph" w:styleId="Footer">
    <w:name w:val="footer"/>
    <w:basedOn w:val="Normal"/>
    <w:link w:val="Footer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C111B9"/>
    <w:rPr>
      <w:rFonts w:ascii="Arial" w:hAnsi="Arial" w:cs="Times New Roman"/>
      <w:color w:val="1F497D"/>
      <w:sz w:val="20"/>
    </w:rPr>
  </w:style>
  <w:style w:type="table" w:styleId="TableGrid">
    <w:name w:val="Table Grid"/>
    <w:basedOn w:val="TableNormal"/>
    <w:uiPriority w:val="99"/>
    <w:rsid w:val="00F86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AC426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C426E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C426E"/>
    <w:rPr>
      <w:rFonts w:ascii="Arial" w:hAnsi="Arial" w:cs="Times New Roman"/>
      <w:color w:val="1F497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C42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C426E"/>
    <w:rPr>
      <w:rFonts w:ascii="Arial" w:hAnsi="Arial" w:cs="Times New Roman"/>
      <w:b/>
      <w:bCs/>
      <w:color w:val="1F497D"/>
      <w:sz w:val="20"/>
      <w:szCs w:val="20"/>
    </w:rPr>
  </w:style>
  <w:style w:type="table" w:styleId="ColorfulGrid-Accent1">
    <w:name w:val="Colorful Grid Accent 1"/>
    <w:basedOn w:val="TableNormal"/>
    <w:uiPriority w:val="73"/>
    <w:rsid w:val="00FA0401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Shading-Accent1">
    <w:name w:val="Light Shading Accent 1"/>
    <w:basedOn w:val="TableNormal"/>
    <w:uiPriority w:val="60"/>
    <w:rsid w:val="008670F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mt-zeropad8">
    <w:name w:val="fmt-zeropad8"/>
    <w:basedOn w:val="DefaultParagraphFont"/>
    <w:rsid w:val="006A3153"/>
  </w:style>
  <w:style w:type="character" w:customStyle="1" w:styleId="fmt-integer">
    <w:name w:val="fmt-integer"/>
    <w:basedOn w:val="DefaultParagraphFont"/>
    <w:rsid w:val="00B2189B"/>
  </w:style>
  <w:style w:type="character" w:styleId="FollowedHyperlink">
    <w:name w:val="FollowedHyperlink"/>
    <w:basedOn w:val="DefaultParagraphFont"/>
    <w:uiPriority w:val="99"/>
    <w:semiHidden/>
    <w:unhideWhenUsed/>
    <w:rsid w:val="00E0132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4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20838">
                  <w:marLeft w:val="5"/>
                  <w:marRight w:val="5"/>
                  <w:marTop w:val="5"/>
                  <w:marBottom w:val="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82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68437417326/58d0a3c30468e917e206bc4c078aed56e61b3da130a258fb938e7084cb0d76e825f8991357595d892b2cc9a15baecb63ddda5073f8a77a02a8fbc14156c3bfe1" TargetMode="External"/><Relationship Id="rId18" Type="http://schemas.openxmlformats.org/officeDocument/2006/relationships/hyperlink" Target="https://www.transparentno.hr/" TargetMode="External"/><Relationship Id="rId26" Type="http://schemas.openxmlformats.org/officeDocument/2006/relationships/hyperlink" Target="https://www.transparentno.hr/" TargetMode="External"/><Relationship Id="rId39" Type="http://schemas.openxmlformats.org/officeDocument/2006/relationships/hyperlink" Target="https://www.transparentno.hr/pregled/73323157067/2af6dc907ff67919e295cfb9979af29eefa8d7145a470130a10b5f1623abcd19f906afb384942c0cb305d643b4f8a75ee62dfae82a2af9b6385a031edc2026e9" TargetMode="External"/><Relationship Id="rId21" Type="http://schemas.openxmlformats.org/officeDocument/2006/relationships/hyperlink" Target="https://www.transparentno.hr/pregled/73323157067/2af6dc907ff67919e295cfb9979af29eefa8d7145a470130a10b5f1623abcd19f906afb384942c0cb305d643b4f8a75ee62dfae82a2af9b6385a031edc2026e9" TargetMode="External"/><Relationship Id="rId34" Type="http://schemas.openxmlformats.org/officeDocument/2006/relationships/hyperlink" Target="https://www.transparentno.hr/pregled/44225131109/1ae29e4e70cc12a02a163ec80a0efbd74da10461c99cc068e20b7175d087f061881563a2ed6178acf6076f243b93bdb930f97fb79c36b38efc315429c5e32bdd" TargetMode="External"/><Relationship Id="rId42" Type="http://schemas.openxmlformats.org/officeDocument/2006/relationships/hyperlink" Target="https://www.transparentno.hr/pregled/90043974993/5ed3619be550fe33f5ee269e1e6db8dba7266b7475b5d71dddf14146dc68f3f5209e983cdcd9c2c371d3be9e1bb3a4ba70ace2bc59393e6c265a53c6f5937f4c" TargetMode="External"/><Relationship Id="rId47" Type="http://schemas.openxmlformats.org/officeDocument/2006/relationships/hyperlink" Target="http://www.fina.hr/Default.aspx?art=8958&amp;sec=1275" TargetMode="External"/><Relationship Id="rId50" Type="http://schemas.openxmlformats.org/officeDocument/2006/relationships/hyperlink" Target="https://www.transparentno.hr/" TargetMode="External"/><Relationship Id="rId55" Type="http://schemas.openxmlformats.org/officeDocument/2006/relationships/hyperlink" Target="http://www.fina.hr/Default.aspx?sec=17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" TargetMode="External"/><Relationship Id="rId29" Type="http://schemas.openxmlformats.org/officeDocument/2006/relationships/hyperlink" Target="https://www.transparentno.hr/pregled/44225131109/1ae29e4e70cc12a02a163ec80a0efbd74da10461c99cc068e20b7175d087f061881563a2ed6178acf6076f243b93bdb930f97fb79c36b38efc315429c5e32bdd" TargetMode="External"/><Relationship Id="rId11" Type="http://schemas.openxmlformats.org/officeDocument/2006/relationships/hyperlink" Target="https://www.transparentno.hr/pregled/68437417326/58d0a3c30468e917e206bc4c078aed56e61b3da130a258fb938e7084cb0d76e825f8991357595d892b2cc9a15baecb63ddda5073f8a77a02a8fbc14156c3bfe1" TargetMode="External"/><Relationship Id="rId24" Type="http://schemas.openxmlformats.org/officeDocument/2006/relationships/hyperlink" Target="https://www.transparentno.hr/pregled/44225131109/1ae29e4e70cc12a02a163ec80a0efbd74da10461c99cc068e20b7175d087f061881563a2ed6178acf6076f243b93bdb930f97fb79c36b38efc315429c5e32bdd" TargetMode="External"/><Relationship Id="rId32" Type="http://schemas.openxmlformats.org/officeDocument/2006/relationships/hyperlink" Target="https://www.transparentno.hr/pregled/73323157067/2af6dc907ff67919e295cfb9979af29eefa8d7145a470130a10b5f1623abcd19f906afb384942c0cb305d643b4f8a75ee62dfae82a2af9b6385a031edc2026e9" TargetMode="External"/><Relationship Id="rId37" Type="http://schemas.openxmlformats.org/officeDocument/2006/relationships/hyperlink" Target="https://www.transparentno.hr/pregled/72438732598/2df30ccf511cb0ea687141d36f537fe986c3e0d5f05c182566385cd199f0d3488b6505f467ca787d171453fba7a7e4147385a54051758c45f8efb73692e0dbc8" TargetMode="External"/><Relationship Id="rId40" Type="http://schemas.openxmlformats.org/officeDocument/2006/relationships/hyperlink" Target="https://www.transparentno.hr/pregled/91841941117/c27be897a11902b8cbd14f80df2a4f3474c534b1d1f54bb2ed7809d37e8937fd1074863b510a40ff0a8f4a31e86076a8d3155c19c003974da719afcd0db34c5d" TargetMode="External"/><Relationship Id="rId45" Type="http://schemas.openxmlformats.org/officeDocument/2006/relationships/hyperlink" Target="https://www.transparentno.hr/pregled/90043974993/5ed3619be550fe33f5ee269e1e6db8dba7266b7475b5d71dddf14146dc68f3f5209e983cdcd9c2c371d3be9e1bb3a4ba70ace2bc59393e6c265a53c6f5937f4c" TargetMode="External"/><Relationship Id="rId53" Type="http://schemas.openxmlformats.org/officeDocument/2006/relationships/hyperlink" Target="https://jrr.fina.hr/" TargetMode="External"/><Relationship Id="rId58" Type="http://schemas.openxmlformats.org/officeDocument/2006/relationships/hyperlink" Target="http://www.fina.hr/lgs.axd?t=24&amp;id=15" TargetMode="External"/><Relationship Id="rId5" Type="http://schemas.openxmlformats.org/officeDocument/2006/relationships/settings" Target="settings.xml"/><Relationship Id="rId61" Type="http://schemas.openxmlformats.org/officeDocument/2006/relationships/fontTable" Target="fontTable.xml"/><Relationship Id="rId19" Type="http://schemas.openxmlformats.org/officeDocument/2006/relationships/hyperlink" Target="https://www.transparentno.hr/pregled/72438732598/2df30ccf511cb0ea687141d36f537fe986c3e0d5f05c182566385cd199f0d3488b6505f467ca787d171453fba7a7e4147385a54051758c45f8efb73692e0dbc8" TargetMode="External"/><Relationship Id="rId14" Type="http://schemas.openxmlformats.org/officeDocument/2006/relationships/hyperlink" Target="https://www.transparentno.hr/pregled/72438732598/2df30ccf511cb0ea687141d36f537fe986c3e0d5f05c182566385cd199f0d3488b6505f467ca787d171453fba7a7e4147385a54051758c45f8efb73692e0dbc8" TargetMode="External"/><Relationship Id="rId22" Type="http://schemas.openxmlformats.org/officeDocument/2006/relationships/hyperlink" Target="https://www.transparentno.hr/pregled/91841941117/3a3d3245c3cddd94ab33206501345323d20d9e29dec067d224b5a7f206492ee2e11d71d16d4a5a87d118fa455e216d19566fa9f4768c42ee8798e5b49c7ab4a4" TargetMode="External"/><Relationship Id="rId27" Type="http://schemas.openxmlformats.org/officeDocument/2006/relationships/image" Target="media/image2.png"/><Relationship Id="rId30" Type="http://schemas.openxmlformats.org/officeDocument/2006/relationships/hyperlink" Target="https://www.transparentno.hr/pregled/72438732598/2df30ccf511cb0ea687141d36f537fe986c3e0d5f05c182566385cd199f0d3488b6505f467ca787d171453fba7a7e4147385a54051758c45f8efb73692e0dbc8" TargetMode="External"/><Relationship Id="rId35" Type="http://schemas.openxmlformats.org/officeDocument/2006/relationships/image" Target="media/image3.png"/><Relationship Id="rId43" Type="http://schemas.openxmlformats.org/officeDocument/2006/relationships/hyperlink" Target="https://www.transparentno.hr/pregled/90043974993/5ed3619be550fe33f5ee269e1e6db8dba7266b7475b5d71dddf14146dc68f3f5209e983cdcd9c2c371d3be9e1bb3a4ba70ace2bc59393e6c265a53c6f5937f4c" TargetMode="External"/><Relationship Id="rId48" Type="http://schemas.openxmlformats.org/officeDocument/2006/relationships/hyperlink" Target="http://rgfi.fina.hr/JavnaObjava-web/jsp/prijavaKorisnika.jsp" TargetMode="External"/><Relationship Id="rId56" Type="http://schemas.openxmlformats.org/officeDocument/2006/relationships/image" Target="media/image5.jpeg"/><Relationship Id="rId8" Type="http://schemas.openxmlformats.org/officeDocument/2006/relationships/endnotes" Target="endnotes.xml"/><Relationship Id="rId51" Type="http://schemas.openxmlformats.org/officeDocument/2006/relationships/hyperlink" Target="http://www.fina.hr/Default.aspx?art=8958&amp;sec=1275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ransparentno.hr/pregled/92983822740/63401c68b25e26039db467c8b85834dbbec57e611ddba797f342d2afa48ebcdb2a8b7b286ee7f84422b48ab3fbce61c1b3b7fcb212304bbb9725a1cd1c2e5310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www.transparentno.hr/pregled/44225131109/1ae29e4e70cc12a02a163ec80a0efbd74da10461c99cc068e20b7175d087f061881563a2ed6178acf6076f243b93bdb930f97fb79c36b38efc315429c5e32bdd" TargetMode="External"/><Relationship Id="rId33" Type="http://schemas.openxmlformats.org/officeDocument/2006/relationships/hyperlink" Target="https://www.transparentno.hr/pregled/91841941117/c27be897a11902b8cbd14f80df2a4f3474c534b1d1f54bb2ed7809d37e8937fd1074863b510a40ff0a8f4a31e86076a8d3155c19c003974da719afcd0db34c5d" TargetMode="External"/><Relationship Id="rId38" Type="http://schemas.openxmlformats.org/officeDocument/2006/relationships/hyperlink" Target="https://www.transparentno.hr/pregled/84932146143/ed08384ccf6873c0f7da12c03cabb91be73b9fddaf69ff6543cb27a20706b9875bab11a4a3fafe1db54ea135ff283428215474259af8af4dd25520b73269f292" TargetMode="External"/><Relationship Id="rId46" Type="http://schemas.openxmlformats.org/officeDocument/2006/relationships/image" Target="media/image4.png"/><Relationship Id="rId59" Type="http://schemas.openxmlformats.org/officeDocument/2006/relationships/image" Target="media/image7.jpeg"/><Relationship Id="rId20" Type="http://schemas.openxmlformats.org/officeDocument/2006/relationships/hyperlink" Target="https://www.transparentno.hr/pregled/32619970125/b10d77b53ce047e295d1f43df6c54bbb41bf994141bff956e2cde055068db530a01ac02160336f7ca864c40a30bdabeb887d7ee270ef0c8def88e6ecdffeacdb" TargetMode="External"/><Relationship Id="rId41" Type="http://schemas.openxmlformats.org/officeDocument/2006/relationships/hyperlink" Target="http://www.fina.hr/Default.aspx?art=8958&amp;sec=1275" TargetMode="External"/><Relationship Id="rId54" Type="http://schemas.openxmlformats.org/officeDocument/2006/relationships/hyperlink" Target="http://www.fina.hr/Default.aspx?sec=972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transparentno.hr/pregled/72438732598/2df30ccf511cb0ea687141d36f537fe986c3e0d5f05c182566385cd199f0d3488b6505f467ca787d171453fba7a7e4147385a54051758c45f8efb73692e0dbc8" TargetMode="External"/><Relationship Id="rId23" Type="http://schemas.openxmlformats.org/officeDocument/2006/relationships/hyperlink" Target="https://www.transparentno.hr/pregled/61771526184/56cbde7164d1d204358d2dbcb31e1b13555e4c3d66e0c41eb4abe66b4351e1cec5e788bf3f9ab95e346a45fab360ed8cf3b3a974c2a5b982601796a244e7a928" TargetMode="External"/><Relationship Id="rId28" Type="http://schemas.openxmlformats.org/officeDocument/2006/relationships/hyperlink" Target="https://www.transparentno.hr/" TargetMode="External"/><Relationship Id="rId36" Type="http://schemas.openxmlformats.org/officeDocument/2006/relationships/hyperlink" Target="https://www.transparentno.hr/pregled/44225131109/1ae29e4e70cc12a02a163ec80a0efbd74da10461c99cc068e20b7175d087f061881563a2ed6178acf6076f243b93bdb930f97fb79c36b38efc315429c5e32bdd" TargetMode="External"/><Relationship Id="rId49" Type="http://schemas.openxmlformats.org/officeDocument/2006/relationships/hyperlink" Target="http://rgfi.fina.hr/JavnaObjava-web/jsp/prijavaKorisnika.jsp" TargetMode="External"/><Relationship Id="rId57" Type="http://schemas.openxmlformats.org/officeDocument/2006/relationships/image" Target="media/image6.emf"/><Relationship Id="rId10" Type="http://schemas.openxmlformats.org/officeDocument/2006/relationships/hyperlink" Target="https://www.transparentno.hr/pregled/92983822740/63401c68b25e26039db467c8b85834dbbec57e611ddba797f342d2afa48ebcdb2a8b7b286ee7f84422b48ab3fbce61c1b3b7fcb212304bbb9725a1cd1c2e5310" TargetMode="External"/><Relationship Id="rId31" Type="http://schemas.openxmlformats.org/officeDocument/2006/relationships/hyperlink" Target="https://www.transparentno.hr/pregled/84932146143/ed08384ccf6873c0f7da12c03cabb91be73b9fddaf69ff6543cb27a20706b9875bab11a4a3fafe1db54ea135ff283428215474259af8af4dd25520b73269f292" TargetMode="External"/><Relationship Id="rId44" Type="http://schemas.openxmlformats.org/officeDocument/2006/relationships/hyperlink" Target="http://www.fina.hr/Default.aspx?art=8958&amp;sec=1275" TargetMode="External"/><Relationship Id="rId52" Type="http://schemas.openxmlformats.org/officeDocument/2006/relationships/hyperlink" Target="http://rgfi.fina.hr/JavnaObjava-web/jsp/prijavaKorisnika.jsp" TargetMode="External"/><Relationship Id="rId6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transparentno.hr/pregled/44225131109/1ae29e4e70cc12a02a163ec80a0efbd74da10461c99cc068e20b7175d087f061881563a2ed6178acf6076f243b93bdb930f97fb79c36b38efc315429c5e32bdd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ransparentno.hr/" TargetMode="External"/><Relationship Id="rId2" Type="http://schemas.openxmlformats.org/officeDocument/2006/relationships/hyperlink" Target="http://predstecajnenagodbe.fina.hr/pn-public-web/predmet/search" TargetMode="External"/><Relationship Id="rId1" Type="http://schemas.openxmlformats.org/officeDocument/2006/relationships/hyperlink" Target="https://sudreg.pravosudje.hr/registar/f?p=150:28:0::NO:28:P28_SBT_MBS:080334902" TargetMode="External"/><Relationship Id="rId4" Type="http://schemas.openxmlformats.org/officeDocument/2006/relationships/hyperlink" Target="https://www.transparentno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16244-DAFA-4E41-AFAC-7BD454053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2458</Words>
  <Characters>14011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POSLOVANJE PODUZETNIKA U DJELATNOSTI TRGOVINE NA MALO IGRAMA I IGRAČKAMA U SPECIJALIZIRANIM PRODAVAONICAMA U RAZDOBLJU OD 2010</vt:lpstr>
      <vt:lpstr>POSLOVANJE PODUZETNIKA U DJELATNOSTI TRGOVINE NA MALO IGRAMA I IGRAČKAMA U SPECIJALIZIRANIM PRODAVAONICAMA U RAZDOBLJU OD 2010</vt:lpstr>
    </vt:vector>
  </TitlesOfParts>
  <Company/>
  <LinksUpToDate>false</LinksUpToDate>
  <CharactersWithSpaces>16437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POSLOVANJE PODUZETNIKA U DJELATNOSTI TRGOVINE NA MALO IGRAMA I IGRAČKAMA U SPECIJALIZIRANIM PRODAVAONICAMA U RAZDOBLJU OD 2010</dc:title>
  <dc:creator>Ivona Škara</dc:creator>
  <cp:lastModifiedBy>admin</cp:lastModifiedBy>
  <cp:revision>2</cp:revision>
  <cp:lastPrinted>2015-11-19T14:30:00Z</cp:lastPrinted>
  <dcterms:created xsi:type="dcterms:W3CDTF">2017-04-11T08:07:00Z</dcterms:created>
  <dcterms:modified xsi:type="dcterms:W3CDTF">2017-04-11T08:07:00Z</dcterms:modified>
</cp:coreProperties>
</file>