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91" w:rsidRDefault="00BC12BB" w:rsidP="00153FC9">
      <w:pPr>
        <w:tabs>
          <w:tab w:val="left" w:pos="6521"/>
        </w:tabs>
        <w:spacing w:after="0" w:line="240" w:lineRule="auto"/>
        <w:jc w:val="center"/>
        <w:rPr>
          <w:rFonts w:ascii="Arial" w:eastAsia="Times New Roman" w:hAnsi="Arial" w:cs="Arial"/>
          <w:b/>
          <w:color w:val="244061"/>
          <w:sz w:val="20"/>
          <w:szCs w:val="20"/>
          <w:lang w:eastAsia="hr-HR"/>
        </w:rPr>
      </w:pPr>
      <w:r>
        <w:rPr>
          <w:rFonts w:ascii="Arial" w:eastAsia="Times New Roman" w:hAnsi="Arial" w:cs="Arial"/>
          <w:b/>
          <w:color w:val="244061"/>
          <w:sz w:val="20"/>
          <w:szCs w:val="20"/>
          <w:lang w:eastAsia="hr-HR"/>
        </w:rPr>
        <w:t>U</w:t>
      </w:r>
      <w:r w:rsidR="00F85ABE" w:rsidRPr="00F85ABE">
        <w:rPr>
          <w:rFonts w:ascii="Arial" w:eastAsia="Times New Roman" w:hAnsi="Arial" w:cs="Arial"/>
          <w:b/>
          <w:color w:val="244061"/>
          <w:sz w:val="20"/>
          <w:szCs w:val="20"/>
          <w:lang w:eastAsia="hr-HR"/>
        </w:rPr>
        <w:t xml:space="preserve"> OSAM GODINA U PROIZVODNJI ELEKTRIČNE ENERGIJE </w:t>
      </w:r>
      <w:r w:rsidR="002D1D6F" w:rsidRPr="002D1D6F">
        <w:rPr>
          <w:rFonts w:ascii="Arial" w:eastAsia="Times New Roman" w:hAnsi="Arial" w:cs="Arial"/>
          <w:b/>
          <w:color w:val="244061"/>
          <w:sz w:val="20"/>
          <w:szCs w:val="20"/>
          <w:lang w:eastAsia="hr-HR"/>
        </w:rPr>
        <w:t xml:space="preserve">BROJ PODUZETNIKA </w:t>
      </w:r>
      <w:r>
        <w:rPr>
          <w:rFonts w:ascii="Arial" w:eastAsia="Times New Roman" w:hAnsi="Arial" w:cs="Arial"/>
          <w:b/>
          <w:color w:val="244061"/>
          <w:sz w:val="20"/>
          <w:szCs w:val="20"/>
          <w:lang w:eastAsia="hr-HR"/>
        </w:rPr>
        <w:t xml:space="preserve">PORASTAO </w:t>
      </w:r>
      <w:r w:rsidR="00F85ABE" w:rsidRPr="00F85ABE">
        <w:rPr>
          <w:rFonts w:ascii="Arial" w:eastAsia="Times New Roman" w:hAnsi="Arial" w:cs="Arial"/>
          <w:b/>
          <w:color w:val="244061"/>
          <w:sz w:val="20"/>
          <w:szCs w:val="20"/>
          <w:lang w:eastAsia="hr-HR"/>
        </w:rPr>
        <w:t>OS</w:t>
      </w:r>
      <w:r w:rsidR="002D1D6F">
        <w:rPr>
          <w:rFonts w:ascii="Arial" w:eastAsia="Times New Roman" w:hAnsi="Arial" w:cs="Arial"/>
          <w:b/>
          <w:color w:val="244061"/>
          <w:sz w:val="20"/>
          <w:szCs w:val="20"/>
          <w:lang w:eastAsia="hr-HR"/>
        </w:rPr>
        <w:t>A</w:t>
      </w:r>
      <w:r w:rsidR="00F85ABE" w:rsidRPr="00F85ABE">
        <w:rPr>
          <w:rFonts w:ascii="Arial" w:eastAsia="Times New Roman" w:hAnsi="Arial" w:cs="Arial"/>
          <w:b/>
          <w:color w:val="244061"/>
          <w:sz w:val="20"/>
          <w:szCs w:val="20"/>
          <w:lang w:eastAsia="hr-HR"/>
        </w:rPr>
        <w:t xml:space="preserve">M, </w:t>
      </w:r>
    </w:p>
    <w:p w:rsidR="00B57B1D" w:rsidRDefault="00F85ABE" w:rsidP="00153FC9">
      <w:pPr>
        <w:tabs>
          <w:tab w:val="left" w:pos="6521"/>
        </w:tabs>
        <w:spacing w:after="0" w:line="240" w:lineRule="auto"/>
        <w:jc w:val="center"/>
        <w:rPr>
          <w:rFonts w:ascii="Arial" w:eastAsia="Times New Roman" w:hAnsi="Arial" w:cs="Arial"/>
          <w:b/>
          <w:color w:val="244061"/>
          <w:sz w:val="20"/>
          <w:szCs w:val="20"/>
          <w:lang w:eastAsia="hr-HR"/>
        </w:rPr>
      </w:pPr>
      <w:r w:rsidRPr="00F85ABE">
        <w:rPr>
          <w:rFonts w:ascii="Arial" w:eastAsia="Times New Roman" w:hAnsi="Arial" w:cs="Arial"/>
          <w:b/>
          <w:color w:val="244061"/>
          <w:sz w:val="20"/>
          <w:szCs w:val="20"/>
          <w:lang w:eastAsia="hr-HR"/>
        </w:rPr>
        <w:t xml:space="preserve">A DOBIT </w:t>
      </w:r>
      <w:r w:rsidR="002D1D6F">
        <w:rPr>
          <w:rFonts w:ascii="Arial" w:eastAsia="Times New Roman" w:hAnsi="Arial" w:cs="Arial"/>
          <w:b/>
          <w:color w:val="244061"/>
          <w:sz w:val="20"/>
          <w:szCs w:val="20"/>
          <w:lang w:eastAsia="hr-HR"/>
        </w:rPr>
        <w:t>ČETRNAEST PUTA</w:t>
      </w:r>
    </w:p>
    <w:tbl>
      <w:tblPr>
        <w:tblStyle w:val="TableGrid"/>
        <w:tblW w:w="0" w:type="auto"/>
        <w:tblLook w:val="04A0" w:firstRow="1" w:lastRow="0" w:firstColumn="1" w:lastColumn="0" w:noHBand="0" w:noVBand="1"/>
      </w:tblPr>
      <w:tblGrid>
        <w:gridCol w:w="8046"/>
        <w:gridCol w:w="1843"/>
      </w:tblGrid>
      <w:tr w:rsidR="00D340FB" w:rsidTr="002D1D6F">
        <w:trPr>
          <w:trHeight w:val="1579"/>
        </w:trPr>
        <w:tc>
          <w:tcPr>
            <w:tcW w:w="8046" w:type="dxa"/>
            <w:vMerge w:val="restart"/>
            <w:tcBorders>
              <w:top w:val="nil"/>
              <w:left w:val="nil"/>
              <w:bottom w:val="nil"/>
              <w:right w:val="nil"/>
            </w:tcBorders>
          </w:tcPr>
          <w:p w:rsidR="00D340FB" w:rsidRPr="00B57B1D" w:rsidRDefault="00D340FB" w:rsidP="00D340FB">
            <w:pPr>
              <w:tabs>
                <w:tab w:val="left" w:pos="6521"/>
              </w:tabs>
              <w:spacing w:before="120" w:after="0"/>
              <w:jc w:val="both"/>
              <w:rPr>
                <w:rFonts w:ascii="Arial" w:eastAsia="Times New Roman" w:hAnsi="Arial" w:cs="Arial"/>
                <w:color w:val="244061"/>
                <w:sz w:val="20"/>
                <w:szCs w:val="20"/>
                <w:lang w:eastAsia="hr-HR"/>
              </w:rPr>
            </w:pPr>
            <w:r w:rsidRPr="00B57B1D">
              <w:rPr>
                <w:rFonts w:ascii="Arial" w:eastAsia="Times New Roman" w:hAnsi="Arial" w:cs="Arial"/>
                <w:color w:val="244061"/>
                <w:sz w:val="20"/>
                <w:szCs w:val="20"/>
                <w:lang w:eastAsia="hr-HR"/>
              </w:rPr>
              <w:t>Analiza poduzetnika u djelatnosti proizvodnje, prijenosa i distribucije električne energije kroz razdoblje od 2008. do 2015. godine, pokazala je da je nakon osam godina broj poduzetnika gotovo osmostruko veći, tj. da se sa 89, koliko ih je bilo 2008., povećao se na 704 poduzetnika, koliko ih je bilo u 2015. godini.</w:t>
            </w:r>
          </w:p>
          <w:p w:rsidR="00D340FB" w:rsidRDefault="00D340FB" w:rsidP="00026F6D">
            <w:pPr>
              <w:shd w:val="clear" w:color="auto" w:fill="FFFFFF"/>
              <w:tabs>
                <w:tab w:val="left" w:pos="6521"/>
              </w:tabs>
              <w:spacing w:before="120" w:after="0"/>
              <w:jc w:val="both"/>
              <w:rPr>
                <w:rFonts w:ascii="Arial" w:eastAsia="Times New Roman" w:hAnsi="Arial" w:cs="Arial"/>
                <w:b/>
                <w:color w:val="244061"/>
                <w:sz w:val="20"/>
                <w:szCs w:val="20"/>
                <w:lang w:eastAsia="hr-HR"/>
              </w:rPr>
            </w:pPr>
            <w:r w:rsidRPr="00B57B1D">
              <w:rPr>
                <w:rFonts w:ascii="Arial" w:eastAsia="Times New Roman" w:hAnsi="Arial" w:cs="Arial"/>
                <w:color w:val="244061"/>
                <w:sz w:val="20"/>
                <w:szCs w:val="20"/>
                <w:lang w:eastAsia="hr-HR"/>
              </w:rPr>
              <w:t xml:space="preserve">Iako se broj poduzetnika višestruko povećao, broj zaposlenih smanjen je sa 13 465, koliko ih je bilo 2008. godine, na 11 808, koliko je bilo zaposlenih u 2015. godini. Razlog tome jest smanjenje broja zaposlenih u društvu </w:t>
            </w:r>
            <w:bookmarkStart w:id="0" w:name="_GoBack"/>
            <w:r w:rsidR="00EE604C">
              <w:rPr>
                <w:rFonts w:ascii="Arial" w:eastAsia="Times New Roman" w:hAnsi="Arial" w:cs="Arial"/>
                <w:color w:val="244061" w:themeColor="accent1" w:themeShade="80"/>
                <w:sz w:val="20"/>
                <w:szCs w:val="20"/>
                <w:lang w:eastAsia="hr-HR"/>
              </w:rPr>
              <w:fldChar w:fldCharType="begin"/>
            </w:r>
            <w:r w:rsidR="00EE604C">
              <w:rPr>
                <w:rFonts w:ascii="Arial" w:eastAsia="Times New Roman" w:hAnsi="Arial" w:cs="Arial"/>
                <w:color w:val="244061" w:themeColor="accent1" w:themeShade="80"/>
                <w:sz w:val="20"/>
                <w:szCs w:val="20"/>
                <w:lang w:eastAsia="hr-HR"/>
              </w:rPr>
              <w:instrText xml:space="preserve"> HYPERLINK "https://www.transparentno.hr/pregled/46830600751/7b1e0bfd8e7df29819fa0ec2056cf1b7a279adb6b0d804f3bf4df7d5869dccdfa5c50df0a31b394c4c180e1a24645fa31bb296d72c71aded2ad6c9ddfd79fc8e" </w:instrText>
            </w:r>
            <w:r w:rsidR="00EE604C">
              <w:rPr>
                <w:rFonts w:ascii="Arial" w:eastAsia="Times New Roman" w:hAnsi="Arial" w:cs="Arial"/>
                <w:color w:val="244061" w:themeColor="accent1" w:themeShade="80"/>
                <w:sz w:val="20"/>
                <w:szCs w:val="20"/>
                <w:lang w:eastAsia="hr-HR"/>
              </w:rPr>
            </w:r>
            <w:r w:rsidR="00EE604C">
              <w:rPr>
                <w:rFonts w:ascii="Arial" w:eastAsia="Times New Roman" w:hAnsi="Arial" w:cs="Arial"/>
                <w:color w:val="244061" w:themeColor="accent1" w:themeShade="80"/>
                <w:sz w:val="20"/>
                <w:szCs w:val="20"/>
                <w:lang w:eastAsia="hr-HR"/>
              </w:rPr>
              <w:fldChar w:fldCharType="separate"/>
            </w:r>
            <w:r w:rsidRPr="00EE604C">
              <w:rPr>
                <w:rStyle w:val="Hyperlink"/>
                <w:rFonts w:ascii="Arial" w:eastAsia="Times New Roman" w:hAnsi="Arial" w:cs="Arial"/>
                <w:sz w:val="20"/>
                <w:szCs w:val="20"/>
                <w:lang w:eastAsia="hr-HR"/>
                <w14:textFill>
                  <w14:solidFill>
                    <w14:srgbClr w14:val="0000FF">
                      <w14:lumMod w14:val="50000"/>
                    </w14:srgbClr>
                  </w14:solidFill>
                </w14:textFill>
              </w:rPr>
              <w:t>HEP-O</w:t>
            </w:r>
            <w:r w:rsidRPr="00EE604C">
              <w:rPr>
                <w:rStyle w:val="Hyperlink"/>
                <w:rFonts w:ascii="Arial" w:eastAsia="Times New Roman" w:hAnsi="Arial" w:cs="Arial"/>
                <w:sz w:val="20"/>
                <w:szCs w:val="20"/>
                <w:lang w:eastAsia="hr-HR"/>
                <w14:textFill>
                  <w14:solidFill>
                    <w14:srgbClr w14:val="0000FF">
                      <w14:lumMod w14:val="50000"/>
                    </w14:srgbClr>
                  </w14:solidFill>
                </w14:textFill>
              </w:rPr>
              <w:t>perator distribucijskog sustava</w:t>
            </w:r>
            <w:r w:rsidR="00EE604C">
              <w:rPr>
                <w:rFonts w:ascii="Arial" w:eastAsia="Times New Roman" w:hAnsi="Arial" w:cs="Arial"/>
                <w:color w:val="244061" w:themeColor="accent1" w:themeShade="80"/>
                <w:sz w:val="20"/>
                <w:szCs w:val="20"/>
                <w:lang w:eastAsia="hr-HR"/>
              </w:rPr>
              <w:fldChar w:fldCharType="end"/>
            </w:r>
            <w:r w:rsidRPr="00EE604C">
              <w:rPr>
                <w:rFonts w:ascii="Arial" w:eastAsia="Times New Roman" w:hAnsi="Arial" w:cs="Arial"/>
                <w:color w:val="244061" w:themeColor="accent1" w:themeShade="80"/>
                <w:sz w:val="20"/>
                <w:szCs w:val="20"/>
                <w:lang w:eastAsia="hr-HR"/>
              </w:rPr>
              <w:t xml:space="preserve"> </w:t>
            </w:r>
            <w:bookmarkEnd w:id="0"/>
            <w:r w:rsidRPr="00EE604C">
              <w:rPr>
                <w:rFonts w:ascii="Arial" w:eastAsia="Times New Roman" w:hAnsi="Arial" w:cs="Arial"/>
                <w:sz w:val="20"/>
                <w:szCs w:val="20"/>
                <w:lang w:eastAsia="hr-HR"/>
              </w:rPr>
              <w:t>d.o.o.</w:t>
            </w:r>
            <w:r w:rsidRPr="00B57B1D">
              <w:rPr>
                <w:rFonts w:ascii="Arial" w:eastAsia="Times New Roman" w:hAnsi="Arial" w:cs="Arial"/>
                <w:color w:val="244061"/>
                <w:sz w:val="20"/>
                <w:szCs w:val="20"/>
                <w:lang w:eastAsia="hr-HR"/>
              </w:rPr>
              <w:t xml:space="preserve">, sa 9271, koliko ih je bilo 2008. godine, na 7485 zaposlenih, što je </w:t>
            </w:r>
            <w:r w:rsidR="00026F6D" w:rsidRPr="00026F6D">
              <w:rPr>
                <w:rFonts w:ascii="Arial" w:eastAsia="Times New Roman" w:hAnsi="Arial" w:cs="Arial"/>
                <w:color w:val="244061"/>
                <w:sz w:val="20"/>
                <w:szCs w:val="20"/>
                <w:lang w:eastAsia="hr-HR"/>
              </w:rPr>
              <w:t>za 1786</w:t>
            </w:r>
            <w:r w:rsidR="00026F6D">
              <w:rPr>
                <w:rFonts w:ascii="Arial" w:eastAsia="Times New Roman" w:hAnsi="Arial" w:cs="Arial"/>
                <w:color w:val="244061"/>
                <w:sz w:val="20"/>
                <w:szCs w:val="20"/>
                <w:lang w:eastAsia="hr-HR"/>
              </w:rPr>
              <w:t xml:space="preserve"> zaposlenih </w:t>
            </w:r>
            <w:r w:rsidRPr="00B57B1D">
              <w:rPr>
                <w:rFonts w:ascii="Arial" w:eastAsia="Times New Roman" w:hAnsi="Arial" w:cs="Arial"/>
                <w:color w:val="244061"/>
                <w:sz w:val="20"/>
                <w:szCs w:val="20"/>
                <w:lang w:eastAsia="hr-HR"/>
              </w:rPr>
              <w:t>manje. S druge strane, riječ je uglavnom o novim tvrtkama bez zaposlenih, njih 488, ili s malim brojem zaposlenih</w:t>
            </w:r>
            <w:r w:rsidR="00026F6D">
              <w:rPr>
                <w:rFonts w:ascii="Arial" w:eastAsia="Times New Roman" w:hAnsi="Arial" w:cs="Arial"/>
                <w:color w:val="244061"/>
                <w:sz w:val="20"/>
                <w:szCs w:val="20"/>
                <w:lang w:eastAsia="hr-HR"/>
              </w:rPr>
              <w:t xml:space="preserve"> (</w:t>
            </w:r>
            <w:r w:rsidRPr="00B57B1D">
              <w:rPr>
                <w:rFonts w:ascii="Arial" w:eastAsia="Times New Roman" w:hAnsi="Arial" w:cs="Arial"/>
                <w:color w:val="244061"/>
                <w:sz w:val="20"/>
                <w:szCs w:val="20"/>
                <w:lang w:eastAsia="hr-HR"/>
              </w:rPr>
              <w:t>119 ima jednog zaposlenog, a 35 dva zaposlena</w:t>
            </w:r>
            <w:r w:rsidR="00026F6D">
              <w:rPr>
                <w:rFonts w:ascii="Arial" w:eastAsia="Times New Roman" w:hAnsi="Arial" w:cs="Arial"/>
                <w:color w:val="244061"/>
                <w:sz w:val="20"/>
                <w:szCs w:val="20"/>
                <w:lang w:eastAsia="hr-HR"/>
              </w:rPr>
              <w:t>)</w:t>
            </w:r>
            <w:r w:rsidRPr="00B57B1D">
              <w:rPr>
                <w:rFonts w:ascii="Arial" w:eastAsia="Times New Roman" w:hAnsi="Arial" w:cs="Arial"/>
                <w:color w:val="244061"/>
                <w:sz w:val="20"/>
                <w:szCs w:val="20"/>
                <w:lang w:eastAsia="hr-HR"/>
              </w:rPr>
              <w:t>.</w:t>
            </w:r>
          </w:p>
        </w:tc>
        <w:tc>
          <w:tcPr>
            <w:tcW w:w="1843" w:type="dxa"/>
            <w:tcBorders>
              <w:top w:val="nil"/>
              <w:left w:val="nil"/>
              <w:bottom w:val="single" w:sz="18" w:space="0" w:color="244061" w:themeColor="accent1" w:themeShade="80"/>
              <w:right w:val="nil"/>
            </w:tcBorders>
          </w:tcPr>
          <w:p w:rsidR="00D340FB" w:rsidRDefault="00D340FB" w:rsidP="00D340FB">
            <w:pPr>
              <w:tabs>
                <w:tab w:val="left" w:pos="6521"/>
              </w:tabs>
              <w:spacing w:after="0" w:line="240" w:lineRule="auto"/>
              <w:jc w:val="center"/>
              <w:rPr>
                <w:rFonts w:asciiTheme="minorHAnsi" w:eastAsia="Times New Roman" w:hAnsiTheme="minorHAnsi" w:cs="Arial"/>
                <w:b/>
                <w:color w:val="244061"/>
                <w:sz w:val="40"/>
                <w:szCs w:val="40"/>
                <w:lang w:eastAsia="hr-HR"/>
              </w:rPr>
            </w:pPr>
            <w:r>
              <w:rPr>
                <w:rFonts w:asciiTheme="minorHAnsi" w:eastAsia="Times New Roman" w:hAnsiTheme="minorHAnsi" w:cs="Arial"/>
                <w:b/>
                <w:color w:val="244061"/>
                <w:sz w:val="40"/>
                <w:szCs w:val="40"/>
                <w:lang w:eastAsia="hr-HR"/>
              </w:rPr>
              <w:t>791 %</w:t>
            </w:r>
          </w:p>
          <w:p w:rsidR="00D340FB" w:rsidRPr="00D340FB" w:rsidRDefault="00D340FB" w:rsidP="00D340FB">
            <w:pPr>
              <w:tabs>
                <w:tab w:val="left" w:pos="6521"/>
              </w:tabs>
              <w:spacing w:after="0" w:line="240" w:lineRule="auto"/>
              <w:jc w:val="center"/>
              <w:rPr>
                <w:rFonts w:asciiTheme="minorHAnsi" w:eastAsia="Times New Roman" w:hAnsiTheme="minorHAnsi" w:cs="Arial"/>
                <w:b/>
                <w:color w:val="244061"/>
                <w:sz w:val="40"/>
                <w:szCs w:val="40"/>
                <w:lang w:eastAsia="hr-HR"/>
              </w:rPr>
            </w:pPr>
            <w:r w:rsidRPr="00D340FB">
              <w:rPr>
                <w:rFonts w:asciiTheme="minorHAnsi" w:eastAsia="Times New Roman" w:hAnsiTheme="minorHAnsi" w:cs="Arial"/>
                <w:color w:val="244061"/>
                <w:sz w:val="20"/>
                <w:szCs w:val="20"/>
                <w:lang w:eastAsia="hr-HR"/>
              </w:rPr>
              <w:t xml:space="preserve">Od 2008. do 2015. </w:t>
            </w:r>
            <w:r w:rsidRPr="002C4C09">
              <w:rPr>
                <w:rFonts w:asciiTheme="minorHAnsi" w:eastAsia="Times New Roman" w:hAnsiTheme="minorHAnsi" w:cs="Arial"/>
                <w:color w:val="244061"/>
                <w:sz w:val="20"/>
                <w:szCs w:val="20"/>
                <w:u w:val="single"/>
                <w:lang w:eastAsia="hr-HR"/>
              </w:rPr>
              <w:t>rast</w:t>
            </w:r>
            <w:r w:rsidRPr="00D340FB">
              <w:rPr>
                <w:rFonts w:asciiTheme="minorHAnsi" w:eastAsia="Times New Roman" w:hAnsiTheme="minorHAnsi" w:cs="Arial"/>
                <w:color w:val="244061"/>
                <w:sz w:val="20"/>
                <w:szCs w:val="20"/>
                <w:lang w:eastAsia="hr-HR"/>
              </w:rPr>
              <w:t xml:space="preserve"> </w:t>
            </w:r>
            <w:r w:rsidRPr="00AE1989">
              <w:rPr>
                <w:rFonts w:asciiTheme="minorHAnsi" w:eastAsia="Times New Roman" w:hAnsiTheme="minorHAnsi" w:cs="Arial"/>
                <w:b/>
                <w:color w:val="244061"/>
                <w:sz w:val="20"/>
                <w:szCs w:val="20"/>
                <w:lang w:eastAsia="hr-HR"/>
              </w:rPr>
              <w:t>broja poduzetnika</w:t>
            </w:r>
          </w:p>
        </w:tc>
      </w:tr>
      <w:tr w:rsidR="00D340FB" w:rsidTr="002D1D6F">
        <w:trPr>
          <w:trHeight w:val="1579"/>
        </w:trPr>
        <w:tc>
          <w:tcPr>
            <w:tcW w:w="8046" w:type="dxa"/>
            <w:vMerge/>
            <w:tcBorders>
              <w:top w:val="nil"/>
              <w:left w:val="nil"/>
              <w:bottom w:val="nil"/>
              <w:right w:val="nil"/>
            </w:tcBorders>
          </w:tcPr>
          <w:p w:rsidR="00D340FB" w:rsidRPr="00B57B1D" w:rsidRDefault="00D340FB" w:rsidP="00D340FB">
            <w:pPr>
              <w:tabs>
                <w:tab w:val="left" w:pos="6521"/>
              </w:tabs>
              <w:spacing w:before="120" w:after="0"/>
              <w:jc w:val="both"/>
              <w:rPr>
                <w:rFonts w:ascii="Arial" w:eastAsia="Times New Roman" w:hAnsi="Arial" w:cs="Arial"/>
                <w:color w:val="244061"/>
                <w:sz w:val="20"/>
                <w:szCs w:val="20"/>
                <w:lang w:eastAsia="hr-HR"/>
              </w:rPr>
            </w:pPr>
          </w:p>
        </w:tc>
        <w:tc>
          <w:tcPr>
            <w:tcW w:w="1843" w:type="dxa"/>
            <w:tcBorders>
              <w:top w:val="single" w:sz="18" w:space="0" w:color="244061" w:themeColor="accent1" w:themeShade="80"/>
              <w:left w:val="nil"/>
              <w:bottom w:val="nil"/>
              <w:right w:val="nil"/>
            </w:tcBorders>
          </w:tcPr>
          <w:p w:rsidR="00D340FB" w:rsidRDefault="002D1D6F" w:rsidP="00AE1989">
            <w:pPr>
              <w:tabs>
                <w:tab w:val="left" w:pos="6521"/>
              </w:tabs>
              <w:spacing w:before="120" w:after="0" w:line="240" w:lineRule="auto"/>
              <w:jc w:val="center"/>
              <w:rPr>
                <w:rFonts w:asciiTheme="minorHAnsi" w:eastAsia="Times New Roman" w:hAnsiTheme="minorHAnsi" w:cs="Arial"/>
                <w:b/>
                <w:color w:val="244061"/>
                <w:sz w:val="40"/>
                <w:szCs w:val="40"/>
                <w:lang w:eastAsia="hr-HR"/>
              </w:rPr>
            </w:pPr>
            <w:r w:rsidRPr="002D1D6F">
              <w:rPr>
                <w:rFonts w:asciiTheme="minorHAnsi" w:eastAsia="Times New Roman" w:hAnsiTheme="minorHAnsi" w:cs="Arial"/>
                <w:b/>
                <w:color w:val="244061"/>
                <w:sz w:val="40"/>
                <w:szCs w:val="40"/>
                <w:lang w:eastAsia="hr-HR"/>
              </w:rPr>
              <w:t>12,3 %</w:t>
            </w:r>
          </w:p>
          <w:p w:rsidR="002D1D6F" w:rsidRPr="002D1D6F" w:rsidRDefault="002D1D6F" w:rsidP="002D1D6F">
            <w:pPr>
              <w:tabs>
                <w:tab w:val="left" w:pos="6521"/>
              </w:tabs>
              <w:spacing w:after="0" w:line="240" w:lineRule="auto"/>
              <w:jc w:val="center"/>
              <w:rPr>
                <w:rFonts w:asciiTheme="minorHAnsi" w:eastAsia="Times New Roman" w:hAnsiTheme="minorHAnsi" w:cs="Arial"/>
                <w:color w:val="244061"/>
                <w:sz w:val="20"/>
                <w:szCs w:val="20"/>
                <w:lang w:eastAsia="hr-HR"/>
              </w:rPr>
            </w:pPr>
            <w:r w:rsidRPr="002D1D6F">
              <w:rPr>
                <w:rFonts w:asciiTheme="minorHAnsi" w:eastAsia="Times New Roman" w:hAnsiTheme="minorHAnsi" w:cs="Arial"/>
                <w:color w:val="244061"/>
                <w:sz w:val="20"/>
                <w:szCs w:val="20"/>
                <w:lang w:eastAsia="hr-HR"/>
              </w:rPr>
              <w:t xml:space="preserve">Od 2008. do 2015. </w:t>
            </w:r>
            <w:r w:rsidRPr="002C4C09">
              <w:rPr>
                <w:rFonts w:asciiTheme="minorHAnsi" w:eastAsia="Times New Roman" w:hAnsiTheme="minorHAnsi" w:cs="Arial"/>
                <w:color w:val="244061"/>
                <w:sz w:val="20"/>
                <w:szCs w:val="20"/>
                <w:u w:val="single"/>
                <w:lang w:eastAsia="hr-HR"/>
              </w:rPr>
              <w:t>pad</w:t>
            </w:r>
            <w:r>
              <w:rPr>
                <w:rFonts w:asciiTheme="minorHAnsi" w:eastAsia="Times New Roman" w:hAnsiTheme="minorHAnsi" w:cs="Arial"/>
                <w:color w:val="244061"/>
                <w:sz w:val="20"/>
                <w:szCs w:val="20"/>
                <w:lang w:eastAsia="hr-HR"/>
              </w:rPr>
              <w:t xml:space="preserve"> </w:t>
            </w:r>
            <w:r w:rsidRPr="002D1D6F">
              <w:rPr>
                <w:rFonts w:asciiTheme="minorHAnsi" w:eastAsia="Times New Roman" w:hAnsiTheme="minorHAnsi" w:cs="Arial"/>
                <w:b/>
                <w:color w:val="244061"/>
                <w:sz w:val="20"/>
                <w:szCs w:val="20"/>
                <w:lang w:eastAsia="hr-HR"/>
              </w:rPr>
              <w:t>broja zaposlenih</w:t>
            </w:r>
          </w:p>
        </w:tc>
      </w:tr>
    </w:tbl>
    <w:p w:rsidR="00B57B1D" w:rsidRPr="00B57B1D" w:rsidRDefault="00B57B1D" w:rsidP="00B57B1D">
      <w:pPr>
        <w:widowControl w:val="0"/>
        <w:tabs>
          <w:tab w:val="left" w:pos="1134"/>
          <w:tab w:val="left" w:pos="6521"/>
        </w:tabs>
        <w:spacing w:before="180" w:after="40" w:line="240" w:lineRule="auto"/>
        <w:ind w:left="1134" w:hanging="1134"/>
        <w:rPr>
          <w:rFonts w:ascii="Arial" w:eastAsia="Times New Roman" w:hAnsi="Arial" w:cs="Arial"/>
          <w:color w:val="17365D"/>
          <w:sz w:val="16"/>
          <w:szCs w:val="16"/>
          <w:lang w:eastAsia="hr-HR"/>
        </w:rPr>
      </w:pPr>
      <w:r w:rsidRPr="00B57B1D">
        <w:rPr>
          <w:rFonts w:ascii="Arial" w:eastAsia="Times New Roman" w:hAnsi="Arial" w:cs="Arial"/>
          <w:b/>
          <w:color w:val="244061"/>
          <w:sz w:val="18"/>
          <w:szCs w:val="18"/>
          <w:lang w:eastAsia="hr-HR"/>
        </w:rPr>
        <w:t xml:space="preserve">Tablica </w:t>
      </w:r>
      <w:r w:rsidR="009819C0">
        <w:rPr>
          <w:rFonts w:ascii="Arial" w:eastAsia="Times New Roman" w:hAnsi="Arial" w:cs="Arial"/>
          <w:b/>
          <w:color w:val="244061"/>
          <w:sz w:val="18"/>
          <w:szCs w:val="18"/>
          <w:lang w:eastAsia="hr-HR"/>
        </w:rPr>
        <w:t>1</w:t>
      </w:r>
      <w:r w:rsidRPr="00B57B1D">
        <w:rPr>
          <w:rFonts w:ascii="Arial" w:eastAsia="Times New Roman" w:hAnsi="Arial" w:cs="Arial"/>
          <w:b/>
          <w:color w:val="244061"/>
          <w:sz w:val="18"/>
          <w:szCs w:val="18"/>
          <w:lang w:eastAsia="hr-HR"/>
        </w:rPr>
        <w:t>.</w:t>
      </w:r>
      <w:r w:rsidRPr="00B57B1D">
        <w:rPr>
          <w:rFonts w:ascii="Arial" w:eastAsia="Times New Roman" w:hAnsi="Arial" w:cs="Arial"/>
          <w:b/>
          <w:color w:val="244061"/>
          <w:sz w:val="18"/>
          <w:szCs w:val="18"/>
          <w:lang w:eastAsia="hr-HR"/>
        </w:rPr>
        <w:tab/>
        <w:t>Osnovni financijski rezultati poslovanja poduzetnika u skupini djelat. 35.1 – Proizvodnja, prijenos i distribucija električne energije za razdoblje od 2008. do 2015. g.</w:t>
      </w:r>
      <w:r w:rsidRPr="00B57B1D">
        <w:rPr>
          <w:rFonts w:ascii="Arial" w:eastAsia="Times New Roman" w:hAnsi="Arial" w:cs="Arial"/>
          <w:b/>
          <w:color w:val="244061"/>
          <w:sz w:val="19"/>
          <w:szCs w:val="19"/>
          <w:lang w:eastAsia="hr-HR"/>
        </w:rPr>
        <w:tab/>
      </w:r>
      <w:r w:rsidRPr="00B57B1D">
        <w:rPr>
          <w:rFonts w:ascii="Arial" w:eastAsia="Times New Roman" w:hAnsi="Arial" w:cs="Arial"/>
          <w:color w:val="17365D"/>
          <w:sz w:val="16"/>
          <w:szCs w:val="16"/>
          <w:lang w:eastAsia="hr-HR"/>
        </w:rPr>
        <w:t>(iznosi u tis. kn, prosječne plaće u kn)</w:t>
      </w:r>
    </w:p>
    <w:p w:rsidR="00B57B1D" w:rsidRPr="00B57B1D" w:rsidRDefault="00B46CD4" w:rsidP="00B57B1D">
      <w:pPr>
        <w:spacing w:before="40" w:after="0" w:line="240" w:lineRule="auto"/>
        <w:jc w:val="both"/>
        <w:rPr>
          <w:rFonts w:ascii="Arial" w:hAnsi="Arial" w:cs="Arial"/>
          <w:noProof/>
          <w:sz w:val="18"/>
          <w:szCs w:val="18"/>
          <w:lang w:eastAsia="hr-HR"/>
        </w:rPr>
      </w:pPr>
      <w:r>
        <w:rPr>
          <w:noProof/>
          <w:lang w:eastAsia="hr-HR"/>
        </w:rPr>
        <w:drawing>
          <wp:inline distT="0" distB="0" distL="0" distR="0">
            <wp:extent cx="6189345" cy="2880000"/>
            <wp:effectExtent l="0" t="0" r="190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9345" cy="2880000"/>
                    </a:xfrm>
                    <a:prstGeom prst="rect">
                      <a:avLst/>
                    </a:prstGeom>
                    <a:noFill/>
                    <a:ln>
                      <a:noFill/>
                    </a:ln>
                  </pic:spPr>
                </pic:pic>
              </a:graphicData>
            </a:graphic>
          </wp:inline>
        </w:drawing>
      </w:r>
    </w:p>
    <w:p w:rsidR="00B57B1D" w:rsidRPr="00B57B1D" w:rsidRDefault="00B57B1D" w:rsidP="00B57B1D">
      <w:pPr>
        <w:spacing w:before="40" w:after="0" w:line="240" w:lineRule="auto"/>
        <w:jc w:val="both"/>
        <w:rPr>
          <w:rFonts w:ascii="Arial" w:hAnsi="Arial" w:cs="Arial"/>
          <w:i/>
          <w:color w:val="1F497D"/>
          <w:sz w:val="16"/>
          <w:szCs w:val="16"/>
        </w:rPr>
      </w:pPr>
      <w:r w:rsidRPr="00B57B1D">
        <w:rPr>
          <w:rFonts w:ascii="Arial" w:hAnsi="Arial" w:cs="Arial"/>
          <w:i/>
          <w:color w:val="254061"/>
          <w:sz w:val="16"/>
          <w:szCs w:val="16"/>
        </w:rPr>
        <w:t xml:space="preserve">Izvor: Fina, Registar godišnjih financijskih izvještaja, obrada GFI-a za 2015. godinu </w:t>
      </w:r>
    </w:p>
    <w:p w:rsidR="00B57B1D" w:rsidRDefault="00B57B1D" w:rsidP="00153FC9">
      <w:pPr>
        <w:shd w:val="clear" w:color="auto" w:fill="FFFFFF"/>
        <w:tabs>
          <w:tab w:val="left" w:pos="6521"/>
        </w:tabs>
        <w:spacing w:before="180" w:after="0"/>
        <w:jc w:val="both"/>
        <w:rPr>
          <w:rFonts w:ascii="Arial" w:eastAsia="Times New Roman" w:hAnsi="Arial" w:cs="Arial"/>
          <w:color w:val="244061"/>
          <w:sz w:val="20"/>
          <w:szCs w:val="20"/>
          <w:lang w:eastAsia="hr-HR"/>
        </w:rPr>
      </w:pPr>
      <w:r w:rsidRPr="00B57B1D">
        <w:rPr>
          <w:rFonts w:ascii="Arial" w:eastAsia="Times New Roman" w:hAnsi="Arial" w:cs="Arial"/>
          <w:color w:val="244061"/>
          <w:sz w:val="20"/>
          <w:szCs w:val="20"/>
          <w:lang w:eastAsia="hr-HR"/>
        </w:rPr>
        <w:t>Ukupan je prihod rastao sa 2</w:t>
      </w:r>
      <w:r w:rsidR="00E72151">
        <w:rPr>
          <w:rFonts w:ascii="Arial" w:eastAsia="Times New Roman" w:hAnsi="Arial" w:cs="Arial"/>
          <w:color w:val="244061"/>
          <w:sz w:val="20"/>
          <w:szCs w:val="20"/>
          <w:lang w:eastAsia="hr-HR"/>
        </w:rPr>
        <w:t>1</w:t>
      </w:r>
      <w:r w:rsidRPr="00B57B1D">
        <w:rPr>
          <w:rFonts w:ascii="Arial" w:eastAsia="Times New Roman" w:hAnsi="Arial" w:cs="Arial"/>
          <w:color w:val="244061"/>
          <w:sz w:val="20"/>
          <w:szCs w:val="20"/>
          <w:lang w:eastAsia="hr-HR"/>
        </w:rPr>
        <w:t>,</w:t>
      </w:r>
      <w:r w:rsidR="00E72151">
        <w:rPr>
          <w:rFonts w:ascii="Arial" w:eastAsia="Times New Roman" w:hAnsi="Arial" w:cs="Arial"/>
          <w:color w:val="244061"/>
          <w:sz w:val="20"/>
          <w:szCs w:val="20"/>
          <w:lang w:eastAsia="hr-HR"/>
        </w:rPr>
        <w:t>1</w:t>
      </w:r>
      <w:r w:rsidRPr="00B57B1D">
        <w:rPr>
          <w:rFonts w:ascii="Arial" w:eastAsia="Times New Roman" w:hAnsi="Arial" w:cs="Arial"/>
          <w:color w:val="244061"/>
          <w:sz w:val="20"/>
          <w:szCs w:val="20"/>
          <w:lang w:eastAsia="hr-HR"/>
        </w:rPr>
        <w:t xml:space="preserve"> milijard</w:t>
      </w:r>
      <w:r w:rsidR="00E72151">
        <w:rPr>
          <w:rFonts w:ascii="Arial" w:eastAsia="Times New Roman" w:hAnsi="Arial" w:cs="Arial"/>
          <w:color w:val="244061"/>
          <w:sz w:val="20"/>
          <w:szCs w:val="20"/>
          <w:lang w:eastAsia="hr-HR"/>
        </w:rPr>
        <w:t>u</w:t>
      </w:r>
      <w:r w:rsidRPr="00B57B1D">
        <w:rPr>
          <w:rFonts w:ascii="Arial" w:eastAsia="Times New Roman" w:hAnsi="Arial" w:cs="Arial"/>
          <w:color w:val="244061"/>
          <w:sz w:val="20"/>
          <w:szCs w:val="20"/>
          <w:lang w:eastAsia="hr-HR"/>
        </w:rPr>
        <w:t xml:space="preserve"> kuna, koliko je iznosio 2008. godine, na 2</w:t>
      </w:r>
      <w:r w:rsidR="00E72151">
        <w:rPr>
          <w:rFonts w:ascii="Arial" w:eastAsia="Times New Roman" w:hAnsi="Arial" w:cs="Arial"/>
          <w:color w:val="244061"/>
          <w:sz w:val="20"/>
          <w:szCs w:val="20"/>
          <w:lang w:eastAsia="hr-HR"/>
        </w:rPr>
        <w:t>6</w:t>
      </w:r>
      <w:r w:rsidRPr="00B57B1D">
        <w:rPr>
          <w:rFonts w:ascii="Arial" w:eastAsia="Times New Roman" w:hAnsi="Arial" w:cs="Arial"/>
          <w:color w:val="244061"/>
          <w:sz w:val="20"/>
          <w:szCs w:val="20"/>
          <w:lang w:eastAsia="hr-HR"/>
        </w:rPr>
        <w:t>,</w:t>
      </w:r>
      <w:r w:rsidR="00E72151">
        <w:rPr>
          <w:rFonts w:ascii="Arial" w:eastAsia="Times New Roman" w:hAnsi="Arial" w:cs="Arial"/>
          <w:color w:val="244061"/>
          <w:sz w:val="20"/>
          <w:szCs w:val="20"/>
          <w:lang w:eastAsia="hr-HR"/>
        </w:rPr>
        <w:t>9</w:t>
      </w:r>
      <w:r w:rsidRPr="00B57B1D">
        <w:rPr>
          <w:rFonts w:ascii="Arial" w:eastAsia="Times New Roman" w:hAnsi="Arial" w:cs="Arial"/>
          <w:color w:val="244061"/>
          <w:sz w:val="20"/>
          <w:szCs w:val="20"/>
          <w:lang w:eastAsia="hr-HR"/>
        </w:rPr>
        <w:t xml:space="preserve"> milijardi kuna, koliko je iznosio 2015. godine, što je rast prihoda tek nešto manji od </w:t>
      </w:r>
      <w:r w:rsidR="00E72151">
        <w:rPr>
          <w:rFonts w:ascii="Arial" w:eastAsia="Times New Roman" w:hAnsi="Arial" w:cs="Arial"/>
          <w:color w:val="244061"/>
          <w:sz w:val="20"/>
          <w:szCs w:val="20"/>
          <w:lang w:eastAsia="hr-HR"/>
        </w:rPr>
        <w:t>5,9</w:t>
      </w:r>
      <w:r w:rsidRPr="00B57B1D">
        <w:rPr>
          <w:rFonts w:ascii="Arial" w:eastAsia="Times New Roman" w:hAnsi="Arial" w:cs="Arial"/>
          <w:color w:val="244061"/>
          <w:sz w:val="20"/>
          <w:szCs w:val="20"/>
          <w:lang w:eastAsia="hr-HR"/>
        </w:rPr>
        <w:t xml:space="preserve"> milijardi kuna. Kroz promatrano razdoblje rashodi su također rasli, ali u bitno manjem iznosu, sa 20,8 milijardi kuna, na 23,5 milijardi kuna te je neto dobit </w:t>
      </w:r>
      <w:r w:rsidR="00EA2A8E" w:rsidRPr="00EA2A8E">
        <w:rPr>
          <w:rFonts w:ascii="Arial" w:eastAsia="Times New Roman" w:hAnsi="Arial" w:cs="Arial"/>
          <w:color w:val="244061"/>
          <w:sz w:val="20"/>
          <w:szCs w:val="20"/>
          <w:lang w:eastAsia="hr-HR"/>
        </w:rPr>
        <w:t>sa 215,5 milijuna kuna, koliko je iznosila 2008. godine, u 2015. godini porasla na 3,0 milijarde kuna.</w:t>
      </w:r>
    </w:p>
    <w:p w:rsidR="00DF6CB1" w:rsidRPr="00DF6CB1" w:rsidRDefault="00DF6CB1" w:rsidP="00726335">
      <w:pPr>
        <w:shd w:val="clear" w:color="auto" w:fill="FFFFFF"/>
        <w:tabs>
          <w:tab w:val="left" w:pos="1134"/>
          <w:tab w:val="left" w:pos="6521"/>
        </w:tabs>
        <w:spacing w:before="180" w:after="40" w:line="240" w:lineRule="auto"/>
        <w:ind w:left="1134" w:hanging="1134"/>
        <w:rPr>
          <w:rFonts w:ascii="Arial" w:eastAsia="Times New Roman" w:hAnsi="Arial" w:cs="Arial"/>
          <w:b/>
          <w:color w:val="244061"/>
          <w:sz w:val="18"/>
          <w:szCs w:val="18"/>
          <w:lang w:eastAsia="hr-HR"/>
        </w:rPr>
      </w:pPr>
      <w:r w:rsidRPr="00DF6CB1">
        <w:rPr>
          <w:rFonts w:ascii="Arial" w:eastAsia="Times New Roman" w:hAnsi="Arial" w:cs="Arial"/>
          <w:b/>
          <w:color w:val="244061"/>
          <w:sz w:val="18"/>
          <w:szCs w:val="18"/>
          <w:lang w:eastAsia="hr-HR"/>
        </w:rPr>
        <w:t>Grafikon 1.</w:t>
      </w:r>
      <w:r>
        <w:rPr>
          <w:rFonts w:ascii="Arial" w:eastAsia="Times New Roman" w:hAnsi="Arial" w:cs="Arial"/>
          <w:b/>
          <w:color w:val="244061"/>
          <w:sz w:val="18"/>
          <w:szCs w:val="18"/>
          <w:lang w:eastAsia="hr-HR"/>
        </w:rPr>
        <w:tab/>
      </w:r>
      <w:r w:rsidR="00726335">
        <w:rPr>
          <w:rFonts w:ascii="Arial" w:eastAsia="Times New Roman" w:hAnsi="Arial" w:cs="Arial"/>
          <w:b/>
          <w:color w:val="244061"/>
          <w:sz w:val="18"/>
          <w:szCs w:val="18"/>
          <w:lang w:eastAsia="hr-HR"/>
        </w:rPr>
        <w:t>Dobit razdoblja, gubitak razdoblja te neto dobit</w:t>
      </w:r>
      <w:r>
        <w:rPr>
          <w:rFonts w:ascii="Arial" w:eastAsia="Times New Roman" w:hAnsi="Arial" w:cs="Arial"/>
          <w:b/>
          <w:color w:val="244061"/>
          <w:sz w:val="18"/>
          <w:szCs w:val="18"/>
          <w:lang w:eastAsia="hr-HR"/>
        </w:rPr>
        <w:t xml:space="preserve"> poduzetnika u djelatnosti </w:t>
      </w:r>
      <w:r w:rsidRPr="00DF6CB1">
        <w:rPr>
          <w:rFonts w:ascii="Arial" w:eastAsia="Times New Roman" w:hAnsi="Arial" w:cs="Arial"/>
          <w:b/>
          <w:color w:val="244061"/>
          <w:sz w:val="18"/>
          <w:szCs w:val="18"/>
          <w:lang w:eastAsia="hr-HR"/>
        </w:rPr>
        <w:t xml:space="preserve">35.1 – Proizvodnja, prijenos i distribucija električne energije </w:t>
      </w:r>
      <w:r>
        <w:rPr>
          <w:rFonts w:ascii="Arial" w:eastAsia="Times New Roman" w:hAnsi="Arial" w:cs="Arial"/>
          <w:b/>
          <w:color w:val="244061"/>
          <w:sz w:val="18"/>
          <w:szCs w:val="18"/>
          <w:lang w:eastAsia="hr-HR"/>
        </w:rPr>
        <w:t xml:space="preserve">kroz </w:t>
      </w:r>
      <w:r w:rsidRPr="00DF6CB1">
        <w:rPr>
          <w:rFonts w:ascii="Arial" w:eastAsia="Times New Roman" w:hAnsi="Arial" w:cs="Arial"/>
          <w:b/>
          <w:color w:val="244061"/>
          <w:sz w:val="18"/>
          <w:szCs w:val="18"/>
          <w:lang w:eastAsia="hr-HR"/>
        </w:rPr>
        <w:t>razdoblje od 2008. do 2015. g</w:t>
      </w:r>
      <w:r w:rsidR="00726335">
        <w:rPr>
          <w:rFonts w:ascii="Arial" w:eastAsia="Times New Roman" w:hAnsi="Arial" w:cs="Arial"/>
          <w:b/>
          <w:color w:val="244061"/>
          <w:sz w:val="18"/>
          <w:szCs w:val="18"/>
          <w:lang w:eastAsia="hr-HR"/>
        </w:rPr>
        <w:t>odine</w:t>
      </w:r>
      <w:r w:rsidRPr="00DF6CB1">
        <w:rPr>
          <w:rFonts w:ascii="Arial" w:eastAsia="Times New Roman" w:hAnsi="Arial" w:cs="Arial"/>
          <w:b/>
          <w:color w:val="244061"/>
          <w:sz w:val="18"/>
          <w:szCs w:val="18"/>
          <w:lang w:eastAsia="hr-HR"/>
        </w:rPr>
        <w:tab/>
      </w:r>
    </w:p>
    <w:p w:rsidR="00DF6CB1" w:rsidRDefault="006E5F54" w:rsidP="00DF6CB1">
      <w:pPr>
        <w:shd w:val="clear" w:color="auto" w:fill="FFFFFF"/>
        <w:tabs>
          <w:tab w:val="left" w:pos="6521"/>
        </w:tabs>
        <w:spacing w:after="0" w:line="240" w:lineRule="auto"/>
        <w:jc w:val="both"/>
        <w:rPr>
          <w:noProof/>
          <w:lang w:eastAsia="hr-HR"/>
        </w:rPr>
      </w:pPr>
      <w:r>
        <w:rPr>
          <w:noProof/>
          <w:lang w:eastAsia="hr-HR"/>
        </w:rPr>
        <w:drawing>
          <wp:inline distT="0" distB="0" distL="0" distR="0" wp14:anchorId="0B4D44E1" wp14:editId="4C98D89E">
            <wp:extent cx="6192000" cy="2088000"/>
            <wp:effectExtent l="0" t="0" r="18415" b="266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2151" w:rsidRDefault="00E72151" w:rsidP="00E72151">
      <w:pPr>
        <w:widowControl w:val="0"/>
        <w:shd w:val="clear" w:color="auto" w:fill="FFFFFF"/>
        <w:tabs>
          <w:tab w:val="left" w:pos="6521"/>
        </w:tabs>
        <w:spacing w:before="40" w:after="0"/>
        <w:jc w:val="both"/>
        <w:rPr>
          <w:rFonts w:ascii="Arial" w:eastAsia="Times New Roman" w:hAnsi="Arial" w:cs="Arial"/>
          <w:color w:val="244061"/>
          <w:sz w:val="20"/>
          <w:szCs w:val="20"/>
          <w:lang w:eastAsia="hr-HR"/>
        </w:rPr>
      </w:pPr>
      <w:r w:rsidRPr="00B57B1D">
        <w:rPr>
          <w:rFonts w:ascii="Arial" w:hAnsi="Arial" w:cs="Arial"/>
          <w:i/>
          <w:color w:val="254061"/>
          <w:sz w:val="16"/>
          <w:szCs w:val="16"/>
        </w:rPr>
        <w:t>Izvor: Fina, Registar godišnjih financijskih izvještaja, obrada GFI-a za 2015. godinu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921"/>
      </w:tblGrid>
      <w:tr w:rsidR="005C03B5" w:rsidTr="006F2E2B">
        <w:trPr>
          <w:trHeight w:val="1509"/>
        </w:trPr>
        <w:tc>
          <w:tcPr>
            <w:tcW w:w="8046" w:type="dxa"/>
            <w:vMerge w:val="restart"/>
          </w:tcPr>
          <w:p w:rsidR="005C03B5" w:rsidRPr="00B57B1D" w:rsidRDefault="005C03B5" w:rsidP="005C03B5">
            <w:pPr>
              <w:pageBreakBefore/>
              <w:widowControl w:val="0"/>
              <w:shd w:val="clear" w:color="auto" w:fill="FFFFFF"/>
              <w:tabs>
                <w:tab w:val="left" w:pos="6521"/>
              </w:tabs>
              <w:spacing w:after="0"/>
              <w:jc w:val="both"/>
              <w:rPr>
                <w:rFonts w:ascii="Arial" w:eastAsia="Times New Roman" w:hAnsi="Arial" w:cs="Arial"/>
                <w:color w:val="244061"/>
                <w:sz w:val="20"/>
                <w:szCs w:val="20"/>
                <w:lang w:eastAsia="hr-HR"/>
              </w:rPr>
            </w:pPr>
            <w:r w:rsidRPr="00B57B1D">
              <w:rPr>
                <w:rFonts w:ascii="Arial" w:eastAsia="Times New Roman" w:hAnsi="Arial" w:cs="Arial"/>
                <w:color w:val="244061"/>
                <w:sz w:val="20"/>
                <w:szCs w:val="20"/>
                <w:lang w:eastAsia="hr-HR"/>
              </w:rPr>
              <w:lastRenderedPageBreak/>
              <w:t xml:space="preserve">Trgovinski saldo kroz cijelo navedeno razdoblje bio je negativan jer je uvoz svake od prezentiranih godina bio veći od izvoza. Najveća je razlika bila 2011. i 2012. godine, kada je razlika između izvoza i uvoza iznosila 4,3 i 4,4 milijarde kuna, koliko je uvoz bio veći od izvoza. Naredne, 2013. godine, taj je minus u trgovinskom saldu smanjen na 2,2 milijarde kuna, 2014. godine minus je najmanji u promatranom razdoblju te je iznosio 1,6 milijardi kuna, dok je u 2015. godini negativni trgovinski saldo iznosio 2,7 milijardi kuna (tablica </w:t>
            </w:r>
            <w:r>
              <w:rPr>
                <w:rFonts w:ascii="Arial" w:eastAsia="Times New Roman" w:hAnsi="Arial" w:cs="Arial"/>
                <w:color w:val="244061"/>
                <w:sz w:val="20"/>
                <w:szCs w:val="20"/>
                <w:lang w:eastAsia="hr-HR"/>
              </w:rPr>
              <w:t>2</w:t>
            </w:r>
            <w:r w:rsidRPr="00B57B1D">
              <w:rPr>
                <w:rFonts w:ascii="Arial" w:eastAsia="Times New Roman" w:hAnsi="Arial" w:cs="Arial"/>
                <w:color w:val="244061"/>
                <w:sz w:val="20"/>
                <w:szCs w:val="20"/>
                <w:lang w:eastAsia="hr-HR"/>
              </w:rPr>
              <w:t>).</w:t>
            </w:r>
          </w:p>
          <w:p w:rsidR="005C03B5" w:rsidRDefault="005C03B5" w:rsidP="005C03B5">
            <w:pPr>
              <w:widowControl w:val="0"/>
              <w:shd w:val="clear" w:color="auto" w:fill="FFFFFF"/>
              <w:tabs>
                <w:tab w:val="left" w:pos="6521"/>
              </w:tabs>
              <w:spacing w:before="120" w:after="0"/>
              <w:jc w:val="both"/>
              <w:rPr>
                <w:rFonts w:ascii="Arial" w:eastAsia="Times New Roman" w:hAnsi="Arial" w:cs="Arial"/>
                <w:color w:val="244061"/>
                <w:sz w:val="20"/>
                <w:szCs w:val="20"/>
                <w:lang w:eastAsia="hr-HR"/>
              </w:rPr>
            </w:pPr>
            <w:r w:rsidRPr="00B57B1D">
              <w:rPr>
                <w:rFonts w:ascii="Arial" w:eastAsia="Times New Roman" w:hAnsi="Arial" w:cs="Arial"/>
                <w:color w:val="244061"/>
                <w:sz w:val="20"/>
                <w:szCs w:val="20"/>
                <w:lang w:eastAsia="hr-HR"/>
              </w:rPr>
              <w:t>Prosječna mjesečna neto plaća porasla je sa 6.386 kuna, koliko je iznosila u 2008. godini, na 7.445 kuna, koliko je iznosila u 2015. godini. To je rast plaće od 16,6 %. Najveća je prosječna mjesečna plaća obračunana 2014. godine, kada je iznosila 7.876 kuna.</w:t>
            </w:r>
          </w:p>
        </w:tc>
        <w:tc>
          <w:tcPr>
            <w:tcW w:w="1921" w:type="dxa"/>
            <w:tcBorders>
              <w:bottom w:val="single" w:sz="18" w:space="0" w:color="244061" w:themeColor="accent1" w:themeShade="80"/>
            </w:tcBorders>
            <w:vAlign w:val="center"/>
          </w:tcPr>
          <w:p w:rsidR="006F2E2B" w:rsidRPr="006F2E2B" w:rsidRDefault="006F2E2B" w:rsidP="006F2E2B">
            <w:pPr>
              <w:widowControl w:val="0"/>
              <w:tabs>
                <w:tab w:val="left" w:pos="6521"/>
              </w:tabs>
              <w:spacing w:after="0" w:line="240" w:lineRule="auto"/>
              <w:jc w:val="center"/>
              <w:rPr>
                <w:rFonts w:asciiTheme="minorHAnsi" w:eastAsia="Times New Roman" w:hAnsiTheme="minorHAnsi" w:cs="Arial"/>
                <w:b/>
                <w:color w:val="244061"/>
                <w:sz w:val="20"/>
                <w:szCs w:val="20"/>
                <w:lang w:eastAsia="hr-HR"/>
              </w:rPr>
            </w:pPr>
            <w:r w:rsidRPr="006F2E2B">
              <w:rPr>
                <w:rFonts w:asciiTheme="minorHAnsi" w:eastAsia="Times New Roman" w:hAnsiTheme="minorHAnsi" w:cs="Arial"/>
                <w:b/>
                <w:color w:val="244061"/>
                <w:sz w:val="20"/>
                <w:szCs w:val="20"/>
                <w:lang w:eastAsia="hr-HR"/>
              </w:rPr>
              <w:t>TRGOVINSKI SALDO</w:t>
            </w:r>
          </w:p>
          <w:p w:rsidR="006F2E2B" w:rsidRPr="006F2E2B" w:rsidRDefault="006F2E2B" w:rsidP="006F2E2B">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6F2E2B">
              <w:rPr>
                <w:rFonts w:asciiTheme="minorHAnsi" w:eastAsia="Times New Roman" w:hAnsiTheme="minorHAnsi" w:cs="Arial"/>
                <w:color w:val="244061"/>
                <w:sz w:val="20"/>
                <w:szCs w:val="20"/>
                <w:lang w:eastAsia="hr-HR"/>
              </w:rPr>
              <w:t xml:space="preserve">u 2015. godini </w:t>
            </w:r>
          </w:p>
          <w:p w:rsidR="006F2E2B" w:rsidRPr="006F2E2B" w:rsidRDefault="006E07AA" w:rsidP="006F2E2B">
            <w:pPr>
              <w:widowControl w:val="0"/>
              <w:tabs>
                <w:tab w:val="left" w:pos="6521"/>
              </w:tabs>
              <w:spacing w:after="0" w:line="240" w:lineRule="auto"/>
              <w:jc w:val="center"/>
              <w:rPr>
                <w:rFonts w:asciiTheme="minorHAnsi" w:eastAsia="Times New Roman" w:hAnsiTheme="minorHAnsi" w:cs="Arial"/>
                <w:b/>
                <w:color w:val="244061"/>
                <w:sz w:val="40"/>
                <w:szCs w:val="40"/>
                <w:lang w:eastAsia="hr-HR"/>
              </w:rPr>
            </w:pPr>
            <w:r>
              <w:rPr>
                <w:rFonts w:asciiTheme="minorHAnsi" w:eastAsia="Times New Roman" w:hAnsiTheme="minorHAnsi" w:cs="Arial"/>
                <w:b/>
                <w:color w:val="244061"/>
                <w:sz w:val="40"/>
                <w:szCs w:val="40"/>
                <w:lang w:eastAsia="hr-HR"/>
              </w:rPr>
              <w:t>-</w:t>
            </w:r>
            <w:r w:rsidR="006F2E2B" w:rsidRPr="006F2E2B">
              <w:rPr>
                <w:rFonts w:asciiTheme="minorHAnsi" w:eastAsia="Times New Roman" w:hAnsiTheme="minorHAnsi" w:cs="Arial"/>
                <w:b/>
                <w:color w:val="244061"/>
                <w:sz w:val="40"/>
                <w:szCs w:val="40"/>
                <w:lang w:eastAsia="hr-HR"/>
              </w:rPr>
              <w:t>2,2</w:t>
            </w:r>
          </w:p>
          <w:p w:rsidR="006F2E2B" w:rsidRPr="006F2E2B" w:rsidRDefault="006F2E2B" w:rsidP="006F2E2B">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6F2E2B">
              <w:rPr>
                <w:rFonts w:asciiTheme="minorHAnsi" w:eastAsia="Times New Roman" w:hAnsiTheme="minorHAnsi" w:cs="Arial"/>
                <w:color w:val="244061"/>
                <w:sz w:val="20"/>
                <w:szCs w:val="20"/>
                <w:lang w:eastAsia="hr-HR"/>
              </w:rPr>
              <w:t>milijarde kuna</w:t>
            </w:r>
          </w:p>
        </w:tc>
      </w:tr>
      <w:tr w:rsidR="005C03B5" w:rsidTr="006F2E2B">
        <w:trPr>
          <w:trHeight w:val="1510"/>
        </w:trPr>
        <w:tc>
          <w:tcPr>
            <w:tcW w:w="8046" w:type="dxa"/>
            <w:vMerge/>
          </w:tcPr>
          <w:p w:rsidR="005C03B5" w:rsidRPr="00B57B1D" w:rsidRDefault="005C03B5" w:rsidP="005C03B5">
            <w:pPr>
              <w:widowControl w:val="0"/>
              <w:shd w:val="clear" w:color="auto" w:fill="FFFFFF"/>
              <w:tabs>
                <w:tab w:val="left" w:pos="6521"/>
              </w:tabs>
              <w:spacing w:after="0"/>
              <w:jc w:val="both"/>
              <w:rPr>
                <w:rFonts w:ascii="Arial" w:eastAsia="Times New Roman" w:hAnsi="Arial" w:cs="Arial"/>
                <w:color w:val="244061"/>
                <w:sz w:val="20"/>
                <w:szCs w:val="20"/>
                <w:lang w:eastAsia="hr-HR"/>
              </w:rPr>
            </w:pPr>
          </w:p>
        </w:tc>
        <w:tc>
          <w:tcPr>
            <w:tcW w:w="1921" w:type="dxa"/>
            <w:tcBorders>
              <w:top w:val="single" w:sz="18" w:space="0" w:color="244061" w:themeColor="accent1" w:themeShade="80"/>
            </w:tcBorders>
            <w:vAlign w:val="center"/>
          </w:tcPr>
          <w:p w:rsidR="006F2E2B" w:rsidRDefault="006F2E2B" w:rsidP="006F2E2B">
            <w:pPr>
              <w:widowControl w:val="0"/>
              <w:tabs>
                <w:tab w:val="left" w:pos="6521"/>
              </w:tabs>
              <w:spacing w:after="0" w:line="240" w:lineRule="auto"/>
              <w:jc w:val="center"/>
              <w:rPr>
                <w:color w:val="244061" w:themeColor="accent1" w:themeShade="80"/>
                <w:sz w:val="20"/>
                <w:szCs w:val="20"/>
              </w:rPr>
            </w:pPr>
            <w:r w:rsidRPr="006F2E2B">
              <w:rPr>
                <w:rFonts w:asciiTheme="minorHAnsi" w:eastAsia="Times New Roman" w:hAnsiTheme="minorHAnsi" w:cs="Arial"/>
                <w:b/>
                <w:color w:val="244061" w:themeColor="accent1" w:themeShade="80"/>
                <w:sz w:val="40"/>
                <w:szCs w:val="40"/>
                <w:lang w:eastAsia="hr-HR"/>
              </w:rPr>
              <w:t>16,6 %</w:t>
            </w:r>
          </w:p>
          <w:p w:rsidR="005C03B5" w:rsidRPr="006F2E2B" w:rsidRDefault="006F2E2B" w:rsidP="006F2E2B">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6F2E2B">
              <w:rPr>
                <w:color w:val="244061" w:themeColor="accent1" w:themeShade="80"/>
                <w:sz w:val="20"/>
                <w:szCs w:val="20"/>
              </w:rPr>
              <w:t xml:space="preserve">Rast </w:t>
            </w:r>
            <w:r w:rsidRPr="006F2E2B">
              <w:rPr>
                <w:b/>
                <w:color w:val="244061" w:themeColor="accent1" w:themeShade="80"/>
                <w:sz w:val="20"/>
                <w:szCs w:val="20"/>
              </w:rPr>
              <w:t>prosječne mjesečne neto plaće</w:t>
            </w:r>
            <w:r w:rsidRPr="006F2E2B">
              <w:rPr>
                <w:color w:val="244061" w:themeColor="accent1" w:themeShade="80"/>
                <w:sz w:val="20"/>
                <w:szCs w:val="20"/>
              </w:rPr>
              <w:t xml:space="preserve"> u 2015. u odnosu na 2008. godinu</w:t>
            </w:r>
          </w:p>
        </w:tc>
      </w:tr>
    </w:tbl>
    <w:p w:rsidR="00B57B1D" w:rsidRPr="00B57B1D" w:rsidRDefault="00B57B1D" w:rsidP="000E1796">
      <w:pPr>
        <w:widowControl w:val="0"/>
        <w:tabs>
          <w:tab w:val="left" w:pos="1134"/>
          <w:tab w:val="left" w:pos="7797"/>
        </w:tabs>
        <w:spacing w:before="180" w:after="40" w:line="240" w:lineRule="auto"/>
        <w:ind w:left="1134" w:hanging="1134"/>
        <w:rPr>
          <w:rFonts w:ascii="Arial" w:eastAsia="Times New Roman" w:hAnsi="Arial" w:cs="Arial"/>
          <w:color w:val="244061"/>
          <w:sz w:val="16"/>
          <w:szCs w:val="19"/>
          <w:lang w:eastAsia="hr-HR"/>
        </w:rPr>
      </w:pPr>
      <w:r w:rsidRPr="00B57B1D">
        <w:rPr>
          <w:rFonts w:ascii="Arial" w:eastAsia="Times New Roman" w:hAnsi="Arial" w:cs="Arial"/>
          <w:b/>
          <w:color w:val="244061"/>
          <w:sz w:val="18"/>
          <w:szCs w:val="18"/>
          <w:lang w:eastAsia="hr-HR"/>
        </w:rPr>
        <w:t xml:space="preserve">Tablica </w:t>
      </w:r>
      <w:r w:rsidR="009819C0">
        <w:rPr>
          <w:rFonts w:ascii="Arial" w:eastAsia="Times New Roman" w:hAnsi="Arial" w:cs="Arial"/>
          <w:b/>
          <w:color w:val="244061"/>
          <w:sz w:val="18"/>
          <w:szCs w:val="18"/>
          <w:lang w:eastAsia="hr-HR"/>
        </w:rPr>
        <w:t>2</w:t>
      </w:r>
      <w:r w:rsidRPr="00B57B1D">
        <w:rPr>
          <w:rFonts w:ascii="Arial" w:eastAsia="Times New Roman" w:hAnsi="Arial" w:cs="Arial"/>
          <w:b/>
          <w:color w:val="244061"/>
          <w:sz w:val="18"/>
          <w:szCs w:val="18"/>
          <w:lang w:eastAsia="hr-HR"/>
        </w:rPr>
        <w:t>.</w:t>
      </w:r>
      <w:r w:rsidRPr="00B57B1D">
        <w:rPr>
          <w:rFonts w:ascii="Arial" w:eastAsia="Times New Roman" w:hAnsi="Arial" w:cs="Arial"/>
          <w:b/>
          <w:color w:val="244061"/>
          <w:sz w:val="18"/>
          <w:szCs w:val="18"/>
          <w:lang w:eastAsia="hr-HR"/>
        </w:rPr>
        <w:tab/>
        <w:t>Top 10 poduzetnika prema ukupnom prihodu u 2015. godini u skupini djelatnosti 35.1 – Proizvodnja, prijenos i distribucija električne energije</w:t>
      </w:r>
      <w:r w:rsidRPr="00B57B1D">
        <w:rPr>
          <w:rFonts w:ascii="Arial" w:eastAsia="Times New Roman" w:hAnsi="Arial" w:cs="Arial"/>
          <w:color w:val="244061"/>
          <w:sz w:val="19"/>
          <w:szCs w:val="19"/>
          <w:lang w:eastAsia="hr-HR"/>
        </w:rPr>
        <w:t xml:space="preserve"> </w:t>
      </w:r>
      <w:r w:rsidRPr="00B57B1D">
        <w:rPr>
          <w:rFonts w:ascii="Arial" w:eastAsia="Times New Roman" w:hAnsi="Arial" w:cs="Arial"/>
          <w:color w:val="244061"/>
          <w:sz w:val="19"/>
          <w:szCs w:val="19"/>
          <w:lang w:eastAsia="hr-HR"/>
        </w:rPr>
        <w:tab/>
      </w:r>
      <w:r w:rsidRPr="00B57B1D">
        <w:rPr>
          <w:rFonts w:ascii="Arial" w:eastAsia="Times New Roman" w:hAnsi="Arial" w:cs="Arial"/>
          <w:color w:val="244061"/>
          <w:sz w:val="16"/>
          <w:szCs w:val="19"/>
          <w:lang w:eastAsia="hr-HR"/>
        </w:rPr>
        <w:t>(iznosi u tisućama kuna)</w:t>
      </w:r>
    </w:p>
    <w:tbl>
      <w:tblPr>
        <w:tblW w:w="967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2"/>
        <w:gridCol w:w="642"/>
        <w:gridCol w:w="4082"/>
        <w:gridCol w:w="1041"/>
        <w:gridCol w:w="1117"/>
        <w:gridCol w:w="1134"/>
        <w:gridCol w:w="1017"/>
      </w:tblGrid>
      <w:tr w:rsidR="00B57B1D" w:rsidRPr="00B57B1D" w:rsidTr="002C4C09">
        <w:trPr>
          <w:trHeight w:val="624"/>
          <w:tblHeader/>
          <w:jc w:val="center"/>
        </w:trPr>
        <w:tc>
          <w:tcPr>
            <w:tcW w:w="642" w:type="dxa"/>
            <w:shd w:val="clear" w:color="000000" w:fill="365F91"/>
            <w:vAlign w:val="center"/>
            <w:hideMark/>
          </w:tcPr>
          <w:p w:rsidR="00B57B1D" w:rsidRPr="003C08F8" w:rsidRDefault="00B57B1D" w:rsidP="00B57B1D">
            <w:pPr>
              <w:spacing w:after="0" w:line="240" w:lineRule="auto"/>
              <w:jc w:val="center"/>
              <w:rPr>
                <w:rFonts w:ascii="Arial" w:eastAsia="Times New Roman" w:hAnsi="Arial" w:cs="Arial"/>
                <w:b/>
                <w:bCs/>
                <w:color w:val="FFFFFF"/>
                <w:sz w:val="16"/>
                <w:szCs w:val="16"/>
                <w:lang w:eastAsia="hr-HR"/>
              </w:rPr>
            </w:pPr>
            <w:r w:rsidRPr="003C08F8">
              <w:rPr>
                <w:rFonts w:ascii="Arial" w:eastAsia="Times New Roman" w:hAnsi="Arial" w:cs="Arial"/>
                <w:b/>
                <w:bCs/>
                <w:color w:val="FFFFFF"/>
                <w:sz w:val="16"/>
                <w:szCs w:val="16"/>
                <w:lang w:eastAsia="hr-HR"/>
              </w:rPr>
              <w:t>Rang 2015.</w:t>
            </w:r>
          </w:p>
        </w:tc>
        <w:tc>
          <w:tcPr>
            <w:tcW w:w="642" w:type="dxa"/>
            <w:shd w:val="clear" w:color="auto" w:fill="808080"/>
            <w:vAlign w:val="center"/>
            <w:hideMark/>
          </w:tcPr>
          <w:p w:rsidR="00B57B1D" w:rsidRPr="003C08F8" w:rsidRDefault="00B57B1D" w:rsidP="00B57B1D">
            <w:pPr>
              <w:spacing w:after="0" w:line="240" w:lineRule="auto"/>
              <w:jc w:val="center"/>
              <w:rPr>
                <w:rFonts w:ascii="Arial" w:eastAsia="Times New Roman" w:hAnsi="Arial" w:cs="Arial"/>
                <w:b/>
                <w:bCs/>
                <w:color w:val="FFFFFF"/>
                <w:sz w:val="16"/>
                <w:szCs w:val="16"/>
                <w:lang w:eastAsia="hr-HR"/>
              </w:rPr>
            </w:pPr>
            <w:r w:rsidRPr="003C08F8">
              <w:rPr>
                <w:rFonts w:ascii="Arial" w:eastAsia="Times New Roman" w:hAnsi="Arial" w:cs="Arial"/>
                <w:b/>
                <w:bCs/>
                <w:color w:val="FFFFFF"/>
                <w:sz w:val="16"/>
                <w:szCs w:val="16"/>
                <w:lang w:eastAsia="hr-HR"/>
              </w:rPr>
              <w:t>Rang 2008.</w:t>
            </w:r>
          </w:p>
        </w:tc>
        <w:tc>
          <w:tcPr>
            <w:tcW w:w="4082" w:type="dxa"/>
            <w:shd w:val="clear" w:color="000000" w:fill="365F91"/>
            <w:vAlign w:val="center"/>
          </w:tcPr>
          <w:p w:rsidR="00B57B1D" w:rsidRPr="00B57B1D" w:rsidRDefault="00B57B1D" w:rsidP="00B57B1D">
            <w:pPr>
              <w:spacing w:after="0" w:line="240" w:lineRule="auto"/>
              <w:jc w:val="center"/>
              <w:rPr>
                <w:rFonts w:ascii="Arial" w:eastAsia="Times New Roman" w:hAnsi="Arial" w:cs="Arial"/>
                <w:b/>
                <w:bCs/>
                <w:color w:val="FFFFFF"/>
                <w:sz w:val="17"/>
                <w:szCs w:val="17"/>
                <w:lang w:eastAsia="hr-HR"/>
              </w:rPr>
            </w:pPr>
            <w:r w:rsidRPr="00B57B1D">
              <w:rPr>
                <w:rFonts w:ascii="Arial" w:eastAsia="Times New Roman" w:hAnsi="Arial" w:cs="Arial"/>
                <w:b/>
                <w:bCs/>
                <w:color w:val="FFFFFF"/>
                <w:sz w:val="17"/>
                <w:szCs w:val="17"/>
                <w:lang w:eastAsia="hr-HR"/>
              </w:rPr>
              <w:t>Naziv poduzetnika</w:t>
            </w:r>
          </w:p>
        </w:tc>
        <w:tc>
          <w:tcPr>
            <w:tcW w:w="1041" w:type="dxa"/>
            <w:shd w:val="clear" w:color="000000" w:fill="365F91"/>
            <w:vAlign w:val="center"/>
            <w:hideMark/>
          </w:tcPr>
          <w:p w:rsidR="00B57B1D" w:rsidRPr="00B57B1D" w:rsidRDefault="00B57B1D" w:rsidP="00B57B1D">
            <w:pPr>
              <w:spacing w:after="0" w:line="240" w:lineRule="auto"/>
              <w:jc w:val="center"/>
              <w:rPr>
                <w:rFonts w:ascii="Arial" w:eastAsia="Times New Roman" w:hAnsi="Arial" w:cs="Arial"/>
                <w:b/>
                <w:bCs/>
                <w:color w:val="FFFFFF"/>
                <w:sz w:val="17"/>
                <w:szCs w:val="17"/>
                <w:lang w:eastAsia="hr-HR"/>
              </w:rPr>
            </w:pPr>
            <w:r w:rsidRPr="00B57B1D">
              <w:rPr>
                <w:rFonts w:ascii="Arial" w:eastAsia="Times New Roman" w:hAnsi="Arial" w:cs="Arial"/>
                <w:b/>
                <w:bCs/>
                <w:color w:val="FFFFFF"/>
                <w:sz w:val="17"/>
                <w:szCs w:val="17"/>
                <w:lang w:eastAsia="hr-HR"/>
              </w:rPr>
              <w:t>Oblik vlasništva</w:t>
            </w:r>
          </w:p>
        </w:tc>
        <w:tc>
          <w:tcPr>
            <w:tcW w:w="1117" w:type="dxa"/>
            <w:shd w:val="clear" w:color="000000" w:fill="365F91"/>
            <w:vAlign w:val="center"/>
            <w:hideMark/>
          </w:tcPr>
          <w:p w:rsidR="00B57B1D" w:rsidRPr="00B57B1D" w:rsidRDefault="00B57B1D" w:rsidP="00B57B1D">
            <w:pPr>
              <w:spacing w:after="0" w:line="240" w:lineRule="auto"/>
              <w:jc w:val="center"/>
              <w:rPr>
                <w:rFonts w:ascii="Arial" w:eastAsia="Times New Roman" w:hAnsi="Arial" w:cs="Arial"/>
                <w:b/>
                <w:bCs/>
                <w:color w:val="FFFFFF"/>
                <w:sz w:val="17"/>
                <w:szCs w:val="17"/>
                <w:lang w:eastAsia="hr-HR"/>
              </w:rPr>
            </w:pPr>
            <w:r w:rsidRPr="00B57B1D">
              <w:rPr>
                <w:rFonts w:ascii="Arial" w:eastAsia="Times New Roman" w:hAnsi="Arial" w:cs="Arial"/>
                <w:b/>
                <w:bCs/>
                <w:color w:val="FFFFFF"/>
                <w:sz w:val="17"/>
                <w:szCs w:val="17"/>
                <w:lang w:eastAsia="hr-HR"/>
              </w:rPr>
              <w:t>Ukupan prihod</w:t>
            </w:r>
          </w:p>
        </w:tc>
        <w:tc>
          <w:tcPr>
            <w:tcW w:w="1134" w:type="dxa"/>
            <w:tcBorders>
              <w:right w:val="single" w:sz="4" w:space="0" w:color="FFFFFF"/>
            </w:tcBorders>
            <w:shd w:val="clear" w:color="000000" w:fill="365F91"/>
            <w:vAlign w:val="center"/>
            <w:hideMark/>
          </w:tcPr>
          <w:p w:rsidR="00B57B1D" w:rsidRPr="00B57B1D" w:rsidRDefault="00B57B1D" w:rsidP="00B57B1D">
            <w:pPr>
              <w:spacing w:after="0" w:line="240" w:lineRule="auto"/>
              <w:jc w:val="center"/>
              <w:rPr>
                <w:rFonts w:ascii="Arial" w:eastAsia="Times New Roman" w:hAnsi="Arial" w:cs="Arial"/>
                <w:b/>
                <w:bCs/>
                <w:color w:val="FFFFFF"/>
                <w:sz w:val="16"/>
                <w:szCs w:val="16"/>
                <w:lang w:eastAsia="hr-HR"/>
              </w:rPr>
            </w:pPr>
            <w:r w:rsidRPr="00B57B1D">
              <w:rPr>
                <w:rFonts w:ascii="Arial" w:eastAsia="Times New Roman" w:hAnsi="Arial" w:cs="Arial"/>
                <w:b/>
                <w:bCs/>
                <w:color w:val="FFFFFF"/>
                <w:sz w:val="16"/>
                <w:szCs w:val="16"/>
                <w:lang w:eastAsia="hr-HR"/>
              </w:rPr>
              <w:t>Dobit ili gubitak razdoblja</w:t>
            </w:r>
          </w:p>
        </w:tc>
        <w:tc>
          <w:tcPr>
            <w:tcW w:w="1017" w:type="dxa"/>
            <w:tcBorders>
              <w:top w:val="single" w:sz="4" w:space="0" w:color="FFFFFF"/>
              <w:left w:val="single" w:sz="4" w:space="0" w:color="FFFFFF"/>
              <w:bottom w:val="single" w:sz="4" w:space="0" w:color="FFFFFF"/>
              <w:right w:val="single" w:sz="4" w:space="0" w:color="FFFFFF"/>
            </w:tcBorders>
            <w:shd w:val="clear" w:color="000000" w:fill="365F91"/>
            <w:vAlign w:val="center"/>
            <w:hideMark/>
          </w:tcPr>
          <w:p w:rsidR="00B57B1D" w:rsidRPr="00B57B1D" w:rsidRDefault="00B57B1D" w:rsidP="00B57B1D">
            <w:pPr>
              <w:spacing w:after="0" w:line="240" w:lineRule="auto"/>
              <w:jc w:val="center"/>
              <w:rPr>
                <w:rFonts w:ascii="Arial" w:eastAsia="Times New Roman" w:hAnsi="Arial" w:cs="Arial"/>
                <w:b/>
                <w:bCs/>
                <w:color w:val="FFFFFF"/>
                <w:sz w:val="17"/>
                <w:szCs w:val="17"/>
                <w:lang w:eastAsia="hr-HR"/>
              </w:rPr>
            </w:pPr>
            <w:r w:rsidRPr="00B57B1D">
              <w:rPr>
                <w:rFonts w:ascii="Arial" w:eastAsia="Times New Roman" w:hAnsi="Arial" w:cs="Arial"/>
                <w:b/>
                <w:bCs/>
                <w:color w:val="FFFFFF"/>
                <w:sz w:val="17"/>
                <w:szCs w:val="17"/>
                <w:lang w:eastAsia="hr-HR"/>
              </w:rPr>
              <w:t>Uvoz</w:t>
            </w:r>
          </w:p>
        </w:tc>
      </w:tr>
      <w:tr w:rsidR="00B57B1D" w:rsidRPr="00B57B1D" w:rsidTr="002C4C09">
        <w:trPr>
          <w:trHeight w:hRule="exact" w:val="283"/>
          <w:jc w:val="center"/>
        </w:trPr>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w:t>
            </w:r>
          </w:p>
        </w:tc>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1.</w:t>
            </w:r>
          </w:p>
        </w:tc>
        <w:tc>
          <w:tcPr>
            <w:tcW w:w="408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890097" w:rsidRDefault="001B67A7" w:rsidP="00B57B1D">
            <w:pPr>
              <w:spacing w:after="0" w:line="240" w:lineRule="auto"/>
              <w:rPr>
                <w:rFonts w:ascii="Arial" w:eastAsia="Times New Roman" w:hAnsi="Arial" w:cs="Arial"/>
                <w:color w:val="244061"/>
                <w:sz w:val="18"/>
                <w:szCs w:val="18"/>
                <w:lang w:eastAsia="hr-HR"/>
              </w:rPr>
            </w:pPr>
            <w:hyperlink r:id="rId10" w:history="1">
              <w:r w:rsidR="00B57B1D" w:rsidRPr="00890097">
                <w:rPr>
                  <w:rStyle w:val="Hyperlink"/>
                  <w:rFonts w:ascii="Arial" w:eastAsia="Times New Roman" w:hAnsi="Arial" w:cs="Arial"/>
                  <w:sz w:val="18"/>
                  <w:szCs w:val="18"/>
                  <w:lang w:eastAsia="hr-HR"/>
                </w:rPr>
                <w:t>HEP d.d.</w:t>
              </w:r>
            </w:hyperlink>
          </w:p>
        </w:tc>
        <w:tc>
          <w:tcPr>
            <w:tcW w:w="1041"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9.529.315</w:t>
            </w:r>
          </w:p>
        </w:tc>
        <w:tc>
          <w:tcPr>
            <w:tcW w:w="1134"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1.739.787</w:t>
            </w:r>
          </w:p>
        </w:tc>
        <w:tc>
          <w:tcPr>
            <w:tcW w:w="1017" w:type="dxa"/>
            <w:tcBorders>
              <w:top w:val="single" w:sz="4" w:space="0" w:color="FFFFF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2.405.619</w:t>
            </w:r>
          </w:p>
        </w:tc>
      </w:tr>
      <w:tr w:rsidR="00B57B1D" w:rsidRPr="00B57B1D" w:rsidTr="002C4C09">
        <w:trPr>
          <w:trHeight w:hRule="exact" w:val="283"/>
          <w:jc w:val="center"/>
        </w:trPr>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2.</w:t>
            </w:r>
          </w:p>
        </w:tc>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w:t>
            </w:r>
          </w:p>
        </w:tc>
        <w:tc>
          <w:tcPr>
            <w:tcW w:w="408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890097" w:rsidRDefault="00EE604C" w:rsidP="00B57B1D">
            <w:pPr>
              <w:spacing w:after="0" w:line="240" w:lineRule="auto"/>
              <w:rPr>
                <w:rFonts w:ascii="Arial" w:eastAsia="Times New Roman" w:hAnsi="Arial" w:cs="Arial"/>
                <w:color w:val="244061"/>
                <w:sz w:val="18"/>
                <w:szCs w:val="18"/>
                <w:lang w:eastAsia="hr-HR"/>
              </w:rPr>
            </w:pPr>
            <w:hyperlink r:id="rId11" w:history="1">
              <w:r w:rsidR="00B57B1D" w:rsidRPr="00EE604C">
                <w:rPr>
                  <w:rStyle w:val="Hyperlink"/>
                  <w:rFonts w:ascii="Arial" w:eastAsia="Times New Roman" w:hAnsi="Arial" w:cs="Arial"/>
                  <w:sz w:val="18"/>
                  <w:szCs w:val="18"/>
                  <w:lang w:eastAsia="hr-HR"/>
                </w:rPr>
                <w:t>HEP-Operator distribucijskog sustava d.o.o.</w:t>
              </w:r>
            </w:hyperlink>
          </w:p>
        </w:tc>
        <w:tc>
          <w:tcPr>
            <w:tcW w:w="1041"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7.018.390</w:t>
            </w:r>
          </w:p>
        </w:tc>
        <w:tc>
          <w:tcPr>
            <w:tcW w:w="1134"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725.199</w:t>
            </w:r>
          </w:p>
        </w:tc>
        <w:tc>
          <w:tcPr>
            <w:tcW w:w="101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0</w:t>
            </w:r>
          </w:p>
        </w:tc>
      </w:tr>
      <w:tr w:rsidR="00B57B1D" w:rsidRPr="00B57B1D" w:rsidTr="002C4C09">
        <w:trPr>
          <w:trHeight w:hRule="exact" w:val="283"/>
          <w:jc w:val="center"/>
        </w:trPr>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w:t>
            </w:r>
          </w:p>
        </w:tc>
        <w:tc>
          <w:tcPr>
            <w:tcW w:w="64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2.</w:t>
            </w:r>
          </w:p>
        </w:tc>
        <w:tc>
          <w:tcPr>
            <w:tcW w:w="4082"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B57B1D" w:rsidRPr="00890097" w:rsidRDefault="001B67A7" w:rsidP="00B57B1D">
            <w:pPr>
              <w:spacing w:after="0" w:line="240" w:lineRule="auto"/>
              <w:rPr>
                <w:rFonts w:ascii="Arial" w:eastAsia="Times New Roman" w:hAnsi="Arial" w:cs="Arial"/>
                <w:color w:val="1F497D" w:themeColor="text2"/>
                <w:sz w:val="18"/>
                <w:szCs w:val="18"/>
                <w:lang w:eastAsia="hr-HR"/>
              </w:rPr>
            </w:pPr>
            <w:hyperlink r:id="rId12" w:history="1">
              <w:r w:rsidR="00B57B1D" w:rsidRPr="00890097">
                <w:rPr>
                  <w:rStyle w:val="Hyperlink"/>
                  <w:rFonts w:ascii="Arial" w:eastAsia="Times New Roman" w:hAnsi="Arial" w:cs="Arial"/>
                  <w:sz w:val="18"/>
                  <w:szCs w:val="18"/>
                  <w:lang w:eastAsia="hr-HR"/>
                </w:rPr>
                <w:t>HEP-Proizvodnja d.o.o.</w:t>
              </w:r>
            </w:hyperlink>
          </w:p>
        </w:tc>
        <w:tc>
          <w:tcPr>
            <w:tcW w:w="1041"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3.304.741</w:t>
            </w:r>
          </w:p>
        </w:tc>
        <w:tc>
          <w:tcPr>
            <w:tcW w:w="1134"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337.110</w:t>
            </w:r>
          </w:p>
        </w:tc>
        <w:tc>
          <w:tcPr>
            <w:tcW w:w="101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19.877</w:t>
            </w:r>
          </w:p>
        </w:tc>
      </w:tr>
      <w:tr w:rsidR="00B57B1D" w:rsidRPr="00B57B1D" w:rsidTr="002C4C09">
        <w:trPr>
          <w:trHeight w:hRule="exact" w:val="283"/>
          <w:jc w:val="center"/>
        </w:trPr>
        <w:tc>
          <w:tcPr>
            <w:tcW w:w="642" w:type="dxa"/>
            <w:tcBorders>
              <w:top w:val="single" w:sz="4" w:space="0" w:color="BFBFB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4.</w:t>
            </w:r>
          </w:p>
        </w:tc>
        <w:tc>
          <w:tcPr>
            <w:tcW w:w="642" w:type="dxa"/>
            <w:tcBorders>
              <w:top w:val="single" w:sz="4" w:space="0" w:color="BFBFBF"/>
              <w:left w:val="single" w:sz="4" w:space="0" w:color="BFBFBF"/>
              <w:bottom w:val="single" w:sz="4" w:space="0" w:color="FFFFF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4.</w:t>
            </w:r>
          </w:p>
        </w:tc>
        <w:tc>
          <w:tcPr>
            <w:tcW w:w="4082" w:type="dxa"/>
            <w:tcBorders>
              <w:top w:val="single" w:sz="4" w:space="0" w:color="BFBFBF"/>
              <w:left w:val="single" w:sz="4" w:space="0" w:color="BFBFBF"/>
              <w:bottom w:val="single" w:sz="4" w:space="0" w:color="FFFFFF"/>
              <w:right w:val="single" w:sz="4" w:space="0" w:color="BFBFBF"/>
            </w:tcBorders>
            <w:shd w:val="clear" w:color="000000" w:fill="FFFFFF"/>
            <w:vAlign w:val="center"/>
          </w:tcPr>
          <w:p w:rsidR="00B57B1D" w:rsidRPr="00890097" w:rsidRDefault="001B67A7" w:rsidP="00B57B1D">
            <w:pPr>
              <w:spacing w:after="0" w:line="240" w:lineRule="auto"/>
              <w:rPr>
                <w:rFonts w:ascii="Arial" w:eastAsia="Times New Roman" w:hAnsi="Arial" w:cs="Arial"/>
                <w:color w:val="1F497D" w:themeColor="text2"/>
                <w:sz w:val="18"/>
                <w:szCs w:val="18"/>
                <w:lang w:eastAsia="hr-HR"/>
              </w:rPr>
            </w:pPr>
            <w:hyperlink r:id="rId13" w:history="1">
              <w:r w:rsidR="00B57B1D" w:rsidRPr="00890097">
                <w:rPr>
                  <w:rStyle w:val="Hyperlink"/>
                  <w:rFonts w:ascii="Arial" w:eastAsia="Times New Roman" w:hAnsi="Arial" w:cs="Arial"/>
                  <w:sz w:val="18"/>
                  <w:szCs w:val="18"/>
                  <w:lang w:eastAsia="hr-HR"/>
                </w:rPr>
                <w:t>Hrvatski operator prijenosnog sustava d.o.o.</w:t>
              </w:r>
            </w:hyperlink>
            <w:r w:rsidR="00B57B1D" w:rsidRPr="00890097">
              <w:rPr>
                <w:rFonts w:ascii="Arial" w:eastAsia="Times New Roman" w:hAnsi="Arial" w:cs="Arial"/>
                <w:color w:val="1F497D" w:themeColor="text2"/>
                <w:sz w:val="18"/>
                <w:szCs w:val="18"/>
                <w:lang w:eastAsia="hr-HR"/>
              </w:rPr>
              <w:t xml:space="preserve"> </w:t>
            </w:r>
          </w:p>
        </w:tc>
        <w:tc>
          <w:tcPr>
            <w:tcW w:w="1041" w:type="dxa"/>
            <w:tcBorders>
              <w:top w:val="single" w:sz="4" w:space="0" w:color="BFBFB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BFBFB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1.639.313</w:t>
            </w:r>
          </w:p>
        </w:tc>
        <w:tc>
          <w:tcPr>
            <w:tcW w:w="1134" w:type="dxa"/>
            <w:tcBorders>
              <w:top w:val="single" w:sz="4" w:space="0" w:color="BFBFB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189.690</w:t>
            </w:r>
          </w:p>
        </w:tc>
        <w:tc>
          <w:tcPr>
            <w:tcW w:w="1017" w:type="dxa"/>
            <w:tcBorders>
              <w:top w:val="single" w:sz="4" w:space="0" w:color="BFBFB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0</w:t>
            </w:r>
          </w:p>
        </w:tc>
      </w:tr>
      <w:tr w:rsidR="00B57B1D" w:rsidRPr="00B57B1D" w:rsidTr="002C4C09">
        <w:trPr>
          <w:trHeight w:hRule="exact" w:val="283"/>
          <w:jc w:val="center"/>
        </w:trPr>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5.</w:t>
            </w:r>
          </w:p>
        </w:tc>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6.</w:t>
            </w:r>
          </w:p>
        </w:tc>
        <w:tc>
          <w:tcPr>
            <w:tcW w:w="408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890097" w:rsidRDefault="001B67A7" w:rsidP="00B57B1D">
            <w:pPr>
              <w:spacing w:after="0" w:line="240" w:lineRule="auto"/>
              <w:rPr>
                <w:rFonts w:ascii="Arial" w:eastAsia="Times New Roman" w:hAnsi="Arial" w:cs="Arial"/>
                <w:color w:val="1F497D" w:themeColor="text2"/>
                <w:sz w:val="18"/>
                <w:szCs w:val="18"/>
                <w:lang w:eastAsia="hr-HR"/>
              </w:rPr>
            </w:pPr>
            <w:hyperlink r:id="rId14" w:history="1">
              <w:r w:rsidR="00B57B1D" w:rsidRPr="00890097">
                <w:rPr>
                  <w:rStyle w:val="Hyperlink"/>
                  <w:rFonts w:ascii="Arial" w:eastAsia="Times New Roman" w:hAnsi="Arial" w:cs="Arial"/>
                  <w:sz w:val="18"/>
                  <w:szCs w:val="18"/>
                  <w:lang w:eastAsia="hr-HR"/>
                </w:rPr>
                <w:t xml:space="preserve">GEN-I </w:t>
              </w:r>
              <w:r w:rsidR="00E72151" w:rsidRPr="00890097">
                <w:rPr>
                  <w:rStyle w:val="Hyperlink"/>
                  <w:rFonts w:ascii="Arial" w:eastAsia="Times New Roman" w:hAnsi="Arial" w:cs="Arial"/>
                  <w:sz w:val="18"/>
                  <w:szCs w:val="18"/>
                  <w:lang w:eastAsia="hr-HR"/>
                </w:rPr>
                <w:t>Zagreb</w:t>
              </w:r>
              <w:r w:rsidR="00B57B1D" w:rsidRPr="00890097">
                <w:rPr>
                  <w:rStyle w:val="Hyperlink"/>
                  <w:rFonts w:ascii="Arial" w:eastAsia="Times New Roman" w:hAnsi="Arial" w:cs="Arial"/>
                  <w:sz w:val="18"/>
                  <w:szCs w:val="18"/>
                  <w:lang w:eastAsia="hr-HR"/>
                </w:rPr>
                <w:t xml:space="preserve"> d.o.o.</w:t>
              </w:r>
            </w:hyperlink>
          </w:p>
        </w:tc>
        <w:tc>
          <w:tcPr>
            <w:tcW w:w="1041"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Privatno</w:t>
            </w:r>
          </w:p>
        </w:tc>
        <w:tc>
          <w:tcPr>
            <w:tcW w:w="11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949.332</w:t>
            </w:r>
          </w:p>
        </w:tc>
        <w:tc>
          <w:tcPr>
            <w:tcW w:w="1134"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1.015</w:t>
            </w:r>
          </w:p>
        </w:tc>
        <w:tc>
          <w:tcPr>
            <w:tcW w:w="10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869.118</w:t>
            </w:r>
          </w:p>
        </w:tc>
      </w:tr>
      <w:tr w:rsidR="00B57B1D" w:rsidRPr="00B57B1D" w:rsidTr="002C4C09">
        <w:trPr>
          <w:trHeight w:hRule="exact" w:val="283"/>
          <w:jc w:val="center"/>
        </w:trPr>
        <w:tc>
          <w:tcPr>
            <w:tcW w:w="642"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6.</w:t>
            </w:r>
          </w:p>
        </w:tc>
        <w:tc>
          <w:tcPr>
            <w:tcW w:w="642" w:type="dxa"/>
            <w:tcBorders>
              <w:top w:val="single" w:sz="4" w:space="0" w:color="FFFFFF"/>
              <w:left w:val="single" w:sz="4" w:space="0" w:color="BFBFBF"/>
              <w:bottom w:val="single" w:sz="4" w:space="0" w:color="FFFFF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5.</w:t>
            </w:r>
          </w:p>
        </w:tc>
        <w:tc>
          <w:tcPr>
            <w:tcW w:w="4082" w:type="dxa"/>
            <w:tcBorders>
              <w:top w:val="single" w:sz="4" w:space="0" w:color="FFFFFF"/>
              <w:left w:val="single" w:sz="4" w:space="0" w:color="BFBFBF"/>
              <w:bottom w:val="single" w:sz="4" w:space="0" w:color="FFFFFF"/>
              <w:right w:val="single" w:sz="4" w:space="0" w:color="BFBFBF"/>
            </w:tcBorders>
            <w:shd w:val="clear" w:color="000000" w:fill="FFFFFF"/>
            <w:vAlign w:val="center"/>
          </w:tcPr>
          <w:p w:rsidR="00B57B1D" w:rsidRPr="00890097" w:rsidRDefault="001B67A7" w:rsidP="00B57B1D">
            <w:pPr>
              <w:spacing w:after="0" w:line="240" w:lineRule="auto"/>
              <w:rPr>
                <w:rFonts w:ascii="Arial" w:eastAsia="Times New Roman" w:hAnsi="Arial" w:cs="Arial"/>
                <w:color w:val="1F497D" w:themeColor="text2"/>
                <w:sz w:val="18"/>
                <w:szCs w:val="18"/>
                <w:lang w:eastAsia="hr-HR"/>
              </w:rPr>
            </w:pPr>
            <w:hyperlink r:id="rId15" w:history="1">
              <w:r w:rsidR="00B57B1D" w:rsidRPr="00890097">
                <w:rPr>
                  <w:rStyle w:val="Hyperlink"/>
                  <w:rFonts w:ascii="Arial" w:eastAsia="Times New Roman" w:hAnsi="Arial" w:cs="Arial"/>
                  <w:sz w:val="18"/>
                  <w:szCs w:val="18"/>
                  <w:lang w:eastAsia="hr-HR"/>
                </w:rPr>
                <w:t>TE PLOMIN d.o.o.</w:t>
              </w:r>
            </w:hyperlink>
          </w:p>
        </w:tc>
        <w:tc>
          <w:tcPr>
            <w:tcW w:w="1041"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658.767</w:t>
            </w:r>
          </w:p>
        </w:tc>
        <w:tc>
          <w:tcPr>
            <w:tcW w:w="1134"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3.357</w:t>
            </w:r>
          </w:p>
        </w:tc>
        <w:tc>
          <w:tcPr>
            <w:tcW w:w="1017"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453.970</w:t>
            </w:r>
          </w:p>
        </w:tc>
      </w:tr>
      <w:tr w:rsidR="00B57B1D" w:rsidRPr="00B57B1D" w:rsidTr="002C4C09">
        <w:trPr>
          <w:trHeight w:hRule="exact" w:val="283"/>
          <w:jc w:val="center"/>
        </w:trPr>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7.</w:t>
            </w:r>
          </w:p>
        </w:tc>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w:t>
            </w:r>
          </w:p>
          <w:p w:rsidR="00230C6A" w:rsidRDefault="00230C6A" w:rsidP="00B57B1D">
            <w:pPr>
              <w:spacing w:after="0" w:line="240" w:lineRule="auto"/>
              <w:jc w:val="center"/>
              <w:rPr>
                <w:rFonts w:ascii="Arial" w:eastAsia="Times New Roman" w:hAnsi="Arial" w:cs="Arial"/>
                <w:color w:val="244061"/>
                <w:sz w:val="18"/>
                <w:szCs w:val="18"/>
                <w:lang w:eastAsia="hr-HR"/>
              </w:rPr>
            </w:pPr>
          </w:p>
          <w:p w:rsidR="00230C6A" w:rsidRPr="00B57B1D" w:rsidRDefault="00230C6A" w:rsidP="00B57B1D">
            <w:pPr>
              <w:spacing w:after="0" w:line="240" w:lineRule="auto"/>
              <w:jc w:val="center"/>
              <w:rPr>
                <w:rFonts w:ascii="Arial" w:eastAsia="Times New Roman" w:hAnsi="Arial" w:cs="Arial"/>
                <w:color w:val="244061"/>
                <w:sz w:val="18"/>
                <w:szCs w:val="18"/>
                <w:lang w:eastAsia="hr-HR"/>
              </w:rPr>
            </w:pPr>
          </w:p>
        </w:tc>
        <w:bookmarkStart w:id="1" w:name="RANGE!D13"/>
        <w:tc>
          <w:tcPr>
            <w:tcW w:w="408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890097" w:rsidRDefault="00890097" w:rsidP="00B57B1D">
            <w:pPr>
              <w:spacing w:after="0" w:line="240" w:lineRule="auto"/>
              <w:rPr>
                <w:rFonts w:ascii="Arial" w:eastAsia="Times New Roman" w:hAnsi="Arial" w:cs="Arial"/>
                <w:color w:val="1F497D" w:themeColor="text2"/>
                <w:sz w:val="18"/>
                <w:szCs w:val="18"/>
                <w:lang w:eastAsia="hr-HR"/>
              </w:rPr>
            </w:pPr>
            <w:r>
              <w:rPr>
                <w:rFonts w:ascii="Arial" w:eastAsia="Times New Roman" w:hAnsi="Arial" w:cs="Arial"/>
                <w:color w:val="1F497D" w:themeColor="text2"/>
                <w:sz w:val="18"/>
                <w:szCs w:val="18"/>
                <w:lang w:eastAsia="hr-HR"/>
              </w:rPr>
              <w:fldChar w:fldCharType="begin"/>
            </w:r>
            <w:r>
              <w:rPr>
                <w:rFonts w:ascii="Arial" w:eastAsia="Times New Roman" w:hAnsi="Arial" w:cs="Arial"/>
                <w:color w:val="1F497D" w:themeColor="text2"/>
                <w:sz w:val="18"/>
                <w:szCs w:val="18"/>
                <w:lang w:eastAsia="hr-HR"/>
              </w:rPr>
              <w:instrText xml:space="preserve"> HYPERLINK "https://www.transparentno.hr/pregled/05925862411/e275a85d02fab21d4c7cc91ca423ad6c2696cc5d02940663df8506d837293c917e4d9936e624ee9e9262df220854709fcd5d85ef35f1ce85879995ab675e3e79" </w:instrText>
            </w:r>
            <w:r>
              <w:rPr>
                <w:rFonts w:ascii="Arial" w:eastAsia="Times New Roman" w:hAnsi="Arial" w:cs="Arial"/>
                <w:color w:val="1F497D" w:themeColor="text2"/>
                <w:sz w:val="18"/>
                <w:szCs w:val="18"/>
                <w:lang w:eastAsia="hr-HR"/>
              </w:rPr>
              <w:fldChar w:fldCharType="separate"/>
            </w:r>
            <w:r w:rsidR="00B57B1D" w:rsidRPr="00890097">
              <w:rPr>
                <w:rStyle w:val="Hyperlink"/>
                <w:rFonts w:ascii="Arial" w:eastAsia="Times New Roman" w:hAnsi="Arial" w:cs="Arial"/>
                <w:sz w:val="18"/>
                <w:szCs w:val="18"/>
                <w:lang w:eastAsia="hr-HR"/>
              </w:rPr>
              <w:t xml:space="preserve">HSE </w:t>
            </w:r>
            <w:r w:rsidR="00E72151" w:rsidRPr="00890097">
              <w:rPr>
                <w:rStyle w:val="Hyperlink"/>
                <w:rFonts w:ascii="Arial" w:eastAsia="Times New Roman" w:hAnsi="Arial" w:cs="Arial"/>
                <w:sz w:val="18"/>
                <w:szCs w:val="18"/>
                <w:lang w:eastAsia="hr-HR"/>
              </w:rPr>
              <w:t>Adria</w:t>
            </w:r>
            <w:r w:rsidR="00B57B1D" w:rsidRPr="00890097">
              <w:rPr>
                <w:rStyle w:val="Hyperlink"/>
                <w:rFonts w:ascii="Arial" w:eastAsia="Times New Roman" w:hAnsi="Arial" w:cs="Arial"/>
                <w:sz w:val="18"/>
                <w:szCs w:val="18"/>
                <w:lang w:eastAsia="hr-HR"/>
              </w:rPr>
              <w:t xml:space="preserve"> d.o.o.</w:t>
            </w:r>
            <w:bookmarkEnd w:id="1"/>
            <w:r>
              <w:rPr>
                <w:rFonts w:ascii="Arial" w:eastAsia="Times New Roman" w:hAnsi="Arial" w:cs="Arial"/>
                <w:color w:val="1F497D" w:themeColor="text2"/>
                <w:sz w:val="18"/>
                <w:szCs w:val="18"/>
                <w:lang w:eastAsia="hr-HR"/>
              </w:rPr>
              <w:fldChar w:fldCharType="end"/>
            </w:r>
            <w:r w:rsidR="00F6032E" w:rsidRPr="00890097">
              <w:rPr>
                <w:rStyle w:val="FootnoteReference"/>
                <w:rFonts w:ascii="Arial" w:eastAsia="Times New Roman" w:hAnsi="Arial" w:cs="Arial"/>
                <w:color w:val="1F497D" w:themeColor="text2"/>
                <w:sz w:val="18"/>
                <w:szCs w:val="18"/>
                <w:lang w:eastAsia="hr-HR"/>
              </w:rPr>
              <w:footnoteReference w:id="1"/>
            </w:r>
          </w:p>
        </w:tc>
        <w:tc>
          <w:tcPr>
            <w:tcW w:w="1041"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Privatno</w:t>
            </w:r>
          </w:p>
        </w:tc>
        <w:tc>
          <w:tcPr>
            <w:tcW w:w="11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531.130</w:t>
            </w:r>
          </w:p>
        </w:tc>
        <w:tc>
          <w:tcPr>
            <w:tcW w:w="1134"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2.221</w:t>
            </w:r>
          </w:p>
        </w:tc>
        <w:tc>
          <w:tcPr>
            <w:tcW w:w="10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524.505</w:t>
            </w:r>
          </w:p>
        </w:tc>
      </w:tr>
      <w:tr w:rsidR="00B57B1D" w:rsidRPr="00B57B1D" w:rsidTr="002C4C09">
        <w:trPr>
          <w:trHeight w:hRule="exact" w:val="283"/>
          <w:jc w:val="center"/>
        </w:trPr>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8.</w:t>
            </w:r>
          </w:p>
        </w:tc>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B57B1D" w:rsidRDefault="000E1796"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w:t>
            </w:r>
          </w:p>
        </w:tc>
        <w:tc>
          <w:tcPr>
            <w:tcW w:w="408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890097" w:rsidRDefault="001B67A7" w:rsidP="00B57B1D">
            <w:pPr>
              <w:spacing w:after="0" w:line="240" w:lineRule="auto"/>
              <w:rPr>
                <w:rFonts w:ascii="Arial" w:eastAsia="Times New Roman" w:hAnsi="Arial" w:cs="Arial"/>
                <w:color w:val="1F497D" w:themeColor="text2"/>
                <w:sz w:val="18"/>
                <w:szCs w:val="18"/>
                <w:lang w:eastAsia="hr-HR"/>
              </w:rPr>
            </w:pPr>
            <w:hyperlink r:id="rId16" w:history="1">
              <w:r w:rsidR="00B57B1D" w:rsidRPr="00890097">
                <w:rPr>
                  <w:rStyle w:val="Hyperlink"/>
                  <w:rFonts w:ascii="Arial" w:eastAsia="Times New Roman" w:hAnsi="Arial" w:cs="Arial"/>
                  <w:sz w:val="18"/>
                  <w:szCs w:val="18"/>
                  <w:lang w:eastAsia="hr-HR"/>
                </w:rPr>
                <w:t>RWE ENERGIJA d.o.o.</w:t>
              </w:r>
            </w:hyperlink>
            <w:r w:rsidR="00E72151" w:rsidRPr="00890097">
              <w:rPr>
                <w:rStyle w:val="FootnoteReference"/>
                <w:rFonts w:ascii="Arial" w:eastAsia="Times New Roman" w:hAnsi="Arial" w:cs="Arial"/>
                <w:color w:val="1F497D" w:themeColor="text2"/>
                <w:sz w:val="18"/>
                <w:szCs w:val="18"/>
                <w:lang w:eastAsia="hr-HR"/>
              </w:rPr>
              <w:footnoteReference w:id="2"/>
            </w:r>
          </w:p>
        </w:tc>
        <w:tc>
          <w:tcPr>
            <w:tcW w:w="1041"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Privatno</w:t>
            </w:r>
          </w:p>
        </w:tc>
        <w:tc>
          <w:tcPr>
            <w:tcW w:w="11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429.473</w:t>
            </w:r>
          </w:p>
        </w:tc>
        <w:tc>
          <w:tcPr>
            <w:tcW w:w="1134"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FF0000"/>
                <w:sz w:val="18"/>
                <w:szCs w:val="18"/>
                <w:lang w:eastAsia="hr-HR"/>
              </w:rPr>
            </w:pPr>
            <w:r w:rsidRPr="00B57B1D">
              <w:rPr>
                <w:rFonts w:ascii="Arial" w:eastAsia="Times New Roman" w:hAnsi="Arial" w:cs="Arial"/>
                <w:color w:val="FF0000"/>
                <w:sz w:val="18"/>
                <w:szCs w:val="18"/>
                <w:lang w:eastAsia="hr-HR"/>
              </w:rPr>
              <w:t>-19.801</w:t>
            </w:r>
          </w:p>
        </w:tc>
        <w:tc>
          <w:tcPr>
            <w:tcW w:w="10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0</w:t>
            </w:r>
          </w:p>
        </w:tc>
      </w:tr>
      <w:tr w:rsidR="00B57B1D" w:rsidRPr="00B57B1D" w:rsidTr="002C4C09">
        <w:trPr>
          <w:trHeight w:hRule="exact" w:val="283"/>
          <w:jc w:val="center"/>
        </w:trPr>
        <w:tc>
          <w:tcPr>
            <w:tcW w:w="642"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9.</w:t>
            </w:r>
          </w:p>
        </w:tc>
        <w:tc>
          <w:tcPr>
            <w:tcW w:w="642" w:type="dxa"/>
            <w:tcBorders>
              <w:top w:val="single" w:sz="4" w:space="0" w:color="FFFFFF"/>
              <w:left w:val="single" w:sz="4" w:space="0" w:color="BFBFBF"/>
              <w:bottom w:val="single" w:sz="4" w:space="0" w:color="FFFFFF"/>
              <w:right w:val="single" w:sz="4" w:space="0" w:color="BFBFBF"/>
            </w:tcBorders>
            <w:shd w:val="clear" w:color="000000" w:fill="FFFFFF"/>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11.</w:t>
            </w:r>
          </w:p>
        </w:tc>
        <w:bookmarkStart w:id="2" w:name="RANGE!D15"/>
        <w:tc>
          <w:tcPr>
            <w:tcW w:w="4082" w:type="dxa"/>
            <w:tcBorders>
              <w:top w:val="single" w:sz="4" w:space="0" w:color="FFFFFF"/>
              <w:left w:val="single" w:sz="4" w:space="0" w:color="BFBFBF"/>
              <w:bottom w:val="single" w:sz="4" w:space="0" w:color="FFFFFF"/>
              <w:right w:val="single" w:sz="4" w:space="0" w:color="BFBFBF"/>
            </w:tcBorders>
            <w:shd w:val="clear" w:color="000000" w:fill="FFFFFF"/>
            <w:vAlign w:val="center"/>
          </w:tcPr>
          <w:p w:rsidR="00B57B1D" w:rsidRPr="00890097" w:rsidRDefault="00890097" w:rsidP="006D76CE">
            <w:pPr>
              <w:spacing w:after="0" w:line="240" w:lineRule="auto"/>
              <w:rPr>
                <w:rFonts w:ascii="Arial" w:eastAsia="Times New Roman" w:hAnsi="Arial" w:cs="Arial"/>
                <w:color w:val="1F497D" w:themeColor="text2"/>
                <w:sz w:val="18"/>
                <w:szCs w:val="18"/>
                <w:lang w:eastAsia="hr-HR"/>
              </w:rPr>
            </w:pPr>
            <w:r>
              <w:rPr>
                <w:rFonts w:ascii="Arial" w:eastAsia="Times New Roman" w:hAnsi="Arial" w:cs="Arial"/>
                <w:color w:val="1F497D" w:themeColor="text2"/>
                <w:sz w:val="18"/>
                <w:szCs w:val="18"/>
                <w:lang w:eastAsia="hr-HR"/>
              </w:rPr>
              <w:fldChar w:fldCharType="begin"/>
            </w:r>
            <w:r>
              <w:rPr>
                <w:rFonts w:ascii="Arial" w:eastAsia="Times New Roman" w:hAnsi="Arial" w:cs="Arial"/>
                <w:color w:val="1F497D" w:themeColor="text2"/>
                <w:sz w:val="18"/>
                <w:szCs w:val="18"/>
                <w:lang w:eastAsia="hr-HR"/>
              </w:rPr>
              <w:instrText xml:space="preserve"> HYPERLINK "https://www.transparentno.hr/pregled/63073332379/dbcf93c49ac611dc74210bdd5430d2b13f232ed75c29250bbb55be0adf0cb6a8c9eb2d72576da5fa92c6aca1d4fad643c392f706bcc8917bfad5e744ceaae301" </w:instrText>
            </w:r>
            <w:r>
              <w:rPr>
                <w:rFonts w:ascii="Arial" w:eastAsia="Times New Roman" w:hAnsi="Arial" w:cs="Arial"/>
                <w:color w:val="1F497D" w:themeColor="text2"/>
                <w:sz w:val="18"/>
                <w:szCs w:val="18"/>
                <w:lang w:eastAsia="hr-HR"/>
              </w:rPr>
              <w:fldChar w:fldCharType="separate"/>
            </w:r>
            <w:r w:rsidR="00B57B1D" w:rsidRPr="00890097">
              <w:rPr>
                <w:rStyle w:val="Hyperlink"/>
                <w:rFonts w:ascii="Arial" w:eastAsia="Times New Roman" w:hAnsi="Arial" w:cs="Arial"/>
                <w:sz w:val="18"/>
                <w:szCs w:val="18"/>
                <w:lang w:eastAsia="hr-HR"/>
              </w:rPr>
              <w:t>HEP</w:t>
            </w:r>
            <w:r w:rsidR="006D76CE" w:rsidRPr="00890097">
              <w:rPr>
                <w:rStyle w:val="Hyperlink"/>
                <w:rFonts w:ascii="Arial" w:eastAsia="Times New Roman" w:hAnsi="Arial" w:cs="Arial"/>
                <w:sz w:val="18"/>
                <w:szCs w:val="18"/>
                <w:lang w:eastAsia="hr-HR"/>
              </w:rPr>
              <w:t>-Opskrba</w:t>
            </w:r>
            <w:r w:rsidR="00B57B1D" w:rsidRPr="00890097">
              <w:rPr>
                <w:rStyle w:val="Hyperlink"/>
                <w:rFonts w:ascii="Arial" w:eastAsia="Times New Roman" w:hAnsi="Arial" w:cs="Arial"/>
                <w:sz w:val="18"/>
                <w:szCs w:val="18"/>
                <w:lang w:eastAsia="hr-HR"/>
              </w:rPr>
              <w:t xml:space="preserve"> d.o.o.</w:t>
            </w:r>
            <w:bookmarkEnd w:id="2"/>
            <w:r>
              <w:rPr>
                <w:rFonts w:ascii="Arial" w:eastAsia="Times New Roman" w:hAnsi="Arial" w:cs="Arial"/>
                <w:color w:val="1F497D" w:themeColor="text2"/>
                <w:sz w:val="18"/>
                <w:szCs w:val="18"/>
                <w:lang w:eastAsia="hr-HR"/>
              </w:rPr>
              <w:fldChar w:fldCharType="end"/>
            </w:r>
          </w:p>
        </w:tc>
        <w:tc>
          <w:tcPr>
            <w:tcW w:w="1041"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Državno</w:t>
            </w:r>
          </w:p>
        </w:tc>
        <w:tc>
          <w:tcPr>
            <w:tcW w:w="1117"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354.987</w:t>
            </w:r>
          </w:p>
        </w:tc>
        <w:tc>
          <w:tcPr>
            <w:tcW w:w="1134"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1.173</w:t>
            </w:r>
          </w:p>
        </w:tc>
        <w:tc>
          <w:tcPr>
            <w:tcW w:w="1017" w:type="dxa"/>
            <w:tcBorders>
              <w:top w:val="single" w:sz="4" w:space="0" w:color="FFFFFF"/>
              <w:left w:val="single" w:sz="4" w:space="0" w:color="BFBFBF"/>
              <w:bottom w:val="single" w:sz="4" w:space="0" w:color="FFFFFF"/>
              <w:right w:val="single" w:sz="4" w:space="0" w:color="BFBFBF"/>
            </w:tcBorders>
            <w:shd w:val="clear" w:color="000000" w:fill="FFFFFF"/>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0</w:t>
            </w:r>
          </w:p>
        </w:tc>
      </w:tr>
      <w:tr w:rsidR="00B57B1D" w:rsidRPr="00B57B1D" w:rsidTr="002C4C09">
        <w:trPr>
          <w:trHeight w:hRule="exact" w:val="283"/>
          <w:jc w:val="center"/>
        </w:trPr>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10.</w:t>
            </w:r>
          </w:p>
        </w:tc>
        <w:tc>
          <w:tcPr>
            <w:tcW w:w="64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B57B1D" w:rsidRDefault="00230C6A" w:rsidP="00B57B1D">
            <w:pPr>
              <w:spacing w:after="0" w:line="240" w:lineRule="auto"/>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80.</w:t>
            </w:r>
          </w:p>
        </w:tc>
        <w:bookmarkStart w:id="3" w:name="RANGE!D16"/>
        <w:tc>
          <w:tcPr>
            <w:tcW w:w="408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B57B1D" w:rsidRPr="00890097" w:rsidRDefault="00890097" w:rsidP="00B57B1D">
            <w:pPr>
              <w:spacing w:after="0" w:line="240" w:lineRule="auto"/>
              <w:rPr>
                <w:rFonts w:ascii="Arial" w:eastAsia="Times New Roman" w:hAnsi="Arial" w:cs="Arial"/>
                <w:color w:val="1F497D" w:themeColor="text2"/>
                <w:sz w:val="18"/>
                <w:szCs w:val="18"/>
                <w:lang w:eastAsia="hr-HR"/>
              </w:rPr>
            </w:pPr>
            <w:r>
              <w:rPr>
                <w:rFonts w:ascii="Arial" w:eastAsia="Times New Roman" w:hAnsi="Arial" w:cs="Arial"/>
                <w:color w:val="1F497D" w:themeColor="text2"/>
                <w:sz w:val="18"/>
                <w:szCs w:val="18"/>
                <w:lang w:eastAsia="hr-HR"/>
              </w:rPr>
              <w:fldChar w:fldCharType="begin"/>
            </w:r>
            <w:r>
              <w:rPr>
                <w:rFonts w:ascii="Arial" w:eastAsia="Times New Roman" w:hAnsi="Arial" w:cs="Arial"/>
                <w:color w:val="1F497D" w:themeColor="text2"/>
                <w:sz w:val="18"/>
                <w:szCs w:val="18"/>
                <w:lang w:eastAsia="hr-HR"/>
              </w:rPr>
              <w:instrText xml:space="preserve"> HYPERLINK "https://www.transparentno.hr/pregled/20622608859/814c095e0067f49382e1597d8db884f4c6ce804b55a6ffbd18ddd6068ab016650a33390a12d086a8429b3d8e2eff20ff9aeae81e27cf8f29ca3dc838b0fe44ae" </w:instrText>
            </w:r>
            <w:r>
              <w:rPr>
                <w:rFonts w:ascii="Arial" w:eastAsia="Times New Roman" w:hAnsi="Arial" w:cs="Arial"/>
                <w:color w:val="1F497D" w:themeColor="text2"/>
                <w:sz w:val="18"/>
                <w:szCs w:val="18"/>
                <w:lang w:eastAsia="hr-HR"/>
              </w:rPr>
              <w:fldChar w:fldCharType="separate"/>
            </w:r>
            <w:r w:rsidR="00B57B1D" w:rsidRPr="00890097">
              <w:rPr>
                <w:rStyle w:val="Hyperlink"/>
                <w:rFonts w:ascii="Arial" w:eastAsia="Times New Roman" w:hAnsi="Arial" w:cs="Arial"/>
                <w:sz w:val="18"/>
                <w:szCs w:val="18"/>
                <w:lang w:eastAsia="hr-HR"/>
              </w:rPr>
              <w:t>VESTAS CENTRAL EUROPE-ZAGREB d.o.o.</w:t>
            </w:r>
            <w:bookmarkEnd w:id="3"/>
            <w:r>
              <w:rPr>
                <w:rFonts w:ascii="Arial" w:eastAsia="Times New Roman" w:hAnsi="Arial" w:cs="Arial"/>
                <w:color w:val="1F497D" w:themeColor="text2"/>
                <w:sz w:val="18"/>
                <w:szCs w:val="18"/>
                <w:lang w:eastAsia="hr-HR"/>
              </w:rPr>
              <w:fldChar w:fldCharType="end"/>
            </w:r>
            <w:r w:rsidR="006D76CE" w:rsidRPr="00890097">
              <w:rPr>
                <w:rStyle w:val="FootnoteReference"/>
                <w:rFonts w:ascii="Arial" w:eastAsia="Times New Roman" w:hAnsi="Arial" w:cs="Arial"/>
                <w:color w:val="1F497D" w:themeColor="text2"/>
                <w:sz w:val="18"/>
                <w:szCs w:val="18"/>
                <w:lang w:eastAsia="hr-HR"/>
              </w:rPr>
              <w:footnoteReference w:id="3"/>
            </w:r>
          </w:p>
        </w:tc>
        <w:tc>
          <w:tcPr>
            <w:tcW w:w="1041"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center"/>
              <w:rPr>
                <w:rFonts w:ascii="Arial" w:eastAsia="Times New Roman" w:hAnsi="Arial" w:cs="Arial"/>
                <w:color w:val="244061"/>
                <w:sz w:val="16"/>
                <w:szCs w:val="16"/>
                <w:lang w:eastAsia="hr-HR"/>
              </w:rPr>
            </w:pPr>
            <w:r w:rsidRPr="00B57B1D">
              <w:rPr>
                <w:rFonts w:ascii="Arial" w:eastAsia="Times New Roman" w:hAnsi="Arial" w:cs="Arial"/>
                <w:color w:val="244061"/>
                <w:sz w:val="16"/>
                <w:szCs w:val="16"/>
                <w:lang w:eastAsia="hr-HR"/>
              </w:rPr>
              <w:t>Privatno</w:t>
            </w:r>
          </w:p>
        </w:tc>
        <w:tc>
          <w:tcPr>
            <w:tcW w:w="11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344.976</w:t>
            </w:r>
          </w:p>
        </w:tc>
        <w:tc>
          <w:tcPr>
            <w:tcW w:w="1134"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FF0000"/>
                <w:sz w:val="18"/>
                <w:szCs w:val="18"/>
                <w:lang w:eastAsia="hr-HR"/>
              </w:rPr>
            </w:pPr>
            <w:r w:rsidRPr="00B57B1D">
              <w:rPr>
                <w:rFonts w:ascii="Arial" w:eastAsia="Times New Roman" w:hAnsi="Arial" w:cs="Arial"/>
                <w:color w:val="FF0000"/>
                <w:sz w:val="18"/>
                <w:szCs w:val="18"/>
                <w:lang w:eastAsia="hr-HR"/>
              </w:rPr>
              <w:t>-84</w:t>
            </w:r>
          </w:p>
        </w:tc>
        <w:tc>
          <w:tcPr>
            <w:tcW w:w="1017" w:type="dxa"/>
            <w:tcBorders>
              <w:top w:val="single" w:sz="4" w:space="0" w:color="FFFFFF"/>
              <w:left w:val="single" w:sz="4" w:space="0" w:color="FFFFFF"/>
              <w:bottom w:val="single" w:sz="4" w:space="0" w:color="FFFFFF"/>
              <w:right w:val="single" w:sz="4" w:space="0" w:color="FFFFFF"/>
            </w:tcBorders>
            <w:shd w:val="clear" w:color="auto" w:fill="DBE5F1"/>
            <w:vAlign w:val="center"/>
            <w:hideMark/>
          </w:tcPr>
          <w:p w:rsidR="00B57B1D" w:rsidRPr="00B57B1D" w:rsidRDefault="00B57B1D" w:rsidP="00B57B1D">
            <w:pPr>
              <w:spacing w:after="0" w:line="240" w:lineRule="auto"/>
              <w:jc w:val="right"/>
              <w:rPr>
                <w:rFonts w:ascii="Arial" w:eastAsia="Times New Roman" w:hAnsi="Arial" w:cs="Arial"/>
                <w:color w:val="244061"/>
                <w:sz w:val="18"/>
                <w:szCs w:val="18"/>
                <w:lang w:eastAsia="hr-HR"/>
              </w:rPr>
            </w:pPr>
            <w:r w:rsidRPr="00B57B1D">
              <w:rPr>
                <w:rFonts w:ascii="Arial" w:eastAsia="Times New Roman" w:hAnsi="Arial" w:cs="Arial"/>
                <w:color w:val="244061"/>
                <w:sz w:val="18"/>
                <w:szCs w:val="18"/>
                <w:lang w:eastAsia="hr-HR"/>
              </w:rPr>
              <w:t>278.056</w:t>
            </w:r>
          </w:p>
        </w:tc>
      </w:tr>
      <w:tr w:rsidR="00B57B1D" w:rsidRPr="00B57B1D" w:rsidTr="002C4C09">
        <w:trPr>
          <w:trHeight w:hRule="exact" w:val="283"/>
          <w:jc w:val="center"/>
        </w:trPr>
        <w:tc>
          <w:tcPr>
            <w:tcW w:w="6406" w:type="dxa"/>
            <w:gridSpan w:val="4"/>
            <w:tcBorders>
              <w:top w:val="single" w:sz="4" w:space="0" w:color="BFBFBF"/>
            </w:tcBorders>
            <w:shd w:val="clear" w:color="000000" w:fill="BFBFBF"/>
            <w:vAlign w:val="center"/>
            <w:hideMark/>
          </w:tcPr>
          <w:p w:rsidR="00B57B1D" w:rsidRPr="00B57B1D" w:rsidRDefault="00B57B1D" w:rsidP="00B57B1D">
            <w:pPr>
              <w:spacing w:after="0" w:line="240" w:lineRule="auto"/>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Ukupno top 10</w:t>
            </w:r>
            <w:r w:rsidR="002C4C09">
              <w:rPr>
                <w:rFonts w:ascii="Arial" w:eastAsia="Times New Roman" w:hAnsi="Arial" w:cs="Arial"/>
                <w:b/>
                <w:bCs/>
                <w:color w:val="244061"/>
                <w:sz w:val="18"/>
                <w:szCs w:val="18"/>
                <w:lang w:eastAsia="hr-HR"/>
              </w:rPr>
              <w:t xml:space="preserve"> poduzetnika</w:t>
            </w:r>
          </w:p>
        </w:tc>
        <w:tc>
          <w:tcPr>
            <w:tcW w:w="1117" w:type="dxa"/>
            <w:tcBorders>
              <w:top w:val="single" w:sz="4" w:space="0" w:color="BFBFBF"/>
            </w:tcBorders>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24.760.425</w:t>
            </w:r>
          </w:p>
        </w:tc>
        <w:tc>
          <w:tcPr>
            <w:tcW w:w="1134" w:type="dxa"/>
            <w:tcBorders>
              <w:top w:val="single" w:sz="4" w:space="0" w:color="BFBFBF"/>
            </w:tcBorders>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2.979.667</w:t>
            </w:r>
          </w:p>
        </w:tc>
        <w:tc>
          <w:tcPr>
            <w:tcW w:w="1017" w:type="dxa"/>
            <w:tcBorders>
              <w:top w:val="single" w:sz="4" w:space="0" w:color="BFBFBF"/>
            </w:tcBorders>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4.551.147</w:t>
            </w:r>
          </w:p>
        </w:tc>
      </w:tr>
      <w:tr w:rsidR="00B57B1D" w:rsidRPr="00B57B1D" w:rsidTr="002C4C09">
        <w:trPr>
          <w:trHeight w:hRule="exact" w:val="283"/>
          <w:jc w:val="center"/>
        </w:trPr>
        <w:tc>
          <w:tcPr>
            <w:tcW w:w="6406" w:type="dxa"/>
            <w:gridSpan w:val="4"/>
            <w:shd w:val="clear" w:color="000000" w:fill="BFBFBF"/>
            <w:vAlign w:val="center"/>
            <w:hideMark/>
          </w:tcPr>
          <w:p w:rsidR="00B57B1D" w:rsidRPr="00B57B1D" w:rsidRDefault="00B57B1D" w:rsidP="002C4C09">
            <w:pPr>
              <w:spacing w:after="0" w:line="240" w:lineRule="auto"/>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 xml:space="preserve">Ukupno poduzetnici </w:t>
            </w:r>
            <w:r w:rsidR="002C4C09">
              <w:rPr>
                <w:rFonts w:ascii="Arial" w:eastAsia="Times New Roman" w:hAnsi="Arial" w:cs="Arial"/>
                <w:b/>
                <w:bCs/>
                <w:color w:val="244061"/>
                <w:sz w:val="18"/>
                <w:szCs w:val="18"/>
                <w:lang w:eastAsia="hr-HR"/>
              </w:rPr>
              <w:t xml:space="preserve">u </w:t>
            </w:r>
            <w:r w:rsidR="002C4C09" w:rsidRPr="002C4C09">
              <w:rPr>
                <w:rFonts w:ascii="Arial" w:eastAsia="Times New Roman" w:hAnsi="Arial" w:cs="Arial"/>
                <w:b/>
                <w:bCs/>
                <w:color w:val="244061"/>
                <w:sz w:val="18"/>
                <w:szCs w:val="18"/>
                <w:lang w:eastAsia="hr-HR"/>
              </w:rPr>
              <w:t>djelat</w:t>
            </w:r>
            <w:r w:rsidR="002C4C09">
              <w:rPr>
                <w:rFonts w:ascii="Arial" w:eastAsia="Times New Roman" w:hAnsi="Arial" w:cs="Arial"/>
                <w:b/>
                <w:bCs/>
                <w:color w:val="244061"/>
                <w:sz w:val="18"/>
                <w:szCs w:val="18"/>
                <w:lang w:eastAsia="hr-HR"/>
              </w:rPr>
              <w:t>. p</w:t>
            </w:r>
            <w:r w:rsidR="002C4C09" w:rsidRPr="002C4C09">
              <w:rPr>
                <w:rFonts w:ascii="Arial" w:eastAsia="Times New Roman" w:hAnsi="Arial" w:cs="Arial"/>
                <w:b/>
                <w:bCs/>
                <w:color w:val="244061"/>
                <w:sz w:val="18"/>
                <w:szCs w:val="18"/>
                <w:lang w:eastAsia="hr-HR"/>
              </w:rPr>
              <w:t>roizv</w:t>
            </w:r>
            <w:r w:rsidR="002C4C09">
              <w:rPr>
                <w:rFonts w:ascii="Arial" w:eastAsia="Times New Roman" w:hAnsi="Arial" w:cs="Arial"/>
                <w:b/>
                <w:bCs/>
                <w:color w:val="244061"/>
                <w:sz w:val="18"/>
                <w:szCs w:val="18"/>
                <w:lang w:eastAsia="hr-HR"/>
              </w:rPr>
              <w:t>.</w:t>
            </w:r>
            <w:r w:rsidR="002C4C09" w:rsidRPr="002C4C09">
              <w:rPr>
                <w:rFonts w:ascii="Arial" w:eastAsia="Times New Roman" w:hAnsi="Arial" w:cs="Arial"/>
                <w:b/>
                <w:bCs/>
                <w:color w:val="244061"/>
                <w:sz w:val="18"/>
                <w:szCs w:val="18"/>
                <w:lang w:eastAsia="hr-HR"/>
              </w:rPr>
              <w:t>, prijenos i distribucij</w:t>
            </w:r>
            <w:r w:rsidR="002C4C09">
              <w:rPr>
                <w:rFonts w:ascii="Arial" w:eastAsia="Times New Roman" w:hAnsi="Arial" w:cs="Arial"/>
                <w:b/>
                <w:bCs/>
                <w:color w:val="244061"/>
                <w:sz w:val="18"/>
                <w:szCs w:val="18"/>
                <w:lang w:eastAsia="hr-HR"/>
              </w:rPr>
              <w:t>e el. energije</w:t>
            </w:r>
          </w:p>
        </w:tc>
        <w:tc>
          <w:tcPr>
            <w:tcW w:w="1117"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26.983.881</w:t>
            </w:r>
          </w:p>
        </w:tc>
        <w:tc>
          <w:tcPr>
            <w:tcW w:w="1134"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3.007.860</w:t>
            </w:r>
          </w:p>
        </w:tc>
        <w:tc>
          <w:tcPr>
            <w:tcW w:w="1017"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4.993.409</w:t>
            </w:r>
          </w:p>
        </w:tc>
      </w:tr>
      <w:tr w:rsidR="00B57B1D" w:rsidRPr="00B57B1D" w:rsidTr="002C4C09">
        <w:trPr>
          <w:trHeight w:hRule="exact" w:val="283"/>
          <w:jc w:val="center"/>
        </w:trPr>
        <w:tc>
          <w:tcPr>
            <w:tcW w:w="6406" w:type="dxa"/>
            <w:gridSpan w:val="4"/>
            <w:shd w:val="clear" w:color="000000" w:fill="BFBFBF"/>
            <w:vAlign w:val="center"/>
            <w:hideMark/>
          </w:tcPr>
          <w:p w:rsidR="00B57B1D" w:rsidRPr="00B57B1D" w:rsidRDefault="00B57B1D" w:rsidP="00B57B1D">
            <w:pPr>
              <w:spacing w:after="0" w:line="240" w:lineRule="auto"/>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Udjel top 10 poduzetnika u skupini 35.1</w:t>
            </w:r>
          </w:p>
        </w:tc>
        <w:tc>
          <w:tcPr>
            <w:tcW w:w="1117"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91,8%</w:t>
            </w:r>
          </w:p>
        </w:tc>
        <w:tc>
          <w:tcPr>
            <w:tcW w:w="1134"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99,1%</w:t>
            </w:r>
          </w:p>
        </w:tc>
        <w:tc>
          <w:tcPr>
            <w:tcW w:w="1017" w:type="dxa"/>
            <w:shd w:val="clear" w:color="000000" w:fill="BFBFBF"/>
            <w:vAlign w:val="center"/>
            <w:hideMark/>
          </w:tcPr>
          <w:p w:rsidR="00B57B1D" w:rsidRPr="00B57B1D" w:rsidRDefault="00B57B1D" w:rsidP="00B57B1D">
            <w:pPr>
              <w:spacing w:after="0" w:line="240" w:lineRule="auto"/>
              <w:jc w:val="right"/>
              <w:rPr>
                <w:rFonts w:ascii="Arial" w:eastAsia="Times New Roman" w:hAnsi="Arial" w:cs="Arial"/>
                <w:b/>
                <w:bCs/>
                <w:color w:val="244061"/>
                <w:sz w:val="18"/>
                <w:szCs w:val="18"/>
                <w:lang w:eastAsia="hr-HR"/>
              </w:rPr>
            </w:pPr>
            <w:r w:rsidRPr="00B57B1D">
              <w:rPr>
                <w:rFonts w:ascii="Arial" w:eastAsia="Times New Roman" w:hAnsi="Arial" w:cs="Arial"/>
                <w:b/>
                <w:bCs/>
                <w:color w:val="244061"/>
                <w:sz w:val="18"/>
                <w:szCs w:val="18"/>
                <w:lang w:eastAsia="hr-HR"/>
              </w:rPr>
              <w:t>91,1%</w:t>
            </w:r>
          </w:p>
        </w:tc>
      </w:tr>
    </w:tbl>
    <w:p w:rsidR="00B57B1D" w:rsidRPr="00B57B1D" w:rsidRDefault="00B57B1D" w:rsidP="00B57B1D">
      <w:pPr>
        <w:spacing w:before="40" w:after="0" w:line="240" w:lineRule="auto"/>
        <w:jc w:val="both"/>
        <w:rPr>
          <w:rFonts w:ascii="Arial" w:hAnsi="Arial" w:cs="Arial"/>
          <w:i/>
          <w:color w:val="1F497D"/>
          <w:sz w:val="16"/>
          <w:szCs w:val="16"/>
        </w:rPr>
      </w:pPr>
      <w:r w:rsidRPr="00B57B1D">
        <w:rPr>
          <w:rFonts w:ascii="Arial" w:hAnsi="Arial" w:cs="Arial"/>
          <w:i/>
          <w:color w:val="1F497D"/>
          <w:sz w:val="16"/>
          <w:szCs w:val="16"/>
        </w:rPr>
        <w:t xml:space="preserve">Izvor: Fina, </w:t>
      </w:r>
      <w:hyperlink r:id="rId17" w:history="1">
        <w:r w:rsidRPr="00ED37E4">
          <w:rPr>
            <w:rStyle w:val="Hyperlink"/>
            <w:rFonts w:ascii="Arial" w:hAnsi="Arial" w:cs="Arial"/>
            <w:i/>
            <w:sz w:val="16"/>
            <w:szCs w:val="16"/>
          </w:rPr>
          <w:t>Registar godišnjih financijskih izvještaja</w:t>
        </w:r>
      </w:hyperlink>
      <w:r w:rsidRPr="00B57B1D">
        <w:rPr>
          <w:rFonts w:ascii="Arial" w:hAnsi="Arial" w:cs="Arial"/>
          <w:i/>
          <w:color w:val="1F497D"/>
          <w:sz w:val="16"/>
          <w:szCs w:val="16"/>
        </w:rPr>
        <w:t>, obrada GFI-a za 2015. godinu</w:t>
      </w:r>
    </w:p>
    <w:p w:rsidR="002D1D6F" w:rsidRPr="00B57B1D" w:rsidRDefault="002D1D6F" w:rsidP="002D1D6F">
      <w:pPr>
        <w:spacing w:before="180" w:after="0"/>
        <w:jc w:val="both"/>
        <w:rPr>
          <w:rFonts w:ascii="Arial" w:eastAsia="Times New Roman" w:hAnsi="Arial" w:cs="Arial"/>
          <w:color w:val="254061"/>
          <w:sz w:val="20"/>
          <w:szCs w:val="20"/>
          <w:lang w:eastAsia="hr-HR"/>
        </w:rPr>
      </w:pPr>
      <w:r w:rsidRPr="00B57B1D">
        <w:rPr>
          <w:rFonts w:ascii="Arial" w:eastAsia="Times New Roman" w:hAnsi="Arial" w:cs="Arial"/>
          <w:color w:val="254061"/>
          <w:sz w:val="20"/>
          <w:szCs w:val="20"/>
          <w:lang w:eastAsia="hr-HR"/>
        </w:rPr>
        <w:t>Podaci o financijskim rezultatima top 10 poduzetnika prema ukupnom prihodu u djelatnosti proizvodnje, prijenosa i distribucije električne energije potvrđuju veliku koncentraciju rezultata na mali broj poduzetnika.</w:t>
      </w:r>
    </w:p>
    <w:p w:rsidR="00B57B1D" w:rsidRPr="00B57B1D" w:rsidRDefault="00B57B1D" w:rsidP="002B74E0">
      <w:pPr>
        <w:pBdr>
          <w:top w:val="single" w:sz="12" w:space="1" w:color="auto"/>
        </w:pBdr>
        <w:spacing w:before="360" w:after="0" w:line="264" w:lineRule="auto"/>
        <w:rPr>
          <w:rFonts w:ascii="Arial" w:eastAsia="Times New Roman" w:hAnsi="Arial" w:cs="Arial"/>
          <w:i/>
          <w:color w:val="17365D"/>
          <w:sz w:val="18"/>
          <w:szCs w:val="18"/>
          <w:lang w:eastAsia="hr-HR"/>
        </w:rPr>
      </w:pPr>
      <w:r w:rsidRPr="00B57B1D">
        <w:rPr>
          <w:rFonts w:ascii="Arial" w:eastAsia="Times New Roman" w:hAnsi="Arial" w:cs="Arial"/>
          <w:i/>
          <w:color w:val="17365D"/>
          <w:sz w:val="18"/>
          <w:szCs w:val="18"/>
          <w:lang w:eastAsia="hr-HR"/>
        </w:rPr>
        <w:t xml:space="preserve">Više o rezultatima poslovanja poduzetnika po područjima djelatnosti i po drugim kriterijima, prezentirano je u </w:t>
      </w:r>
      <w:hyperlink r:id="rId18" w:history="1">
        <w:r w:rsidRPr="00B57B1D">
          <w:rPr>
            <w:rFonts w:ascii="Arial" w:eastAsia="Times New Roman" w:hAnsi="Arial" w:cs="Arial"/>
            <w:i/>
            <w:color w:val="0000FF"/>
            <w:sz w:val="18"/>
            <w:szCs w:val="18"/>
            <w:u w:val="single"/>
            <w:lang w:eastAsia="hr-HR"/>
          </w:rPr>
          <w:t>standardnim analizama</w:t>
        </w:r>
      </w:hyperlink>
      <w:r w:rsidRPr="00B57B1D">
        <w:rPr>
          <w:rFonts w:ascii="Arial" w:eastAsia="Times New Roman" w:hAnsi="Arial" w:cs="Arial"/>
          <w:i/>
          <w:color w:val="17365D"/>
          <w:sz w:val="18"/>
          <w:szCs w:val="18"/>
          <w:lang w:eastAsia="hr-HR"/>
        </w:rPr>
        <w:t xml:space="preserve"> rezultata poslovanja poduzetnika RH, po županijama i po gradovima i općinama u 2015. godini.</w:t>
      </w:r>
    </w:p>
    <w:p w:rsidR="00B57B1D" w:rsidRPr="00B57B1D" w:rsidRDefault="00B57B1D" w:rsidP="002B74E0">
      <w:pPr>
        <w:pBdr>
          <w:top w:val="single" w:sz="12" w:space="1" w:color="auto"/>
        </w:pBdr>
        <w:spacing w:before="80" w:after="0" w:line="264" w:lineRule="auto"/>
        <w:jc w:val="both"/>
        <w:rPr>
          <w:rFonts w:ascii="Arial" w:hAnsi="Arial" w:cs="Arial"/>
          <w:i/>
          <w:color w:val="244061"/>
          <w:sz w:val="18"/>
          <w:szCs w:val="18"/>
          <w:lang w:eastAsia="hr-HR"/>
        </w:rPr>
      </w:pPr>
      <w:r w:rsidRPr="00B57B1D">
        <w:rPr>
          <w:rFonts w:ascii="Arial" w:eastAsia="Times New Roman" w:hAnsi="Arial" w:cs="Arial"/>
          <w:i/>
          <w:color w:val="17365D"/>
          <w:sz w:val="18"/>
          <w:szCs w:val="18"/>
          <w:lang w:eastAsia="hr-HR"/>
        </w:rPr>
        <w:t>Pojedinačni podaci o rezultatima poslovanja poduzetnika dostupni su besplatno na</w:t>
      </w:r>
      <w:r w:rsidRPr="00B57B1D">
        <w:rPr>
          <w:rFonts w:ascii="Arial" w:hAnsi="Arial" w:cs="Arial"/>
          <w:i/>
          <w:color w:val="17365D"/>
          <w:sz w:val="18"/>
          <w:szCs w:val="18"/>
          <w:lang w:eastAsia="hr-HR"/>
        </w:rPr>
        <w:t xml:space="preserve"> </w:t>
      </w:r>
      <w:hyperlink r:id="rId19" w:history="1">
        <w:r w:rsidRPr="00B57B1D">
          <w:rPr>
            <w:rFonts w:ascii="Arial" w:hAnsi="Arial" w:cs="Arial"/>
            <w:i/>
            <w:color w:val="0000FF"/>
            <w:sz w:val="18"/>
            <w:szCs w:val="18"/>
            <w:u w:val="single"/>
            <w:lang w:eastAsia="hr-HR"/>
          </w:rPr>
          <w:t>RGFI – javna objava</w:t>
        </w:r>
      </w:hyperlink>
      <w:r w:rsidRPr="00B57B1D">
        <w:rPr>
          <w:rFonts w:ascii="Arial" w:hAnsi="Arial" w:cs="Arial"/>
          <w:i/>
          <w:color w:val="0F243E"/>
          <w:sz w:val="18"/>
          <w:szCs w:val="18"/>
          <w:lang w:eastAsia="hr-HR"/>
        </w:rPr>
        <w:t xml:space="preserve"> </w:t>
      </w:r>
      <w:r w:rsidRPr="00B57B1D">
        <w:rPr>
          <w:rFonts w:ascii="Arial" w:eastAsia="Times New Roman" w:hAnsi="Arial" w:cs="Arial"/>
          <w:i/>
          <w:color w:val="17375E"/>
          <w:sz w:val="18"/>
          <w:szCs w:val="18"/>
          <w:lang w:eastAsia="hr-HR"/>
        </w:rPr>
        <w:t>i na</w:t>
      </w:r>
      <w:r w:rsidRPr="00B57B1D">
        <w:rPr>
          <w:rFonts w:ascii="Arial" w:hAnsi="Arial" w:cs="Arial"/>
          <w:i/>
          <w:color w:val="0F243E"/>
          <w:sz w:val="18"/>
          <w:szCs w:val="18"/>
          <w:lang w:eastAsia="hr-HR"/>
        </w:rPr>
        <w:t xml:space="preserve"> </w:t>
      </w:r>
      <w:hyperlink r:id="rId20" w:history="1">
        <w:r w:rsidRPr="00B57B1D">
          <w:rPr>
            <w:rFonts w:ascii="Arial" w:hAnsi="Arial" w:cs="Arial"/>
            <w:i/>
            <w:color w:val="0000FF"/>
            <w:sz w:val="18"/>
            <w:szCs w:val="18"/>
            <w:u w:val="single"/>
            <w:lang w:eastAsia="hr-HR"/>
          </w:rPr>
          <w:t>Transparentno.hr</w:t>
        </w:r>
      </w:hyperlink>
      <w:r w:rsidRPr="00B57B1D">
        <w:rPr>
          <w:rFonts w:ascii="Arial" w:hAnsi="Arial" w:cs="Arial"/>
          <w:i/>
          <w:color w:val="0000FF"/>
          <w:sz w:val="18"/>
          <w:szCs w:val="18"/>
          <w:u w:val="single"/>
          <w:lang w:eastAsia="hr-HR"/>
        </w:rPr>
        <w:t>,</w:t>
      </w:r>
      <w:r w:rsidRPr="00B57B1D">
        <w:rPr>
          <w:rFonts w:ascii="Arial" w:hAnsi="Arial" w:cs="Arial"/>
          <w:i/>
          <w:color w:val="0000FF"/>
          <w:sz w:val="18"/>
          <w:szCs w:val="18"/>
          <w:lang w:eastAsia="hr-HR"/>
        </w:rPr>
        <w:t xml:space="preserve"> </w:t>
      </w:r>
      <w:r w:rsidRPr="00B57B1D">
        <w:rPr>
          <w:rFonts w:ascii="Arial" w:hAnsi="Arial" w:cs="Arial"/>
          <w:i/>
          <w:color w:val="244061"/>
          <w:sz w:val="18"/>
          <w:szCs w:val="18"/>
          <w:lang w:eastAsia="hr-HR"/>
        </w:rPr>
        <w:t xml:space="preserve">a agregirani i pojedinačni podaci dostupni su uz naknadu na servisu </w:t>
      </w:r>
      <w:hyperlink r:id="rId21" w:history="1">
        <w:r w:rsidRPr="00B57B1D">
          <w:rPr>
            <w:rFonts w:ascii="Arial" w:hAnsi="Arial" w:cs="Arial"/>
            <w:i/>
            <w:color w:val="0000FF"/>
            <w:sz w:val="18"/>
            <w:szCs w:val="18"/>
            <w:u w:val="single"/>
            <w:lang w:eastAsia="hr-HR"/>
          </w:rPr>
          <w:t>info.BIZ</w:t>
        </w:r>
      </w:hyperlink>
    </w:p>
    <w:p w:rsidR="00B57B1D" w:rsidRPr="00B57B1D" w:rsidRDefault="00B57B1D" w:rsidP="002B74E0">
      <w:pPr>
        <w:pBdr>
          <w:top w:val="single" w:sz="12" w:space="1" w:color="auto"/>
        </w:pBdr>
        <w:spacing w:before="80" w:after="0" w:line="264" w:lineRule="auto"/>
        <w:jc w:val="both"/>
        <w:rPr>
          <w:rFonts w:ascii="Arial" w:hAnsi="Arial" w:cs="Arial"/>
          <w:color w:val="254061"/>
          <w:sz w:val="18"/>
          <w:szCs w:val="18"/>
          <w:u w:val="single"/>
          <w:lang w:eastAsia="hr-HR"/>
        </w:rPr>
      </w:pPr>
      <w:r w:rsidRPr="00B57B1D">
        <w:rPr>
          <w:rFonts w:ascii="Arial" w:hAnsi="Arial" w:cs="Arial"/>
          <w:bCs/>
          <w:i/>
          <w:color w:val="17365D"/>
          <w:sz w:val="18"/>
          <w:szCs w:val="18"/>
        </w:rPr>
        <w:t xml:space="preserve">Informacija o tome je li poslovni subjekt u blokadi ili ne, dostupna je korištenjem usluge </w:t>
      </w:r>
      <w:hyperlink r:id="rId22" w:history="1">
        <w:r w:rsidRPr="00B57B1D">
          <w:rPr>
            <w:rFonts w:ascii="Arial" w:hAnsi="Arial" w:cs="Arial"/>
            <w:bCs/>
            <w:i/>
            <w:color w:val="0000FF"/>
            <w:sz w:val="18"/>
            <w:szCs w:val="18"/>
            <w:u w:val="single"/>
          </w:rPr>
          <w:t>FINA InfoBlokade</w:t>
        </w:r>
      </w:hyperlink>
      <w:r w:rsidRPr="00B57B1D">
        <w:rPr>
          <w:rFonts w:ascii="Arial" w:hAnsi="Arial" w:cs="Arial"/>
          <w:bCs/>
          <w:i/>
          <w:color w:val="17365D"/>
          <w:sz w:val="18"/>
          <w:szCs w:val="18"/>
        </w:rPr>
        <w:t xml:space="preserve"> slanjem SMS poruke na broj 818058, te korištenjem </w:t>
      </w:r>
      <w:hyperlink r:id="rId23" w:history="1">
        <w:r w:rsidRPr="00B57B1D">
          <w:rPr>
            <w:rFonts w:ascii="Arial" w:hAnsi="Arial" w:cs="Arial"/>
            <w:bCs/>
            <w:i/>
            <w:color w:val="0000FF"/>
            <w:sz w:val="18"/>
            <w:szCs w:val="18"/>
            <w:u w:val="single"/>
          </w:rPr>
          <w:t>WEB aplikacije JRR</w:t>
        </w:r>
      </w:hyperlink>
      <w:r w:rsidRPr="00B57B1D">
        <w:rPr>
          <w:rFonts w:ascii="Arial" w:hAnsi="Arial" w:cs="Arial"/>
          <w:bCs/>
          <w:i/>
          <w:color w:val="17365D"/>
          <w:sz w:val="18"/>
          <w:szCs w:val="18"/>
        </w:rPr>
        <w:t xml:space="preserve"> tj. uvidom u podatke o računima i statusu blokade poslovnih subjekata, koji se ažuriraju u </w:t>
      </w:r>
      <w:hyperlink r:id="rId24" w:history="1">
        <w:r w:rsidRPr="00B57B1D">
          <w:rPr>
            <w:rFonts w:ascii="Arial" w:hAnsi="Arial" w:cs="Arial"/>
            <w:bCs/>
            <w:i/>
            <w:color w:val="0000FF"/>
            <w:sz w:val="18"/>
            <w:szCs w:val="18"/>
            <w:u w:val="single"/>
          </w:rPr>
          <w:t>Jedinstvenom registru računa</w:t>
        </w:r>
      </w:hyperlink>
      <w:r w:rsidRPr="00B57B1D">
        <w:rPr>
          <w:rFonts w:ascii="Arial" w:hAnsi="Arial" w:cs="Arial"/>
          <w:bCs/>
          <w:i/>
          <w:color w:val="17365D"/>
          <w:sz w:val="18"/>
          <w:szCs w:val="18"/>
        </w:rPr>
        <w:t xml:space="preserve"> kojega u skladu sa zakonskim propisima, od 2002. godine, vodi Financijska agencija.</w:t>
      </w:r>
    </w:p>
    <w:p w:rsidR="00B57B1D" w:rsidRDefault="00B57B1D"/>
    <w:sectPr w:rsidR="00B57B1D" w:rsidSect="00E72151">
      <w:headerReference w:type="default" r:id="rId25"/>
      <w:footerReference w:type="default" r:id="rId26"/>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A7" w:rsidRDefault="001B67A7" w:rsidP="00E72151">
      <w:pPr>
        <w:spacing w:after="0" w:line="240" w:lineRule="auto"/>
      </w:pPr>
      <w:r>
        <w:separator/>
      </w:r>
    </w:p>
  </w:endnote>
  <w:endnote w:type="continuationSeparator" w:id="0">
    <w:p w:rsidR="001B67A7" w:rsidRDefault="001B67A7" w:rsidP="00E7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1D" w:rsidRPr="00234913" w:rsidRDefault="00B57B1D" w:rsidP="00B57B1D">
    <w:pPr>
      <w:pStyle w:val="Footer"/>
      <w:spacing w:after="0" w:line="240" w:lineRule="auto"/>
      <w:jc w:val="right"/>
      <w:rPr>
        <w:rFonts w:ascii="Arial" w:hAnsi="Arial" w:cs="Arial"/>
        <w:sz w:val="18"/>
        <w:szCs w:val="18"/>
      </w:rPr>
    </w:pPr>
    <w:r w:rsidRPr="00423BBC">
      <w:rPr>
        <w:rFonts w:ascii="Arial" w:hAnsi="Arial" w:cs="Arial"/>
        <w:sz w:val="18"/>
        <w:szCs w:val="18"/>
      </w:rPr>
      <w:fldChar w:fldCharType="begin"/>
    </w:r>
    <w:r w:rsidRPr="00423BBC">
      <w:rPr>
        <w:rFonts w:ascii="Arial" w:hAnsi="Arial" w:cs="Arial"/>
        <w:sz w:val="18"/>
        <w:szCs w:val="18"/>
      </w:rPr>
      <w:instrText>PAGE   \* MERGEFORMAT</w:instrText>
    </w:r>
    <w:r w:rsidRPr="00423BBC">
      <w:rPr>
        <w:rFonts w:ascii="Arial" w:hAnsi="Arial" w:cs="Arial"/>
        <w:sz w:val="18"/>
        <w:szCs w:val="18"/>
      </w:rPr>
      <w:fldChar w:fldCharType="separate"/>
    </w:r>
    <w:r w:rsidR="00EE604C">
      <w:rPr>
        <w:rFonts w:ascii="Arial" w:hAnsi="Arial" w:cs="Arial"/>
        <w:noProof/>
        <w:sz w:val="18"/>
        <w:szCs w:val="18"/>
      </w:rPr>
      <w:t>2</w:t>
    </w:r>
    <w:r w:rsidRPr="00423BBC">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A7" w:rsidRDefault="001B67A7" w:rsidP="00E72151">
      <w:pPr>
        <w:spacing w:after="0" w:line="240" w:lineRule="auto"/>
      </w:pPr>
      <w:r>
        <w:separator/>
      </w:r>
    </w:p>
  </w:footnote>
  <w:footnote w:type="continuationSeparator" w:id="0">
    <w:p w:rsidR="001B67A7" w:rsidRDefault="001B67A7" w:rsidP="00E72151">
      <w:pPr>
        <w:spacing w:after="0" w:line="240" w:lineRule="auto"/>
      </w:pPr>
      <w:r>
        <w:continuationSeparator/>
      </w:r>
    </w:p>
  </w:footnote>
  <w:footnote w:id="1">
    <w:p w:rsidR="00F6032E" w:rsidRPr="00F6032E" w:rsidRDefault="00F6032E" w:rsidP="00EE604C">
      <w:pPr>
        <w:pStyle w:val="FootnoteText"/>
        <w:shd w:val="clear" w:color="auto" w:fill="F3FFF3"/>
        <w:spacing w:after="0"/>
        <w:rPr>
          <w:rFonts w:ascii="Arial" w:hAnsi="Arial" w:cs="Arial"/>
          <w:color w:val="244061"/>
          <w:sz w:val="17"/>
          <w:szCs w:val="17"/>
        </w:rPr>
      </w:pPr>
      <w:r w:rsidRPr="00EE604C">
        <w:rPr>
          <w:rStyle w:val="FootnoteReference"/>
        </w:rPr>
        <w:footnoteRef/>
      </w:r>
      <w:r w:rsidRPr="00EE604C">
        <w:t xml:space="preserve"> </w:t>
      </w:r>
      <w:r w:rsidRPr="00EE604C">
        <w:rPr>
          <w:rFonts w:ascii="Arial" w:hAnsi="Arial" w:cs="Arial"/>
          <w:color w:val="244061"/>
          <w:sz w:val="17"/>
          <w:szCs w:val="17"/>
        </w:rPr>
        <w:t xml:space="preserve">Društvo </w:t>
      </w:r>
      <w:hyperlink r:id="rId1" w:history="1">
        <w:r w:rsidRPr="00EE604C">
          <w:rPr>
            <w:rStyle w:val="Hyperlink"/>
            <w:rFonts w:ascii="Arial" w:hAnsi="Arial" w:cs="Arial"/>
            <w:sz w:val="17"/>
            <w:szCs w:val="17"/>
          </w:rPr>
          <w:t>HSE Adria d.o.o.</w:t>
        </w:r>
      </w:hyperlink>
      <w:r w:rsidRPr="00EE604C">
        <w:rPr>
          <w:rFonts w:ascii="Arial" w:hAnsi="Arial" w:cs="Arial"/>
          <w:color w:val="244061"/>
          <w:sz w:val="17"/>
          <w:szCs w:val="17"/>
        </w:rPr>
        <w:t xml:space="preserve"> nije na rang listi prema prihodu u 2008. godini jer je 29. rujna 2014. godine promijenilo pretežitu djelatnost iz savjetovanja u vezi s poslovanjem i ostalim upravljanjem (NKD 70.22) u trgovinu električnom energijom (NKD 35.14).</w:t>
      </w:r>
    </w:p>
  </w:footnote>
  <w:footnote w:id="2">
    <w:p w:rsidR="00E72151" w:rsidRPr="00904F52" w:rsidRDefault="00E72151" w:rsidP="00F6032E">
      <w:pPr>
        <w:pStyle w:val="FootnoteText"/>
        <w:spacing w:after="0"/>
        <w:rPr>
          <w:rFonts w:ascii="Arial" w:hAnsi="Arial" w:cs="Arial"/>
          <w:color w:val="244061"/>
          <w:sz w:val="17"/>
          <w:szCs w:val="17"/>
        </w:rPr>
      </w:pPr>
      <w:r w:rsidRPr="00904F52">
        <w:rPr>
          <w:rStyle w:val="FootnoteReference"/>
          <w:rFonts w:ascii="Arial" w:hAnsi="Arial" w:cs="Arial"/>
          <w:color w:val="244061"/>
          <w:sz w:val="17"/>
          <w:szCs w:val="17"/>
        </w:rPr>
        <w:footnoteRef/>
      </w:r>
      <w:r w:rsidRPr="00904F52">
        <w:rPr>
          <w:rFonts w:ascii="Arial" w:hAnsi="Arial" w:cs="Arial"/>
          <w:color w:val="244061"/>
          <w:sz w:val="17"/>
          <w:szCs w:val="17"/>
        </w:rPr>
        <w:t xml:space="preserve"> Društveni ugovor o osnivanju od 8.8.2011. godine. Izvor: </w:t>
      </w:r>
      <w:hyperlink r:id="rId2" w:history="1">
        <w:r w:rsidR="000E1796" w:rsidRPr="00904F52">
          <w:rPr>
            <w:rStyle w:val="Hyperlink"/>
            <w:rFonts w:ascii="Arial" w:hAnsi="Arial" w:cs="Arial"/>
            <w:sz w:val="17"/>
            <w:szCs w:val="17"/>
          </w:rPr>
          <w:t>Sudski registar</w:t>
        </w:r>
      </w:hyperlink>
      <w:r w:rsidR="000E1796" w:rsidRPr="00904F52">
        <w:rPr>
          <w:rFonts w:ascii="Arial" w:hAnsi="Arial" w:cs="Arial"/>
          <w:color w:val="244061"/>
          <w:sz w:val="17"/>
          <w:szCs w:val="17"/>
        </w:rPr>
        <w:t>, preuzeto 23. ožujka 2017. godine</w:t>
      </w:r>
    </w:p>
  </w:footnote>
  <w:footnote w:id="3">
    <w:p w:rsidR="006D76CE" w:rsidRPr="00904F52" w:rsidRDefault="006D76CE" w:rsidP="00F6032E">
      <w:pPr>
        <w:pStyle w:val="FootnoteText"/>
        <w:spacing w:before="40" w:after="0" w:line="240" w:lineRule="auto"/>
        <w:rPr>
          <w:rFonts w:ascii="Arial" w:hAnsi="Arial" w:cs="Arial"/>
          <w:color w:val="244061"/>
          <w:sz w:val="17"/>
          <w:szCs w:val="17"/>
        </w:rPr>
      </w:pPr>
      <w:r w:rsidRPr="00904F52">
        <w:rPr>
          <w:rStyle w:val="FootnoteReference"/>
          <w:rFonts w:ascii="Arial" w:hAnsi="Arial" w:cs="Arial"/>
          <w:color w:val="244061"/>
          <w:sz w:val="17"/>
          <w:szCs w:val="17"/>
        </w:rPr>
        <w:footnoteRef/>
      </w:r>
      <w:r w:rsidRPr="00904F52">
        <w:rPr>
          <w:rFonts w:ascii="Arial" w:hAnsi="Arial" w:cs="Arial"/>
          <w:color w:val="244061"/>
          <w:sz w:val="17"/>
          <w:szCs w:val="17"/>
        </w:rPr>
        <w:t xml:space="preserve"> Zaključno s 23. ožujka 2017. godine, društvo nije podnijelo godišnji financijski izvještaj i drugu propisanu dokumentaciju u svrhu javne objave za 2015. godinu (rok 30.6.2016.)</w:t>
      </w:r>
      <w:r w:rsidR="000E1796" w:rsidRPr="00904F52">
        <w:rPr>
          <w:rFonts w:ascii="Arial" w:hAnsi="Arial" w:cs="Arial"/>
          <w:color w:val="244061"/>
          <w:sz w:val="17"/>
          <w:szCs w:val="17"/>
        </w:rPr>
        <w:t xml:space="preserve">. Izvor: Registar godišnjih financijskih izvještaja, aplikacija </w:t>
      </w:r>
      <w:hyperlink r:id="rId3" w:history="1">
        <w:r w:rsidR="000E1796" w:rsidRPr="00904F52">
          <w:rPr>
            <w:rStyle w:val="Hyperlink"/>
            <w:rFonts w:ascii="Arial" w:hAnsi="Arial" w:cs="Arial"/>
            <w:sz w:val="17"/>
            <w:szCs w:val="17"/>
          </w:rPr>
          <w:t>RGFI – javna objava</w:t>
        </w:r>
      </w:hyperlink>
      <w:r w:rsidR="000E1796" w:rsidRPr="00904F52">
        <w:rPr>
          <w:rFonts w:ascii="Arial" w:hAnsi="Arial" w:cs="Arial"/>
          <w:color w:val="244061"/>
          <w:sz w:val="17"/>
          <w:szCs w:val="17"/>
        </w:rPr>
        <w:t xml:space="preserve"> i </w:t>
      </w:r>
      <w:hyperlink r:id="rId4" w:history="1">
        <w:r w:rsidR="000E1796" w:rsidRPr="00904F52">
          <w:rPr>
            <w:rStyle w:val="Hyperlink"/>
            <w:rFonts w:ascii="Arial" w:hAnsi="Arial" w:cs="Arial"/>
            <w:sz w:val="17"/>
            <w:szCs w:val="17"/>
          </w:rPr>
          <w:t>Sudski registar</w:t>
        </w:r>
      </w:hyperlink>
      <w:r w:rsidR="000E1796" w:rsidRPr="00904F52">
        <w:rPr>
          <w:rFonts w:ascii="Arial" w:hAnsi="Arial" w:cs="Arial"/>
          <w:color w:val="244061"/>
          <w:sz w:val="17"/>
          <w:szCs w:val="17"/>
        </w:rPr>
        <w:t>, preuzeto 23. ožujka 2017.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1D" w:rsidRPr="00666675" w:rsidRDefault="00B46CD4" w:rsidP="00B57B1D">
    <w:pPr>
      <w:pStyle w:val="Header"/>
      <w:spacing w:after="0" w:line="240" w:lineRule="auto"/>
      <w:rPr>
        <w:sz w:val="18"/>
        <w:szCs w:val="18"/>
      </w:rPr>
    </w:pPr>
    <w:r>
      <w:rPr>
        <w:noProof/>
        <w:lang w:eastAsia="hr-HR"/>
      </w:rPr>
      <w:drawing>
        <wp:anchor distT="0" distB="0" distL="114300" distR="114300" simplePos="0" relativeHeight="251657728" behindDoc="0" locked="0" layoutInCell="1" allowOverlap="1">
          <wp:simplePos x="0" y="0"/>
          <wp:positionH relativeFrom="column">
            <wp:posOffset>-31115</wp:posOffset>
          </wp:positionH>
          <wp:positionV relativeFrom="paragraph">
            <wp:posOffset>-94615</wp:posOffset>
          </wp:positionV>
          <wp:extent cx="1085215" cy="215900"/>
          <wp:effectExtent l="0" t="0" r="635" b="0"/>
          <wp:wrapNone/>
          <wp:docPr id="1" name="Slika 1"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1D"/>
    <w:rsid w:val="00026F6D"/>
    <w:rsid w:val="000E1796"/>
    <w:rsid w:val="00153FC9"/>
    <w:rsid w:val="001B67A7"/>
    <w:rsid w:val="00230C6A"/>
    <w:rsid w:val="002B74E0"/>
    <w:rsid w:val="002C4C09"/>
    <w:rsid w:val="002D1D6F"/>
    <w:rsid w:val="0036057E"/>
    <w:rsid w:val="003C08F8"/>
    <w:rsid w:val="004617A4"/>
    <w:rsid w:val="00477E7F"/>
    <w:rsid w:val="00556695"/>
    <w:rsid w:val="00593623"/>
    <w:rsid w:val="005C03B5"/>
    <w:rsid w:val="00656EAE"/>
    <w:rsid w:val="00660AF2"/>
    <w:rsid w:val="006D76CE"/>
    <w:rsid w:val="006E07AA"/>
    <w:rsid w:val="006E5F54"/>
    <w:rsid w:val="006F2E2B"/>
    <w:rsid w:val="00726335"/>
    <w:rsid w:val="00775023"/>
    <w:rsid w:val="007E3F16"/>
    <w:rsid w:val="00890097"/>
    <w:rsid w:val="008A4377"/>
    <w:rsid w:val="00904F52"/>
    <w:rsid w:val="009819C0"/>
    <w:rsid w:val="009C2587"/>
    <w:rsid w:val="009E31A3"/>
    <w:rsid w:val="00A35AE1"/>
    <w:rsid w:val="00A63791"/>
    <w:rsid w:val="00AE1989"/>
    <w:rsid w:val="00AF7673"/>
    <w:rsid w:val="00B46CD4"/>
    <w:rsid w:val="00B57B1D"/>
    <w:rsid w:val="00BB0F35"/>
    <w:rsid w:val="00BC12BB"/>
    <w:rsid w:val="00D340FB"/>
    <w:rsid w:val="00DA6F20"/>
    <w:rsid w:val="00DE3414"/>
    <w:rsid w:val="00DF6CB1"/>
    <w:rsid w:val="00E70361"/>
    <w:rsid w:val="00E72151"/>
    <w:rsid w:val="00EA2A8E"/>
    <w:rsid w:val="00ED37E4"/>
    <w:rsid w:val="00EE604C"/>
    <w:rsid w:val="00F6032E"/>
    <w:rsid w:val="00F64B44"/>
    <w:rsid w:val="00F83D70"/>
    <w:rsid w:val="00F85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B1D"/>
    <w:pPr>
      <w:tabs>
        <w:tab w:val="center" w:pos="4536"/>
        <w:tab w:val="right" w:pos="9072"/>
      </w:tabs>
    </w:pPr>
  </w:style>
  <w:style w:type="character" w:customStyle="1" w:styleId="HeaderChar">
    <w:name w:val="Header Char"/>
    <w:link w:val="Header"/>
    <w:uiPriority w:val="99"/>
    <w:semiHidden/>
    <w:rsid w:val="00B57B1D"/>
    <w:rPr>
      <w:sz w:val="22"/>
      <w:szCs w:val="22"/>
      <w:lang w:eastAsia="en-US"/>
    </w:rPr>
  </w:style>
  <w:style w:type="paragraph" w:styleId="Footer">
    <w:name w:val="footer"/>
    <w:basedOn w:val="Normal"/>
    <w:link w:val="FooterChar"/>
    <w:uiPriority w:val="99"/>
    <w:semiHidden/>
    <w:unhideWhenUsed/>
    <w:rsid w:val="00B57B1D"/>
    <w:pPr>
      <w:tabs>
        <w:tab w:val="center" w:pos="4536"/>
        <w:tab w:val="right" w:pos="9072"/>
      </w:tabs>
    </w:pPr>
  </w:style>
  <w:style w:type="character" w:customStyle="1" w:styleId="FooterChar">
    <w:name w:val="Footer Char"/>
    <w:link w:val="Footer"/>
    <w:uiPriority w:val="99"/>
    <w:semiHidden/>
    <w:rsid w:val="00B57B1D"/>
    <w:rPr>
      <w:sz w:val="22"/>
      <w:szCs w:val="22"/>
      <w:lang w:eastAsia="en-US"/>
    </w:rPr>
  </w:style>
  <w:style w:type="paragraph" w:styleId="FootnoteText">
    <w:name w:val="footnote text"/>
    <w:basedOn w:val="Normal"/>
    <w:link w:val="FootnoteTextChar"/>
    <w:uiPriority w:val="99"/>
    <w:semiHidden/>
    <w:unhideWhenUsed/>
    <w:rsid w:val="00E72151"/>
    <w:rPr>
      <w:sz w:val="20"/>
      <w:szCs w:val="20"/>
    </w:rPr>
  </w:style>
  <w:style w:type="character" w:customStyle="1" w:styleId="FootnoteTextChar">
    <w:name w:val="Footnote Text Char"/>
    <w:link w:val="FootnoteText"/>
    <w:uiPriority w:val="99"/>
    <w:semiHidden/>
    <w:rsid w:val="00E72151"/>
    <w:rPr>
      <w:lang w:eastAsia="en-US"/>
    </w:rPr>
  </w:style>
  <w:style w:type="character" w:styleId="FootnoteReference">
    <w:name w:val="footnote reference"/>
    <w:uiPriority w:val="99"/>
    <w:semiHidden/>
    <w:unhideWhenUsed/>
    <w:rsid w:val="00E72151"/>
    <w:rPr>
      <w:vertAlign w:val="superscript"/>
    </w:rPr>
  </w:style>
  <w:style w:type="character" w:styleId="Hyperlink">
    <w:name w:val="Hyperlink"/>
    <w:uiPriority w:val="99"/>
    <w:unhideWhenUsed/>
    <w:rsid w:val="000E1796"/>
    <w:rPr>
      <w:color w:val="0000FF"/>
      <w:u w:val="single"/>
    </w:rPr>
  </w:style>
  <w:style w:type="paragraph" w:styleId="BalloonText">
    <w:name w:val="Balloon Text"/>
    <w:basedOn w:val="Normal"/>
    <w:link w:val="BalloonTextChar"/>
    <w:uiPriority w:val="99"/>
    <w:semiHidden/>
    <w:unhideWhenUsed/>
    <w:rsid w:val="00BB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35"/>
    <w:rPr>
      <w:rFonts w:ascii="Tahoma" w:hAnsi="Tahoma" w:cs="Tahoma"/>
      <w:sz w:val="16"/>
      <w:szCs w:val="16"/>
      <w:lang w:eastAsia="en-US"/>
    </w:rPr>
  </w:style>
  <w:style w:type="table" w:styleId="TableGrid">
    <w:name w:val="Table Grid"/>
    <w:basedOn w:val="TableNormal"/>
    <w:uiPriority w:val="59"/>
    <w:rsid w:val="00904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90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B1D"/>
    <w:pPr>
      <w:tabs>
        <w:tab w:val="center" w:pos="4536"/>
        <w:tab w:val="right" w:pos="9072"/>
      </w:tabs>
    </w:pPr>
  </w:style>
  <w:style w:type="character" w:customStyle="1" w:styleId="HeaderChar">
    <w:name w:val="Header Char"/>
    <w:link w:val="Header"/>
    <w:uiPriority w:val="99"/>
    <w:semiHidden/>
    <w:rsid w:val="00B57B1D"/>
    <w:rPr>
      <w:sz w:val="22"/>
      <w:szCs w:val="22"/>
      <w:lang w:eastAsia="en-US"/>
    </w:rPr>
  </w:style>
  <w:style w:type="paragraph" w:styleId="Footer">
    <w:name w:val="footer"/>
    <w:basedOn w:val="Normal"/>
    <w:link w:val="FooterChar"/>
    <w:uiPriority w:val="99"/>
    <w:semiHidden/>
    <w:unhideWhenUsed/>
    <w:rsid w:val="00B57B1D"/>
    <w:pPr>
      <w:tabs>
        <w:tab w:val="center" w:pos="4536"/>
        <w:tab w:val="right" w:pos="9072"/>
      </w:tabs>
    </w:pPr>
  </w:style>
  <w:style w:type="character" w:customStyle="1" w:styleId="FooterChar">
    <w:name w:val="Footer Char"/>
    <w:link w:val="Footer"/>
    <w:uiPriority w:val="99"/>
    <w:semiHidden/>
    <w:rsid w:val="00B57B1D"/>
    <w:rPr>
      <w:sz w:val="22"/>
      <w:szCs w:val="22"/>
      <w:lang w:eastAsia="en-US"/>
    </w:rPr>
  </w:style>
  <w:style w:type="paragraph" w:styleId="FootnoteText">
    <w:name w:val="footnote text"/>
    <w:basedOn w:val="Normal"/>
    <w:link w:val="FootnoteTextChar"/>
    <w:uiPriority w:val="99"/>
    <w:semiHidden/>
    <w:unhideWhenUsed/>
    <w:rsid w:val="00E72151"/>
    <w:rPr>
      <w:sz w:val="20"/>
      <w:szCs w:val="20"/>
    </w:rPr>
  </w:style>
  <w:style w:type="character" w:customStyle="1" w:styleId="FootnoteTextChar">
    <w:name w:val="Footnote Text Char"/>
    <w:link w:val="FootnoteText"/>
    <w:uiPriority w:val="99"/>
    <w:semiHidden/>
    <w:rsid w:val="00E72151"/>
    <w:rPr>
      <w:lang w:eastAsia="en-US"/>
    </w:rPr>
  </w:style>
  <w:style w:type="character" w:styleId="FootnoteReference">
    <w:name w:val="footnote reference"/>
    <w:uiPriority w:val="99"/>
    <w:semiHidden/>
    <w:unhideWhenUsed/>
    <w:rsid w:val="00E72151"/>
    <w:rPr>
      <w:vertAlign w:val="superscript"/>
    </w:rPr>
  </w:style>
  <w:style w:type="character" w:styleId="Hyperlink">
    <w:name w:val="Hyperlink"/>
    <w:uiPriority w:val="99"/>
    <w:unhideWhenUsed/>
    <w:rsid w:val="000E1796"/>
    <w:rPr>
      <w:color w:val="0000FF"/>
      <w:u w:val="single"/>
    </w:rPr>
  </w:style>
  <w:style w:type="paragraph" w:styleId="BalloonText">
    <w:name w:val="Balloon Text"/>
    <w:basedOn w:val="Normal"/>
    <w:link w:val="BalloonTextChar"/>
    <w:uiPriority w:val="99"/>
    <w:semiHidden/>
    <w:unhideWhenUsed/>
    <w:rsid w:val="00BB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35"/>
    <w:rPr>
      <w:rFonts w:ascii="Tahoma" w:hAnsi="Tahoma" w:cs="Tahoma"/>
      <w:sz w:val="16"/>
      <w:szCs w:val="16"/>
      <w:lang w:eastAsia="en-US"/>
    </w:rPr>
  </w:style>
  <w:style w:type="table" w:styleId="TableGrid">
    <w:name w:val="Table Grid"/>
    <w:basedOn w:val="TableNormal"/>
    <w:uiPriority w:val="59"/>
    <w:rsid w:val="00904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90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ransparentno.hr/pregled/13148821633/b3afe8bf384c02c2fefad2fdd1d7246020514da1d55ffc6d68d31e50e447470e5baece3ef9ae21d34879be9b3feae7200a2d828b7f248bf9038bd38ffc1a357e" TargetMode="External"/><Relationship Id="rId18" Type="http://schemas.openxmlformats.org/officeDocument/2006/relationships/hyperlink" Target="http://www.fina.hr/Default.aspx?sec=1279"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fina.hr/Default.aspx?art=8958&amp;sec=1275" TargetMode="External"/><Relationship Id="rId7" Type="http://schemas.openxmlformats.org/officeDocument/2006/relationships/endnotes" Target="endnotes.xml"/><Relationship Id="rId12" Type="http://schemas.openxmlformats.org/officeDocument/2006/relationships/hyperlink" Target="https://www.transparentno.hr/pregled/09518585079/eb2fef32a932934622415409e2ddfa47b2c173cc7b95c322906c4e25cf1191b99a2d38171c3f4668f4f949aea4e147bf94f4b63e1d2862b6ccf7ed25cf1f5830" TargetMode="External"/><Relationship Id="rId17" Type="http://schemas.openxmlformats.org/officeDocument/2006/relationships/hyperlink" Target="http://www.fina.hr/Default.aspx?sec=97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ansparentno.hr/pregled/81103558092/8af7faecd88ecb3b72d2d7e8ad3fdece016d5efe2693bc91c2b9c6097c1fdd5475822c10ba2318d94dc879a10139df359a2a494c68dffcc9c43fc049ff338bab" TargetMode="External"/><Relationship Id="rId20" Type="http://schemas.openxmlformats.org/officeDocument/2006/relationships/hyperlink" Target="https://www.transparentn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tno.hr/pregled/46830600751/7b1e0bfd8e7df29819fa0ec2056cf1b7a279adb6b0d804f3bf4df7d5869dccdfa5c50df0a31b394c4c180e1a24645fa31bb296d72c71aded2ad6c9ddfd79fc8e" TargetMode="External"/><Relationship Id="rId24" Type="http://schemas.openxmlformats.org/officeDocument/2006/relationships/hyperlink" Target="http://www.fina.hr/Default.aspx?sec=972" TargetMode="External"/><Relationship Id="rId5" Type="http://schemas.openxmlformats.org/officeDocument/2006/relationships/webSettings" Target="webSettings.xml"/><Relationship Id="rId15" Type="http://schemas.openxmlformats.org/officeDocument/2006/relationships/hyperlink" Target="https://www.transparentno.hr/pregled/17040043994/b34ed6f85e655ce11fe3988f1281766e292afc8169dbb72c5578134e9d3e3e846545f3a12c483984a9d8bfb88269735f399cd9191d69bab75b07834f5a85c0d9" TargetMode="External"/><Relationship Id="rId23" Type="http://schemas.openxmlformats.org/officeDocument/2006/relationships/hyperlink" Target="https://jrr.fina.hr/" TargetMode="External"/><Relationship Id="rId28" Type="http://schemas.openxmlformats.org/officeDocument/2006/relationships/theme" Target="theme/theme1.xml"/><Relationship Id="rId10" Type="http://schemas.openxmlformats.org/officeDocument/2006/relationships/hyperlink" Target="https://www.transparentno.hr/pregled/28921978587/e88cdcf07aa62be971f4a7a40b3cde3ef20021bda1a26a41b8e0b1549f2c03aa76b293f49390c2b398c7b0f6ce1df23e5dde64df82b10151420526fdf5a7f344" TargetMode="External"/><Relationship Id="rId19" Type="http://schemas.openxmlformats.org/officeDocument/2006/relationships/hyperlink" Target="http://rgfi.fina.hr/JavnaObjava-web/jsp/prijavaKorisnika.js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transparentno.hr/pregled/77604626413/a222f62f84232c0eac64adb663805f860537142d913591b00ac5677586071df900906931a13b2e5c4b7ee06598ebe0231dddbd3760c47fbdcbce1d573a86c666" TargetMode="External"/><Relationship Id="rId22" Type="http://schemas.openxmlformats.org/officeDocument/2006/relationships/hyperlink" Target="http://www.fina.hr/Default.aspx?sec=1538"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gfi.fina.hr/JavnaObjava-web/prijava.do" TargetMode="External"/><Relationship Id="rId2" Type="http://schemas.openxmlformats.org/officeDocument/2006/relationships/hyperlink" Target="https://sudreg.pravosudje.hr/registar/f?p=150:1:0::NO:1,28::" TargetMode="External"/><Relationship Id="rId1" Type="http://schemas.openxmlformats.org/officeDocument/2006/relationships/hyperlink" Target="https://www.transparentno.hr/pregled/05925862411/e275a85d02fab21d4c7cc91ca423ad6c2696cc5d02940663df8506d837293c917e4d9936e624ee9e9262df220854709fcd5d85ef35f1ce85879995ab675e3e79" TargetMode="External"/><Relationship Id="rId4" Type="http://schemas.openxmlformats.org/officeDocument/2006/relationships/hyperlink" Target="https://sudreg.pravosudje.hr/registar/f?p=150:1:0::NO:1,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oleObject" Target="file:///D:\Vesna%20Kavur\stari%20dokumenti%20d%20disk\dokumenti\Gospodarske%20vijesti\2017\Po%20NKD-u\Elektri&#269;na%20energija%20(NKD%2035)\Rang%20lista%20i%20agregirani%20rezultati%20poduzetnika%20u%20proizvodnji%20elektri&#269;ne%20energije,%20od%202008.%20do%202015.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'Tablica 1 i Grafikon 1'!$A$19</c:f>
              <c:strCache>
                <c:ptCount val="1"/>
                <c:pt idx="0">
                  <c:v>Dobit razdoblja </c:v>
                </c:pt>
              </c:strCache>
            </c:strRef>
          </c:tx>
          <c:marker>
            <c:symbol val="none"/>
          </c:marker>
          <c:cat>
            <c:strRef>
              <c:f>'Tablica 1 i Grafikon 1'!$B$18:$I$18</c:f>
              <c:strCache>
                <c:ptCount val="8"/>
                <c:pt idx="0">
                  <c:v>2008.</c:v>
                </c:pt>
                <c:pt idx="1">
                  <c:v>2009.</c:v>
                </c:pt>
                <c:pt idx="2">
                  <c:v>2010.</c:v>
                </c:pt>
                <c:pt idx="3">
                  <c:v>2011.</c:v>
                </c:pt>
                <c:pt idx="4">
                  <c:v>2012.</c:v>
                </c:pt>
                <c:pt idx="5">
                  <c:v>2013.</c:v>
                </c:pt>
                <c:pt idx="6">
                  <c:v>2014.</c:v>
                </c:pt>
                <c:pt idx="7">
                  <c:v>2015.</c:v>
                </c:pt>
              </c:strCache>
            </c:strRef>
          </c:cat>
          <c:val>
            <c:numRef>
              <c:f>'Tablica 1 i Grafikon 1'!$B$19:$I$19</c:f>
              <c:numCache>
                <c:formatCode>#,##0</c:formatCode>
                <c:ptCount val="8"/>
                <c:pt idx="0">
                  <c:v>252984</c:v>
                </c:pt>
                <c:pt idx="1">
                  <c:v>396573</c:v>
                </c:pt>
                <c:pt idx="2">
                  <c:v>1663095.5689999999</c:v>
                </c:pt>
                <c:pt idx="3">
                  <c:v>885808.08100000001</c:v>
                </c:pt>
                <c:pt idx="4">
                  <c:v>1002855.573</c:v>
                </c:pt>
                <c:pt idx="5">
                  <c:v>2380066.713</c:v>
                </c:pt>
                <c:pt idx="6">
                  <c:v>3123839.3369999998</c:v>
                </c:pt>
                <c:pt idx="7">
                  <c:v>3167197.5240000002</c:v>
                </c:pt>
              </c:numCache>
            </c:numRef>
          </c:val>
          <c:smooth val="0"/>
        </c:ser>
        <c:ser>
          <c:idx val="1"/>
          <c:order val="1"/>
          <c:tx>
            <c:strRef>
              <c:f>'Tablica 1 i Grafikon 1'!$A$20</c:f>
              <c:strCache>
                <c:ptCount val="1"/>
                <c:pt idx="0">
                  <c:v>Gubitak razdoblja </c:v>
                </c:pt>
              </c:strCache>
            </c:strRef>
          </c:tx>
          <c:marker>
            <c:symbol val="none"/>
          </c:marker>
          <c:cat>
            <c:strRef>
              <c:f>'Tablica 1 i Grafikon 1'!$B$18:$I$18</c:f>
              <c:strCache>
                <c:ptCount val="8"/>
                <c:pt idx="0">
                  <c:v>2008.</c:v>
                </c:pt>
                <c:pt idx="1">
                  <c:v>2009.</c:v>
                </c:pt>
                <c:pt idx="2">
                  <c:v>2010.</c:v>
                </c:pt>
                <c:pt idx="3">
                  <c:v>2011.</c:v>
                </c:pt>
                <c:pt idx="4">
                  <c:v>2012.</c:v>
                </c:pt>
                <c:pt idx="5">
                  <c:v>2013.</c:v>
                </c:pt>
                <c:pt idx="6">
                  <c:v>2014.</c:v>
                </c:pt>
                <c:pt idx="7">
                  <c:v>2015.</c:v>
                </c:pt>
              </c:strCache>
            </c:strRef>
          </c:cat>
          <c:val>
            <c:numRef>
              <c:f>'Tablica 1 i Grafikon 1'!$B$20:$I$20</c:f>
              <c:numCache>
                <c:formatCode>#,##0</c:formatCode>
                <c:ptCount val="8"/>
                <c:pt idx="0">
                  <c:v>37483</c:v>
                </c:pt>
                <c:pt idx="1">
                  <c:v>90591</c:v>
                </c:pt>
                <c:pt idx="2">
                  <c:v>28737.521000000001</c:v>
                </c:pt>
                <c:pt idx="3">
                  <c:v>83201.573000000004</c:v>
                </c:pt>
                <c:pt idx="4">
                  <c:v>44550.724000000002</c:v>
                </c:pt>
                <c:pt idx="5">
                  <c:v>116881.533</c:v>
                </c:pt>
                <c:pt idx="6">
                  <c:v>129934.409</c:v>
                </c:pt>
                <c:pt idx="7">
                  <c:v>159337.33199999999</c:v>
                </c:pt>
              </c:numCache>
            </c:numRef>
          </c:val>
          <c:smooth val="0"/>
        </c:ser>
        <c:ser>
          <c:idx val="2"/>
          <c:order val="2"/>
          <c:tx>
            <c:strRef>
              <c:f>'Tablica 1 i Grafikon 1'!$A$21</c:f>
              <c:strCache>
                <c:ptCount val="1"/>
                <c:pt idx="0">
                  <c:v>Neto dobit</c:v>
                </c:pt>
              </c:strCache>
            </c:strRef>
          </c:tx>
          <c:marker>
            <c:symbol val="none"/>
          </c:marker>
          <c:cat>
            <c:strRef>
              <c:f>'Tablica 1 i Grafikon 1'!$B$18:$I$18</c:f>
              <c:strCache>
                <c:ptCount val="8"/>
                <c:pt idx="0">
                  <c:v>2008.</c:v>
                </c:pt>
                <c:pt idx="1">
                  <c:v>2009.</c:v>
                </c:pt>
                <c:pt idx="2">
                  <c:v>2010.</c:v>
                </c:pt>
                <c:pt idx="3">
                  <c:v>2011.</c:v>
                </c:pt>
                <c:pt idx="4">
                  <c:v>2012.</c:v>
                </c:pt>
                <c:pt idx="5">
                  <c:v>2013.</c:v>
                </c:pt>
                <c:pt idx="6">
                  <c:v>2014.</c:v>
                </c:pt>
                <c:pt idx="7">
                  <c:v>2015.</c:v>
                </c:pt>
              </c:strCache>
            </c:strRef>
          </c:cat>
          <c:val>
            <c:numRef>
              <c:f>'Tablica 1 i Grafikon 1'!$B$21:$I$21</c:f>
              <c:numCache>
                <c:formatCode>#,##0</c:formatCode>
                <c:ptCount val="8"/>
                <c:pt idx="0">
                  <c:v>215501</c:v>
                </c:pt>
                <c:pt idx="1">
                  <c:v>305982</c:v>
                </c:pt>
                <c:pt idx="2">
                  <c:v>1634358.048</c:v>
                </c:pt>
                <c:pt idx="3">
                  <c:v>802606.50800000003</c:v>
                </c:pt>
                <c:pt idx="4">
                  <c:v>958304.84900000005</c:v>
                </c:pt>
                <c:pt idx="5">
                  <c:v>2263185.1800000002</c:v>
                </c:pt>
                <c:pt idx="6">
                  <c:v>2993904.9279999998</c:v>
                </c:pt>
                <c:pt idx="7">
                  <c:v>3007860.1919999998</c:v>
                </c:pt>
              </c:numCache>
            </c:numRef>
          </c:val>
          <c:smooth val="0"/>
        </c:ser>
        <c:dLbls>
          <c:showLegendKey val="0"/>
          <c:showVal val="0"/>
          <c:showCatName val="0"/>
          <c:showSerName val="0"/>
          <c:showPercent val="0"/>
          <c:showBubbleSize val="0"/>
        </c:dLbls>
        <c:marker val="1"/>
        <c:smooth val="0"/>
        <c:axId val="280599552"/>
        <c:axId val="132097728"/>
      </c:lineChart>
      <c:catAx>
        <c:axId val="280599552"/>
        <c:scaling>
          <c:orientation val="minMax"/>
        </c:scaling>
        <c:delete val="0"/>
        <c:axPos val="b"/>
        <c:numFmt formatCode="General" sourceLinked="1"/>
        <c:majorTickMark val="none"/>
        <c:minorTickMark val="none"/>
        <c:tickLblPos val="nextTo"/>
        <c:crossAx val="132097728"/>
        <c:crosses val="autoZero"/>
        <c:auto val="1"/>
        <c:lblAlgn val="ctr"/>
        <c:lblOffset val="100"/>
        <c:noMultiLvlLbl val="0"/>
      </c:catAx>
      <c:valAx>
        <c:axId val="132097728"/>
        <c:scaling>
          <c:orientation val="minMax"/>
        </c:scaling>
        <c:delete val="0"/>
        <c:axPos val="l"/>
        <c:majorGridlines/>
        <c:title>
          <c:tx>
            <c:rich>
              <a:bodyPr/>
              <a:lstStyle/>
              <a:p>
                <a:pPr>
                  <a:defRPr/>
                </a:pPr>
                <a:r>
                  <a:rPr lang="hr-HR"/>
                  <a:t>Iznosi u tis. kn.</a:t>
                </a:r>
              </a:p>
            </c:rich>
          </c:tx>
          <c:overlay val="0"/>
        </c:title>
        <c:numFmt formatCode="#,##0" sourceLinked="1"/>
        <c:majorTickMark val="none"/>
        <c:minorTickMark val="none"/>
        <c:tickLblPos val="nextTo"/>
        <c:crossAx val="280599552"/>
        <c:crosses val="autoZero"/>
        <c:crossBetween val="between"/>
      </c:valAx>
      <c:dTable>
        <c:showHorzBorder val="1"/>
        <c:showVertBorder val="1"/>
        <c:showOutline val="1"/>
        <c:showKeys val="1"/>
      </c:dTable>
    </c:plotArea>
    <c:plotVisOnly val="1"/>
    <c:dispBlanksAs val="gap"/>
    <c:showDLblsOverMax val="0"/>
  </c:chart>
  <c:txPr>
    <a:bodyPr/>
    <a:lstStyle/>
    <a:p>
      <a:pPr>
        <a:defRPr sz="900">
          <a:solidFill>
            <a:schemeClr val="accent1">
              <a:lumMod val="50000"/>
            </a:schemeClr>
          </a:solidFil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368C-6753-4E2D-83D6-DEDBBCE5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7817</CharactersWithSpaces>
  <SharedDoc>false</SharedDoc>
  <HLinks>
    <vt:vector size="126" baseType="variant">
      <vt:variant>
        <vt:i4>3997819</vt:i4>
      </vt:variant>
      <vt:variant>
        <vt:i4>51</vt:i4>
      </vt:variant>
      <vt:variant>
        <vt:i4>0</vt:i4>
      </vt:variant>
      <vt:variant>
        <vt:i4>5</vt:i4>
      </vt:variant>
      <vt:variant>
        <vt:lpwstr>http://www.fina.hr/Default.aspx?sec=972</vt:lpwstr>
      </vt:variant>
      <vt:variant>
        <vt:lpwstr/>
      </vt:variant>
      <vt:variant>
        <vt:i4>131084</vt:i4>
      </vt:variant>
      <vt:variant>
        <vt:i4>48</vt:i4>
      </vt:variant>
      <vt:variant>
        <vt:i4>0</vt:i4>
      </vt:variant>
      <vt:variant>
        <vt:i4>5</vt:i4>
      </vt:variant>
      <vt:variant>
        <vt:lpwstr>https://jrr.fina.hr/</vt:lpwstr>
      </vt:variant>
      <vt:variant>
        <vt:lpwstr/>
      </vt:variant>
      <vt:variant>
        <vt:i4>458816</vt:i4>
      </vt:variant>
      <vt:variant>
        <vt:i4>45</vt:i4>
      </vt:variant>
      <vt:variant>
        <vt:i4>0</vt:i4>
      </vt:variant>
      <vt:variant>
        <vt:i4>5</vt:i4>
      </vt:variant>
      <vt:variant>
        <vt:lpwstr>http://www.fina.hr/Default.aspx?sec=1538</vt:lpwstr>
      </vt:variant>
      <vt:variant>
        <vt:lpwstr/>
      </vt:variant>
      <vt:variant>
        <vt:i4>655366</vt:i4>
      </vt:variant>
      <vt:variant>
        <vt:i4>42</vt:i4>
      </vt:variant>
      <vt:variant>
        <vt:i4>0</vt:i4>
      </vt:variant>
      <vt:variant>
        <vt:i4>5</vt:i4>
      </vt:variant>
      <vt:variant>
        <vt:lpwstr>http://www.fina.hr/Default.aspx?art=8958&amp;sec=1275</vt:lpwstr>
      </vt:variant>
      <vt:variant>
        <vt:lpwstr/>
      </vt:variant>
      <vt:variant>
        <vt:i4>655441</vt:i4>
      </vt:variant>
      <vt:variant>
        <vt:i4>39</vt:i4>
      </vt:variant>
      <vt:variant>
        <vt:i4>0</vt:i4>
      </vt:variant>
      <vt:variant>
        <vt:i4>5</vt:i4>
      </vt:variant>
      <vt:variant>
        <vt:lpwstr>https://www.transparentno.hr/</vt:lpwstr>
      </vt:variant>
      <vt:variant>
        <vt:lpwstr/>
      </vt:variant>
      <vt:variant>
        <vt:i4>983044</vt:i4>
      </vt:variant>
      <vt:variant>
        <vt:i4>36</vt:i4>
      </vt:variant>
      <vt:variant>
        <vt:i4>0</vt:i4>
      </vt:variant>
      <vt:variant>
        <vt:i4>5</vt:i4>
      </vt:variant>
      <vt:variant>
        <vt:lpwstr>http://rgfi.fina.hr/JavnaObjava-web/jsp/prijavaKorisnika.jsp</vt:lpwstr>
      </vt:variant>
      <vt:variant>
        <vt:lpwstr/>
      </vt:variant>
      <vt:variant>
        <vt:i4>65604</vt:i4>
      </vt:variant>
      <vt:variant>
        <vt:i4>33</vt:i4>
      </vt:variant>
      <vt:variant>
        <vt:i4>0</vt:i4>
      </vt:variant>
      <vt:variant>
        <vt:i4>5</vt:i4>
      </vt:variant>
      <vt:variant>
        <vt:lpwstr>http://www.fina.hr/Default.aspx?sec=1279</vt:lpwstr>
      </vt:variant>
      <vt:variant>
        <vt:lpwstr/>
      </vt:variant>
      <vt:variant>
        <vt:i4>1507337</vt:i4>
      </vt:variant>
      <vt:variant>
        <vt:i4>30</vt:i4>
      </vt:variant>
      <vt:variant>
        <vt:i4>0</vt:i4>
      </vt:variant>
      <vt:variant>
        <vt:i4>5</vt:i4>
      </vt:variant>
      <vt:variant>
        <vt:lpwstr>https://www.transparentno.hr/pregled/20622608859/08d39b480d82bb3b61420436b39cb1b50c69401caa76e270fe5b59242dd4fcfe6eabe882da95f6dd3040d9c944272a7275afa70eab73209748c524c5179b89b0</vt:lpwstr>
      </vt:variant>
      <vt:variant>
        <vt:lpwstr/>
      </vt:variant>
      <vt:variant>
        <vt:i4>4456528</vt:i4>
      </vt:variant>
      <vt:variant>
        <vt:i4>27</vt:i4>
      </vt:variant>
      <vt:variant>
        <vt:i4>0</vt:i4>
      </vt:variant>
      <vt:variant>
        <vt:i4>5</vt:i4>
      </vt:variant>
      <vt:variant>
        <vt:lpwstr>https://www.transparentno.hr/pregled/63073332379/e0f1d8a622fb46af0c377b1a12ec520c0f3a35453803c744d0b8b8198166a1f444fdf6e46126d25afb164e67467e81f6819fabcbb8a29c83083b6c5c7e923d06</vt:lpwstr>
      </vt:variant>
      <vt:variant>
        <vt:lpwstr/>
      </vt:variant>
      <vt:variant>
        <vt:i4>1966165</vt:i4>
      </vt:variant>
      <vt:variant>
        <vt:i4>24</vt:i4>
      </vt:variant>
      <vt:variant>
        <vt:i4>0</vt:i4>
      </vt:variant>
      <vt:variant>
        <vt:i4>5</vt:i4>
      </vt:variant>
      <vt:variant>
        <vt:lpwstr>https://www.transparentno.hr/pregled/81103558092/4796d06ee3e068c0c5de6a7211f959fe7961eb7dbe5b0b0e89171214bf061d1609a1b4ee1ea0caf40083d6c787f7deca25044218a483b8a345329edd2ef8da13</vt:lpwstr>
      </vt:variant>
      <vt:variant>
        <vt:lpwstr/>
      </vt:variant>
      <vt:variant>
        <vt:i4>4915286</vt:i4>
      </vt:variant>
      <vt:variant>
        <vt:i4>21</vt:i4>
      </vt:variant>
      <vt:variant>
        <vt:i4>0</vt:i4>
      </vt:variant>
      <vt:variant>
        <vt:i4>5</vt:i4>
      </vt:variant>
      <vt:variant>
        <vt:lpwstr>https://www.transparentno.hr/pregled/05925862411/6152e2c11b4d0b2203ae23e9f7e8ae1c8b38887d0f0e7303be39882bdba269e4fd986dbec6c7c080ed364f3955da664c732821d2b9de937411fab7fe39bbecdc</vt:lpwstr>
      </vt:variant>
      <vt:variant>
        <vt:lpwstr/>
      </vt:variant>
      <vt:variant>
        <vt:i4>1638407</vt:i4>
      </vt:variant>
      <vt:variant>
        <vt:i4>18</vt:i4>
      </vt:variant>
      <vt:variant>
        <vt:i4>0</vt:i4>
      </vt:variant>
      <vt:variant>
        <vt:i4>5</vt:i4>
      </vt:variant>
      <vt:variant>
        <vt:lpwstr>https://www.transparentno.hr/pregled/17040043994/abf242ce048545c8e594690e70b1a6682a3d8ad8ce9d07d4cefdca0150ca85cbfe9c5f7e21a407918405005d5ff014995dd5e7ba6a22626aebeb53121c4895bc</vt:lpwstr>
      </vt:variant>
      <vt:variant>
        <vt:lpwstr/>
      </vt:variant>
      <vt:variant>
        <vt:i4>4849756</vt:i4>
      </vt:variant>
      <vt:variant>
        <vt:i4>15</vt:i4>
      </vt:variant>
      <vt:variant>
        <vt:i4>0</vt:i4>
      </vt:variant>
      <vt:variant>
        <vt:i4>5</vt:i4>
      </vt:variant>
      <vt:variant>
        <vt:lpwstr>https://www.transparentno.hr/pregled/77604626413/74d58d3ac5d09d41e3491d6b0a69f7c376f9cac531385c561e886a79ad9aa51199ea4d343c65ab4a14600df28fadba2e99cc213e4cd8b4da6b277fa1582d545e</vt:lpwstr>
      </vt:variant>
      <vt:variant>
        <vt:lpwstr/>
      </vt:variant>
      <vt:variant>
        <vt:i4>1310801</vt:i4>
      </vt:variant>
      <vt:variant>
        <vt:i4>12</vt:i4>
      </vt:variant>
      <vt:variant>
        <vt:i4>0</vt:i4>
      </vt:variant>
      <vt:variant>
        <vt:i4>5</vt:i4>
      </vt:variant>
      <vt:variant>
        <vt:lpwstr>https://www.transparentno.hr/pregled/13148821633/c80e23893cd08751b492bfc70bf4c27d657fe91f3fca3311af10730ed8b741a0112ede617cedb881d4778ebc37d49015d57d2022282cdef3dd8b6a04b2342636</vt:lpwstr>
      </vt:variant>
      <vt:variant>
        <vt:lpwstr/>
      </vt:variant>
      <vt:variant>
        <vt:i4>4390995</vt:i4>
      </vt:variant>
      <vt:variant>
        <vt:i4>9</vt:i4>
      </vt:variant>
      <vt:variant>
        <vt:i4>0</vt:i4>
      </vt:variant>
      <vt:variant>
        <vt:i4>5</vt:i4>
      </vt:variant>
      <vt:variant>
        <vt:lpwstr>https://www.transparentno.hr/pregled/09518585079/65f9a093a6532b6a5b8f71a6f48c9a088ae2a16dc0ebd2f2bf0769c8dc21998caabb51c93d2ae848f93b2c5b63c3456f94c6b78d5131b830ab63a4f140d37c29</vt:lpwstr>
      </vt:variant>
      <vt:variant>
        <vt:lpwstr/>
      </vt:variant>
      <vt:variant>
        <vt:i4>4653148</vt:i4>
      </vt:variant>
      <vt:variant>
        <vt:i4>6</vt:i4>
      </vt:variant>
      <vt:variant>
        <vt:i4>0</vt:i4>
      </vt:variant>
      <vt:variant>
        <vt:i4>5</vt:i4>
      </vt:variant>
      <vt:variant>
        <vt:lpwstr>https://www.transparentno.hr/pregled/46830600751/d681dd7da43d511a43bd9d97b787cf70e04a5be6e4d35b5970e337e7c373dded515eecdb81fa979db4d00a5b57382b116108aee143111df85f6a35d92778fa43</vt:lpwstr>
      </vt:variant>
      <vt:variant>
        <vt:lpwstr/>
      </vt:variant>
      <vt:variant>
        <vt:i4>1114202</vt:i4>
      </vt:variant>
      <vt:variant>
        <vt:i4>3</vt:i4>
      </vt:variant>
      <vt:variant>
        <vt:i4>0</vt:i4>
      </vt:variant>
      <vt:variant>
        <vt:i4>5</vt:i4>
      </vt:variant>
      <vt:variant>
        <vt:lpwstr>https://www.transparentno.hr/pregled/28921978587/7c5b7819325854f6083b379497dab05f31c409132c9bc539ca070e65fcafa24478b425e38a0c37845d7a950dc2f1a864447d6171521fddba0cae96d046a03fd6</vt:lpwstr>
      </vt:variant>
      <vt:variant>
        <vt:lpwstr/>
      </vt:variant>
      <vt:variant>
        <vt:i4>4653148</vt:i4>
      </vt:variant>
      <vt:variant>
        <vt:i4>0</vt:i4>
      </vt:variant>
      <vt:variant>
        <vt:i4>0</vt:i4>
      </vt:variant>
      <vt:variant>
        <vt:i4>5</vt:i4>
      </vt:variant>
      <vt:variant>
        <vt:lpwstr>https://www.transparentno.hr/pregled/46830600751/d681dd7da43d511a43bd9d97b787cf70e04a5be6e4d35b5970e337e7c373dded515eecdb81fa979db4d00a5b57382b116108aee143111df85f6a35d92778fa43</vt:lpwstr>
      </vt:variant>
      <vt:variant>
        <vt:lpwstr/>
      </vt:variant>
      <vt:variant>
        <vt:i4>1245277</vt:i4>
      </vt:variant>
      <vt:variant>
        <vt:i4>6</vt:i4>
      </vt:variant>
      <vt:variant>
        <vt:i4>0</vt:i4>
      </vt:variant>
      <vt:variant>
        <vt:i4>5</vt:i4>
      </vt:variant>
      <vt:variant>
        <vt:lpwstr>https://sudreg.pravosudje.hr/registar/f?p=150:1:0::NO:1,28::</vt:lpwstr>
      </vt:variant>
      <vt:variant>
        <vt:lpwstr/>
      </vt:variant>
      <vt:variant>
        <vt:i4>6946852</vt:i4>
      </vt:variant>
      <vt:variant>
        <vt:i4>3</vt:i4>
      </vt:variant>
      <vt:variant>
        <vt:i4>0</vt:i4>
      </vt:variant>
      <vt:variant>
        <vt:i4>5</vt:i4>
      </vt:variant>
      <vt:variant>
        <vt:lpwstr>http://rgfi.fina.hr/JavnaObjava-web/prijava.do</vt:lpwstr>
      </vt:variant>
      <vt:variant>
        <vt:lpwstr/>
      </vt:variant>
      <vt:variant>
        <vt:i4>1245277</vt:i4>
      </vt:variant>
      <vt:variant>
        <vt:i4>0</vt:i4>
      </vt:variant>
      <vt:variant>
        <vt:i4>0</vt:i4>
      </vt:variant>
      <vt:variant>
        <vt:i4>5</vt:i4>
      </vt:variant>
      <vt:variant>
        <vt:lpwstr>https://sudreg.pravosudje.hr/registar/f?p=150:1:0::NO:1,28::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Kavur</dc:creator>
  <cp:lastModifiedBy>admin</cp:lastModifiedBy>
  <cp:revision>2</cp:revision>
  <dcterms:created xsi:type="dcterms:W3CDTF">2017-04-27T06:50:00Z</dcterms:created>
  <dcterms:modified xsi:type="dcterms:W3CDTF">2017-04-27T06:50:00Z</dcterms:modified>
</cp:coreProperties>
</file>