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FEA" w:rsidRPr="00F94FBA" w:rsidRDefault="00466FEA" w:rsidP="00F94FBA">
      <w:pPr>
        <w:tabs>
          <w:tab w:val="left" w:pos="567"/>
        </w:tabs>
        <w:spacing w:after="120" w:line="240" w:lineRule="auto"/>
        <w:ind w:left="567" w:hanging="567"/>
        <w:jc w:val="center"/>
        <w:outlineLvl w:val="0"/>
        <w:rPr>
          <w:rFonts w:ascii="Arial" w:hAnsi="Arial" w:cs="Arial"/>
          <w:b/>
          <w:color w:val="244061" w:themeColor="accent1" w:themeShade="80"/>
          <w:sz w:val="21"/>
          <w:szCs w:val="21"/>
        </w:rPr>
      </w:pPr>
      <w:r w:rsidRPr="00F94FBA">
        <w:rPr>
          <w:rFonts w:ascii="Arial" w:hAnsi="Arial" w:cs="Arial"/>
          <w:b/>
          <w:color w:val="244061" w:themeColor="accent1" w:themeShade="80"/>
          <w:sz w:val="21"/>
          <w:szCs w:val="21"/>
        </w:rPr>
        <w:t>FINANCIJS</w:t>
      </w:r>
      <w:bookmarkStart w:id="0" w:name="_GoBack"/>
      <w:bookmarkEnd w:id="0"/>
      <w:r w:rsidRPr="00F94FBA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KI REZULTATI POSLOVANJA </w:t>
      </w:r>
      <w:r w:rsidR="005A7042" w:rsidRPr="00F94FBA">
        <w:rPr>
          <w:rFonts w:ascii="Arial" w:hAnsi="Arial" w:cs="Arial"/>
          <w:b/>
          <w:color w:val="244061" w:themeColor="accent1" w:themeShade="80"/>
          <w:sz w:val="21"/>
          <w:szCs w:val="21"/>
        </w:rPr>
        <w:t>PODUZETNIKA U 201</w:t>
      </w:r>
      <w:r w:rsidR="00E339DF" w:rsidRPr="00F94FBA">
        <w:rPr>
          <w:rFonts w:ascii="Arial" w:hAnsi="Arial" w:cs="Arial"/>
          <w:b/>
          <w:color w:val="244061" w:themeColor="accent1" w:themeShade="80"/>
          <w:sz w:val="21"/>
          <w:szCs w:val="21"/>
        </w:rPr>
        <w:t>5</w:t>
      </w:r>
      <w:r w:rsidR="005A7042" w:rsidRPr="00F94FBA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. GODINI NA RAZINI </w:t>
      </w:r>
      <w:r w:rsidR="009943F9" w:rsidRPr="00F94FBA">
        <w:rPr>
          <w:rFonts w:ascii="Arial" w:hAnsi="Arial" w:cs="Arial"/>
          <w:b/>
          <w:color w:val="244061" w:themeColor="accent1" w:themeShade="80"/>
          <w:sz w:val="21"/>
          <w:szCs w:val="21"/>
        </w:rPr>
        <w:br/>
      </w:r>
      <w:r w:rsidR="008247F7" w:rsidRPr="00F94FBA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VELIKIH </w:t>
      </w:r>
      <w:r w:rsidRPr="00F94FBA">
        <w:rPr>
          <w:rFonts w:ascii="Arial" w:hAnsi="Arial" w:cs="Arial"/>
          <w:b/>
          <w:color w:val="244061" w:themeColor="accent1" w:themeShade="80"/>
          <w:sz w:val="21"/>
          <w:szCs w:val="21"/>
        </w:rPr>
        <w:t>URBAN</w:t>
      </w:r>
      <w:r w:rsidR="00A47B47" w:rsidRPr="00F94FBA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IH </w:t>
      </w:r>
      <w:r w:rsidR="008247F7" w:rsidRPr="00F94FBA">
        <w:rPr>
          <w:rFonts w:ascii="Arial" w:hAnsi="Arial" w:cs="Arial"/>
          <w:b/>
          <w:color w:val="244061" w:themeColor="accent1" w:themeShade="80"/>
          <w:sz w:val="21"/>
          <w:szCs w:val="21"/>
        </w:rPr>
        <w:t>PODRUČJA</w:t>
      </w:r>
      <w:r w:rsidR="006A5A1F">
        <w:rPr>
          <w:rFonts w:ascii="Arial" w:hAnsi="Arial" w:cs="Arial"/>
          <w:b/>
          <w:color w:val="244061" w:themeColor="accent1" w:themeShade="80"/>
          <w:sz w:val="21"/>
          <w:szCs w:val="21"/>
        </w:rPr>
        <w:t>,</w:t>
      </w:r>
      <w:r w:rsidR="008247F7" w:rsidRPr="00F94FBA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 PULE, SLAVONSKOG BRODA I ZADRA</w:t>
      </w:r>
    </w:p>
    <w:tbl>
      <w:tblPr>
        <w:tblStyle w:val="TableGrid"/>
        <w:tblW w:w="0" w:type="auto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8046"/>
        <w:gridCol w:w="2148"/>
      </w:tblGrid>
      <w:tr w:rsidR="009943F9" w:rsidTr="009F12EF">
        <w:trPr>
          <w:trHeight w:val="1871"/>
        </w:trPr>
        <w:tc>
          <w:tcPr>
            <w:tcW w:w="804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943F9" w:rsidRPr="009943F9" w:rsidRDefault="009943F9" w:rsidP="009F12EF">
            <w:pPr>
              <w:tabs>
                <w:tab w:val="left" w:pos="567"/>
              </w:tabs>
              <w:spacing w:line="274" w:lineRule="auto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 w:rsidRPr="009943F9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Veliko urbano područje</w:t>
            </w:r>
            <w:r w:rsidR="0005519F">
              <w:rPr>
                <w:rStyle w:val="FootnoteReference"/>
                <w:rFonts w:ascii="Arial" w:hAnsi="Arial" w:cs="Arial"/>
                <w:color w:val="244061" w:themeColor="accent1" w:themeShade="80"/>
                <w:sz w:val="20"/>
                <w:szCs w:val="20"/>
              </w:rPr>
              <w:footnoteReference w:id="1"/>
            </w:r>
            <w:r w:rsidRPr="009943F9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grada Pule čine gradovi Pula i Vodnjan te općine Barban, Ližnjan, Marčana, Medulin i Svetvinčenat. Veliko urbano područje grada Slavonski Brod čine grad Slavonski Brod i općine Brodski Stupnik, Sibinj, Donji Andrijevci, Podcrkavlje, Klakar, Garčin, Bebrina, Bukovlje i Gornja Vrba. Veliko urbano područje grada Zadra čine gradovi Zadar i Nin te općine Bibinje, Galovac, Kali, Kukljica, Novigrad, Poličnik, Posedarje, Preko, Ražanac, Sukošan, Škabrnja, Vrsi i Zemunik Donji.</w:t>
            </w:r>
          </w:p>
          <w:p w:rsidR="009943F9" w:rsidRPr="009943F9" w:rsidRDefault="009943F9" w:rsidP="009F12EF">
            <w:pPr>
              <w:tabs>
                <w:tab w:val="left" w:pos="567"/>
              </w:tabs>
              <w:spacing w:before="120" w:line="274" w:lineRule="auto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 w:rsidRPr="009943F9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Ukupno je u 2015. godini bilo 7.306 poduzetnika čije je sjedište na prostoru obuhvaćenom trima velikim urbanim područjima:</w:t>
            </w:r>
            <w:r w:rsidR="0005519F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Pr="009943F9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Pul</w:t>
            </w:r>
            <w:r w:rsidR="000E1F5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a</w:t>
            </w:r>
            <w:r w:rsidRPr="009943F9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, Slavonsk</w:t>
            </w:r>
            <w:r w:rsidR="000E1F5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i</w:t>
            </w:r>
            <w:r w:rsidRPr="009943F9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Brod i Zad</w:t>
            </w:r>
            <w:r w:rsidR="000E1F5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a</w:t>
            </w:r>
            <w:r w:rsidRPr="009943F9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r. Riječ je o poduzetnicima koji su sastavili i u Registar godišnjih financijskih izvještaja podnijeli točan i potpun godišnji financijski izvještaj za 2015. godinu. Od navedenoga broja, najviše je poduzetnika na području Velikog urbanog područja Pula (3.468, udio u RH 3,3 %), a najmanji je broj poduzetnika </w:t>
            </w:r>
            <w:r w:rsidR="000E1F5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u </w:t>
            </w:r>
            <w:r w:rsidRPr="009943F9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Veliko</w:t>
            </w:r>
            <w:r w:rsidR="000E1F5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m</w:t>
            </w:r>
            <w:r w:rsidRPr="009943F9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urbano</w:t>
            </w:r>
            <w:r w:rsidR="000E1F5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m</w:t>
            </w:r>
            <w:r w:rsidRPr="009943F9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područj</w:t>
            </w:r>
            <w:r w:rsidR="000E1F5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u</w:t>
            </w:r>
            <w:r w:rsidRPr="009943F9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Slavonski Brod (1.151, udio u RH 1,1 %).</w:t>
            </w:r>
          </w:p>
          <w:p w:rsidR="009943F9" w:rsidRDefault="009943F9" w:rsidP="009844FE">
            <w:pPr>
              <w:tabs>
                <w:tab w:val="left" w:pos="567"/>
              </w:tabs>
              <w:spacing w:before="120" w:line="274" w:lineRule="auto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 w:rsidRPr="009943F9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Kod 7.306 poduzetnika bilo je 43 098 zaposlenih, što je prosječno 5,9 zaposlenih po poduzetniku. U 2015. godini poduzetnici sa sjedištem u dva od tri velika urbana područja iskazali su pozitivan konsolidirani financijski rezultat</w:t>
            </w:r>
            <w:r w:rsidR="009844FE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9844FE" w:rsidRPr="009844FE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(Slavonski Brod i Zadar)</w:t>
            </w:r>
            <w:r w:rsidRPr="009943F9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 Najveći udio u RH prema većini rezultata iskazanih u tablici 1. imaju poduzetnici sa sjedištem u Velikom urbanom području Zadar. Poduzetnici sa sjedištem u u Velikom urbanom području Pula brojniji su i njihov je udio osim u broju poduzetnika najveći u gubitku prije oporezivanja i gubitku razdoblja (2,8 %). Poduzetnici na razini toga urbanog područja ostvarili neto gubitak od 100,7 milijuna kuna.</w:t>
            </w:r>
          </w:p>
        </w:tc>
        <w:tc>
          <w:tcPr>
            <w:tcW w:w="2148" w:type="dxa"/>
            <w:tcBorders>
              <w:left w:val="nil"/>
              <w:bottom w:val="single" w:sz="18" w:space="0" w:color="244061" w:themeColor="accent1" w:themeShade="80"/>
            </w:tcBorders>
          </w:tcPr>
          <w:p w:rsidR="00BD6750" w:rsidRPr="00BD6750" w:rsidRDefault="005475CB" w:rsidP="00EC185C">
            <w:pPr>
              <w:tabs>
                <w:tab w:val="left" w:pos="0"/>
              </w:tabs>
              <w:jc w:val="center"/>
              <w:rPr>
                <w:rFonts w:cs="Arial"/>
                <w:b/>
                <w:color w:val="244061" w:themeColor="accent1" w:themeShade="80"/>
                <w:sz w:val="24"/>
                <w:szCs w:val="24"/>
              </w:rPr>
            </w:pPr>
            <w:r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Najviše </w:t>
            </w:r>
            <w:r w:rsidR="00BD6750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ZAPOSLENIH kod poduzetnika u VUP Zadar</w:t>
            </w:r>
            <w:r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 </w:t>
            </w:r>
            <w:r w:rsidRPr="005475CB">
              <w:rPr>
                <w:rFonts w:cs="Arial"/>
                <w:b/>
                <w:color w:val="244061" w:themeColor="accent1" w:themeShade="80"/>
                <w:sz w:val="32"/>
                <w:szCs w:val="32"/>
              </w:rPr>
              <w:t>15.960</w:t>
            </w:r>
          </w:p>
        </w:tc>
      </w:tr>
      <w:tr w:rsidR="009943F9" w:rsidTr="009F12EF">
        <w:trPr>
          <w:trHeight w:val="1984"/>
        </w:trPr>
        <w:tc>
          <w:tcPr>
            <w:tcW w:w="804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943F9" w:rsidRPr="009943F9" w:rsidRDefault="009943F9" w:rsidP="009943F9">
            <w:pPr>
              <w:tabs>
                <w:tab w:val="left" w:pos="567"/>
              </w:tabs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18" w:space="0" w:color="244061" w:themeColor="accent1" w:themeShade="80"/>
              <w:left w:val="nil"/>
              <w:bottom w:val="single" w:sz="18" w:space="0" w:color="244061" w:themeColor="accent1" w:themeShade="80"/>
            </w:tcBorders>
            <w:vAlign w:val="center"/>
          </w:tcPr>
          <w:p w:rsidR="00EC185C" w:rsidRDefault="009F12EF" w:rsidP="00EC185C">
            <w:pPr>
              <w:tabs>
                <w:tab w:val="left" w:pos="0"/>
              </w:tabs>
              <w:ind w:right="-87"/>
              <w:jc w:val="center"/>
              <w:rPr>
                <w:rFonts w:cs="Arial"/>
                <w:b/>
                <w:color w:val="244061" w:themeColor="accent1" w:themeShade="80"/>
                <w:sz w:val="32"/>
                <w:szCs w:val="32"/>
              </w:rPr>
            </w:pPr>
            <w:r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P</w:t>
            </w:r>
            <w:r w:rsidRPr="009F12EF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oduzetni</w:t>
            </w:r>
            <w:r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ci</w:t>
            </w:r>
            <w:r w:rsidRPr="009F12EF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 VUP Slavonski B</w:t>
            </w:r>
            <w:r w:rsidR="00503DDE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rod</w:t>
            </w:r>
            <w:r w:rsidRPr="009F12EF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 </w:t>
            </w:r>
            <w:r w:rsidR="00EC185C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poslovali s </w:t>
            </w:r>
            <w:r w:rsidR="00EC185C" w:rsidRPr="00EC185C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NETO DOBITI od</w:t>
            </w:r>
            <w:r w:rsidR="00EC185C" w:rsidRPr="00EC185C">
              <w:rPr>
                <w:rFonts w:cs="Arial"/>
                <w:b/>
                <w:color w:val="244061" w:themeColor="accent1" w:themeShade="80"/>
                <w:sz w:val="32"/>
                <w:szCs w:val="32"/>
              </w:rPr>
              <w:t xml:space="preserve"> </w:t>
            </w:r>
          </w:p>
          <w:p w:rsidR="00BD6750" w:rsidRPr="00EC185C" w:rsidRDefault="00EC185C" w:rsidP="00EC185C">
            <w:pPr>
              <w:tabs>
                <w:tab w:val="left" w:pos="0"/>
              </w:tabs>
              <w:ind w:right="-87"/>
              <w:jc w:val="center"/>
              <w:rPr>
                <w:rFonts w:cs="Arial"/>
                <w:b/>
                <w:color w:val="244061" w:themeColor="accent1" w:themeShade="80"/>
                <w:sz w:val="32"/>
                <w:szCs w:val="32"/>
              </w:rPr>
            </w:pPr>
            <w:r w:rsidRPr="00EC185C">
              <w:rPr>
                <w:rFonts w:cs="Arial"/>
                <w:b/>
                <w:color w:val="244061" w:themeColor="accent1" w:themeShade="80"/>
                <w:sz w:val="32"/>
                <w:szCs w:val="32"/>
              </w:rPr>
              <w:t>36,4 mil. kn</w:t>
            </w:r>
          </w:p>
        </w:tc>
      </w:tr>
      <w:tr w:rsidR="009943F9" w:rsidTr="005F7A75">
        <w:trPr>
          <w:trHeight w:val="1635"/>
        </w:trPr>
        <w:tc>
          <w:tcPr>
            <w:tcW w:w="804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943F9" w:rsidRPr="009943F9" w:rsidRDefault="009943F9" w:rsidP="009943F9">
            <w:pPr>
              <w:tabs>
                <w:tab w:val="left" w:pos="567"/>
              </w:tabs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18" w:space="0" w:color="244061" w:themeColor="accent1" w:themeShade="80"/>
              <w:left w:val="nil"/>
            </w:tcBorders>
          </w:tcPr>
          <w:p w:rsidR="009943F9" w:rsidRDefault="00347F29" w:rsidP="005F7A75">
            <w:pPr>
              <w:tabs>
                <w:tab w:val="left" w:pos="0"/>
              </w:tabs>
              <w:spacing w:before="60"/>
              <w:jc w:val="center"/>
              <w:rPr>
                <w:rFonts w:cs="Arial"/>
                <w:b/>
                <w:color w:val="244061" w:themeColor="accent1" w:themeShade="80"/>
                <w:sz w:val="24"/>
                <w:szCs w:val="24"/>
              </w:rPr>
            </w:pPr>
            <w:r w:rsidRPr="00347F29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NETO </w:t>
            </w:r>
            <w:r w:rsidR="00C25D77" w:rsidRPr="00C25D77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GUBIT</w:t>
            </w:r>
            <w:r w:rsidR="005475CB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A</w:t>
            </w:r>
            <w:r w:rsidR="00C25D77" w:rsidRPr="00C25D77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K</w:t>
            </w:r>
          </w:p>
          <w:p w:rsidR="009F12EF" w:rsidRDefault="00BD6750" w:rsidP="005F7A75">
            <w:pPr>
              <w:tabs>
                <w:tab w:val="left" w:pos="0"/>
              </w:tabs>
              <w:jc w:val="center"/>
              <w:rPr>
                <w:rFonts w:cs="Arial"/>
                <w:b/>
                <w:color w:val="244061" w:themeColor="accent1" w:themeShade="80"/>
                <w:sz w:val="24"/>
                <w:szCs w:val="24"/>
              </w:rPr>
            </w:pPr>
            <w:r w:rsidRPr="00BD6750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poduzetnika</w:t>
            </w:r>
          </w:p>
          <w:p w:rsidR="00C25D77" w:rsidRDefault="00C25D77" w:rsidP="005F7A75">
            <w:pPr>
              <w:tabs>
                <w:tab w:val="left" w:pos="0"/>
              </w:tabs>
              <w:jc w:val="center"/>
              <w:rPr>
                <w:rFonts w:cs="Arial"/>
                <w:b/>
                <w:color w:val="244061" w:themeColor="accent1" w:themeShade="80"/>
                <w:sz w:val="24"/>
                <w:szCs w:val="24"/>
              </w:rPr>
            </w:pPr>
            <w:r w:rsidRPr="00BD6750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VUP Pula</w:t>
            </w:r>
          </w:p>
          <w:p w:rsidR="005475CB" w:rsidRPr="004A551A" w:rsidRDefault="005475CB" w:rsidP="00EC185C">
            <w:pPr>
              <w:tabs>
                <w:tab w:val="left" w:pos="0"/>
              </w:tabs>
              <w:jc w:val="center"/>
              <w:rPr>
                <w:rFonts w:cs="Arial"/>
                <w:b/>
                <w:color w:val="244061" w:themeColor="accent1" w:themeShade="80"/>
                <w:sz w:val="32"/>
                <w:szCs w:val="32"/>
              </w:rPr>
            </w:pPr>
            <w:r w:rsidRPr="004A551A">
              <w:rPr>
                <w:rFonts w:cs="Arial"/>
                <w:b/>
                <w:color w:val="244061" w:themeColor="accent1" w:themeShade="80"/>
                <w:sz w:val="32"/>
                <w:szCs w:val="32"/>
              </w:rPr>
              <w:t>100</w:t>
            </w:r>
            <w:r w:rsidR="00EC185C">
              <w:rPr>
                <w:rFonts w:cs="Arial"/>
                <w:b/>
                <w:color w:val="244061" w:themeColor="accent1" w:themeShade="80"/>
                <w:sz w:val="32"/>
                <w:szCs w:val="32"/>
              </w:rPr>
              <w:t>,</w:t>
            </w:r>
            <w:r w:rsidRPr="004A551A">
              <w:rPr>
                <w:rFonts w:cs="Arial"/>
                <w:b/>
                <w:color w:val="244061" w:themeColor="accent1" w:themeShade="80"/>
                <w:sz w:val="32"/>
                <w:szCs w:val="32"/>
              </w:rPr>
              <w:t>7</w:t>
            </w:r>
            <w:r w:rsidR="00EC185C">
              <w:rPr>
                <w:rFonts w:cs="Arial"/>
                <w:b/>
                <w:color w:val="244061" w:themeColor="accent1" w:themeShade="80"/>
                <w:sz w:val="32"/>
                <w:szCs w:val="32"/>
              </w:rPr>
              <w:t xml:space="preserve"> mil. </w:t>
            </w:r>
            <w:r w:rsidR="00EC185C" w:rsidRPr="004A551A">
              <w:rPr>
                <w:rFonts w:cs="Arial"/>
                <w:b/>
                <w:color w:val="244061" w:themeColor="accent1" w:themeShade="80"/>
                <w:sz w:val="32"/>
                <w:szCs w:val="32"/>
              </w:rPr>
              <w:t>kn</w:t>
            </w:r>
          </w:p>
        </w:tc>
      </w:tr>
    </w:tbl>
    <w:p w:rsidR="0016170D" w:rsidRDefault="004946AC" w:rsidP="0005519F">
      <w:pPr>
        <w:tabs>
          <w:tab w:val="left" w:pos="1134"/>
        </w:tabs>
        <w:spacing w:before="120" w:after="0" w:line="240" w:lineRule="auto"/>
        <w:jc w:val="both"/>
        <w:rPr>
          <w:rFonts w:ascii="Arial" w:eastAsia="Calibri" w:hAnsi="Arial" w:cs="Arial"/>
          <w:color w:val="244061" w:themeColor="accent1" w:themeShade="80"/>
          <w:sz w:val="18"/>
          <w:szCs w:val="18"/>
        </w:rPr>
      </w:pPr>
      <w:r w:rsidRPr="006D51E8">
        <w:rPr>
          <w:rFonts w:ascii="Arial" w:eastAsia="Calibri" w:hAnsi="Arial" w:cs="Arial"/>
          <w:b/>
          <w:color w:val="17365D"/>
          <w:sz w:val="18"/>
          <w:szCs w:val="18"/>
        </w:rPr>
        <w:t xml:space="preserve">Tablica </w:t>
      </w:r>
      <w:r w:rsidR="006C39DD" w:rsidRPr="006D51E8">
        <w:rPr>
          <w:rFonts w:ascii="Arial" w:eastAsia="Calibri" w:hAnsi="Arial" w:cs="Arial"/>
          <w:b/>
          <w:color w:val="17365D"/>
          <w:sz w:val="18"/>
          <w:szCs w:val="18"/>
        </w:rPr>
        <w:t>1</w:t>
      </w:r>
      <w:r w:rsidRPr="006D51E8">
        <w:rPr>
          <w:rFonts w:ascii="Arial" w:eastAsia="Calibri" w:hAnsi="Arial" w:cs="Arial"/>
          <w:b/>
          <w:color w:val="17365D"/>
          <w:sz w:val="18"/>
          <w:szCs w:val="18"/>
        </w:rPr>
        <w:t>.</w:t>
      </w:r>
      <w:r w:rsidRPr="006D51E8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Pr="006D51E8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Osnovni financijski podaci poslovanja poduzetnika na području </w:t>
      </w:r>
      <w:r w:rsidR="008D610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Velikih u</w:t>
      </w:r>
      <w:r w:rsidR="00E5410B" w:rsidRPr="006D51E8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rbanih </w:t>
      </w:r>
      <w:r w:rsidR="00FC2930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područja</w:t>
      </w:r>
      <w:r w:rsidR="00E5410B" w:rsidRPr="006D51E8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</w:t>
      </w:r>
      <w:r w:rsidR="00E339DF" w:rsidRPr="006D51E8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 2015</w:t>
      </w:r>
      <w:r w:rsidRPr="006D51E8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. </w:t>
      </w:r>
      <w:r w:rsidR="008D610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g.</w:t>
      </w:r>
      <w:r w:rsidRPr="003C116E">
        <w:rPr>
          <w:rFonts w:ascii="Arial" w:eastAsia="Calibri" w:hAnsi="Arial" w:cs="Arial"/>
          <w:color w:val="244061" w:themeColor="accent1" w:themeShade="80"/>
          <w:sz w:val="18"/>
          <w:szCs w:val="18"/>
        </w:rPr>
        <w:t xml:space="preserve"> </w:t>
      </w:r>
    </w:p>
    <w:p w:rsidR="00BC25B9" w:rsidRPr="003523CC" w:rsidRDefault="004946AC" w:rsidP="003523CC">
      <w:pPr>
        <w:tabs>
          <w:tab w:val="left" w:pos="1134"/>
        </w:tabs>
        <w:spacing w:after="40" w:line="240" w:lineRule="auto"/>
        <w:jc w:val="right"/>
        <w:rPr>
          <w:rFonts w:ascii="Arial" w:eastAsia="Calibri" w:hAnsi="Arial" w:cs="Arial"/>
          <w:color w:val="17365D"/>
          <w:sz w:val="17"/>
          <w:szCs w:val="17"/>
        </w:rPr>
      </w:pPr>
      <w:r w:rsidRPr="004946AC">
        <w:rPr>
          <w:rFonts w:ascii="Arial" w:eastAsia="Calibri" w:hAnsi="Arial" w:cs="Arial"/>
          <w:color w:val="17365D"/>
          <w:sz w:val="18"/>
          <w:szCs w:val="18"/>
        </w:rPr>
        <w:tab/>
      </w:r>
      <w:r w:rsidR="0016170D" w:rsidRPr="003523CC">
        <w:rPr>
          <w:rFonts w:ascii="Arial" w:eastAsia="Calibri" w:hAnsi="Arial" w:cs="Arial"/>
          <w:color w:val="17365D"/>
          <w:sz w:val="17"/>
          <w:szCs w:val="17"/>
        </w:rPr>
        <w:t>(iznosi u tisućama kuna, prosječne plaće u kunama)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742"/>
        <w:gridCol w:w="973"/>
        <w:gridCol w:w="699"/>
        <w:gridCol w:w="973"/>
        <w:gridCol w:w="699"/>
        <w:gridCol w:w="973"/>
        <w:gridCol w:w="700"/>
        <w:gridCol w:w="1191"/>
      </w:tblGrid>
      <w:tr w:rsidR="00D11088" w:rsidTr="00D11088">
        <w:trPr>
          <w:trHeight w:val="283"/>
        </w:trPr>
        <w:tc>
          <w:tcPr>
            <w:tcW w:w="3742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315683"/>
            <w:vAlign w:val="center"/>
          </w:tcPr>
          <w:p w:rsidR="00D11088" w:rsidRPr="00BC25B9" w:rsidRDefault="00D11088" w:rsidP="00BC25B9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DC54D3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5017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315683"/>
            <w:vAlign w:val="center"/>
          </w:tcPr>
          <w:p w:rsidR="00D11088" w:rsidRPr="00D11088" w:rsidRDefault="00D11088" w:rsidP="00EF20D2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11088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Velika urbana područja (VUP)</w:t>
            </w:r>
          </w:p>
        </w:tc>
        <w:tc>
          <w:tcPr>
            <w:tcW w:w="1191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315683"/>
            <w:vAlign w:val="center"/>
          </w:tcPr>
          <w:p w:rsidR="00D11088" w:rsidRPr="00D11088" w:rsidRDefault="00D11088" w:rsidP="00D11088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11088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RH</w:t>
            </w:r>
          </w:p>
        </w:tc>
      </w:tr>
      <w:tr w:rsidR="00D11088" w:rsidTr="00D11088">
        <w:trPr>
          <w:trHeight w:val="283"/>
        </w:trPr>
        <w:tc>
          <w:tcPr>
            <w:tcW w:w="3742" w:type="dxa"/>
            <w:vMerge/>
            <w:tcBorders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003D7A"/>
            <w:vAlign w:val="center"/>
          </w:tcPr>
          <w:p w:rsidR="00D11088" w:rsidRPr="00465EE5" w:rsidRDefault="00D11088" w:rsidP="003308B1">
            <w:pPr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315683"/>
            <w:vAlign w:val="center"/>
          </w:tcPr>
          <w:p w:rsidR="00D11088" w:rsidRPr="00EF20D2" w:rsidRDefault="00D11088" w:rsidP="003308B1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F20D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Pula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315683"/>
            <w:vAlign w:val="center"/>
          </w:tcPr>
          <w:p w:rsidR="00D11088" w:rsidRPr="00D11088" w:rsidRDefault="00D11088" w:rsidP="00EF20D2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D11088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Udio u RH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315683"/>
            <w:vAlign w:val="center"/>
          </w:tcPr>
          <w:p w:rsidR="00D11088" w:rsidRPr="00D11088" w:rsidRDefault="00D11088" w:rsidP="00DC54D3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D11088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Slavonski</w:t>
            </w:r>
            <w:r w:rsidRPr="00D11088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br/>
              <w:t>Brod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315683"/>
            <w:vAlign w:val="center"/>
          </w:tcPr>
          <w:p w:rsidR="00D11088" w:rsidRPr="00D11088" w:rsidRDefault="00D11088" w:rsidP="00EF20D2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D11088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Udio u RH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315683"/>
            <w:vAlign w:val="center"/>
          </w:tcPr>
          <w:p w:rsidR="00D11088" w:rsidRPr="00D11088" w:rsidRDefault="00D11088" w:rsidP="003308B1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D11088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Zadar</w:t>
            </w:r>
          </w:p>
        </w:tc>
        <w:tc>
          <w:tcPr>
            <w:tcW w:w="7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315683"/>
            <w:vAlign w:val="center"/>
          </w:tcPr>
          <w:p w:rsidR="00D11088" w:rsidRPr="00D11088" w:rsidRDefault="00D11088" w:rsidP="00EF20D2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D11088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Udio u RH</w:t>
            </w:r>
          </w:p>
        </w:tc>
        <w:tc>
          <w:tcPr>
            <w:tcW w:w="1191" w:type="dxa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365F91" w:themeFill="accent1" w:themeFillShade="BF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D11088" w:rsidTr="00D11088">
        <w:trPr>
          <w:trHeight w:val="283"/>
        </w:trPr>
        <w:tc>
          <w:tcPr>
            <w:tcW w:w="37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D11088" w:rsidRPr="00D11088" w:rsidRDefault="00D11088" w:rsidP="003308B1">
            <w:pPr>
              <w:rPr>
                <w:rFonts w:ascii="Arial" w:eastAsia="Times New Roman" w:hAnsi="Arial" w:cs="Arial"/>
                <w:bCs/>
                <w:color w:val="244061"/>
                <w:sz w:val="17"/>
                <w:szCs w:val="17"/>
                <w:lang w:eastAsia="hr-HR"/>
              </w:rPr>
            </w:pPr>
            <w:r w:rsidRPr="00D11088">
              <w:rPr>
                <w:rFonts w:ascii="Arial" w:eastAsia="Times New Roman" w:hAnsi="Arial" w:cs="Arial"/>
                <w:bCs/>
                <w:color w:val="244061"/>
                <w:sz w:val="17"/>
                <w:szCs w:val="17"/>
                <w:lang w:eastAsia="hr-HR"/>
              </w:rPr>
              <w:t>Broj poduzetnika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3.468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3,3%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1.151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1,1%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2.687</w:t>
            </w:r>
          </w:p>
        </w:tc>
        <w:tc>
          <w:tcPr>
            <w:tcW w:w="7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 w:rsidP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2,5%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106.569</w:t>
            </w:r>
          </w:p>
        </w:tc>
      </w:tr>
      <w:tr w:rsidR="00D11088" w:rsidTr="00D11088">
        <w:trPr>
          <w:trHeight w:val="283"/>
        </w:trPr>
        <w:tc>
          <w:tcPr>
            <w:tcW w:w="37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D11088" w:rsidRPr="00D11088" w:rsidRDefault="00D11088" w:rsidP="003308B1">
            <w:pPr>
              <w:rPr>
                <w:rFonts w:ascii="Arial" w:eastAsia="Times New Roman" w:hAnsi="Arial" w:cs="Arial"/>
                <w:bCs/>
                <w:color w:val="244061"/>
                <w:sz w:val="17"/>
                <w:szCs w:val="17"/>
                <w:lang w:eastAsia="hr-HR"/>
              </w:rPr>
            </w:pPr>
            <w:r w:rsidRPr="00D11088">
              <w:rPr>
                <w:rFonts w:ascii="Arial" w:eastAsia="Times New Roman" w:hAnsi="Arial" w:cs="Arial"/>
                <w:bCs/>
                <w:color w:val="244061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15.815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1,9%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11.323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1,4%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15.960</w:t>
            </w:r>
          </w:p>
        </w:tc>
        <w:tc>
          <w:tcPr>
            <w:tcW w:w="7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 w:rsidP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1,9%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838.584</w:t>
            </w:r>
          </w:p>
        </w:tc>
      </w:tr>
      <w:tr w:rsidR="00D11088" w:rsidTr="00D11088">
        <w:trPr>
          <w:trHeight w:val="283"/>
        </w:trPr>
        <w:tc>
          <w:tcPr>
            <w:tcW w:w="37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D11088" w:rsidRPr="00D11088" w:rsidRDefault="00D11088" w:rsidP="003308B1">
            <w:pPr>
              <w:rPr>
                <w:rFonts w:ascii="Arial" w:eastAsia="Times New Roman" w:hAnsi="Arial" w:cs="Arial"/>
                <w:bCs/>
                <w:color w:val="244061"/>
                <w:sz w:val="17"/>
                <w:szCs w:val="17"/>
                <w:lang w:eastAsia="hr-HR"/>
              </w:rPr>
            </w:pPr>
            <w:r w:rsidRPr="00D11088">
              <w:rPr>
                <w:rFonts w:ascii="Arial" w:eastAsia="Times New Roman" w:hAnsi="Arial" w:cs="Arial"/>
                <w:bCs/>
                <w:color w:val="244061"/>
                <w:sz w:val="17"/>
                <w:szCs w:val="17"/>
                <w:lang w:eastAsia="hr-HR"/>
              </w:rPr>
              <w:t>Ukupni prihodi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7.545.581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1,2%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5.698.984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0,9%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9.634.325</w:t>
            </w:r>
          </w:p>
        </w:tc>
        <w:tc>
          <w:tcPr>
            <w:tcW w:w="7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 w:rsidP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1,5%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639.647.947</w:t>
            </w:r>
          </w:p>
        </w:tc>
      </w:tr>
      <w:tr w:rsidR="00D11088" w:rsidTr="00D11088">
        <w:trPr>
          <w:trHeight w:val="283"/>
        </w:trPr>
        <w:tc>
          <w:tcPr>
            <w:tcW w:w="37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D11088" w:rsidRPr="00D11088" w:rsidRDefault="00D11088" w:rsidP="003308B1">
            <w:pPr>
              <w:rPr>
                <w:rFonts w:ascii="Arial" w:eastAsia="Times New Roman" w:hAnsi="Arial" w:cs="Arial"/>
                <w:bCs/>
                <w:color w:val="244061"/>
                <w:sz w:val="17"/>
                <w:szCs w:val="17"/>
                <w:lang w:eastAsia="hr-HR"/>
              </w:rPr>
            </w:pPr>
            <w:r w:rsidRPr="00D11088">
              <w:rPr>
                <w:rFonts w:ascii="Arial" w:eastAsia="Times New Roman" w:hAnsi="Arial" w:cs="Arial"/>
                <w:bCs/>
                <w:color w:val="244061"/>
                <w:sz w:val="17"/>
                <w:szCs w:val="17"/>
                <w:lang w:eastAsia="hr-HR"/>
              </w:rPr>
              <w:t>Ukupni rashodi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7.558.940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1,2%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5.625.366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0,9%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9.471.776</w:t>
            </w:r>
          </w:p>
        </w:tc>
        <w:tc>
          <w:tcPr>
            <w:tcW w:w="7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 w:rsidP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1,5%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616.954.490</w:t>
            </w:r>
          </w:p>
        </w:tc>
      </w:tr>
      <w:tr w:rsidR="00D11088" w:rsidTr="00D11088">
        <w:trPr>
          <w:trHeight w:val="283"/>
        </w:trPr>
        <w:tc>
          <w:tcPr>
            <w:tcW w:w="37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11088" w:rsidRPr="00D11088" w:rsidRDefault="00D11088" w:rsidP="003308B1">
            <w:pPr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D11088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Dobit prije oporezivanja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517.258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1,2%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252.216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0,6%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648.285</w:t>
            </w:r>
          </w:p>
        </w:tc>
        <w:tc>
          <w:tcPr>
            <w:tcW w:w="7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 w:rsidP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1,5%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41.857.586</w:t>
            </w:r>
          </w:p>
        </w:tc>
      </w:tr>
      <w:tr w:rsidR="00D11088" w:rsidTr="00D11088">
        <w:trPr>
          <w:trHeight w:val="283"/>
        </w:trPr>
        <w:tc>
          <w:tcPr>
            <w:tcW w:w="37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11088" w:rsidRPr="00D11088" w:rsidRDefault="00D11088" w:rsidP="003308B1">
            <w:pPr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D11088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Gubitak prije oporezivanja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530.617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2,8%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178.598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0,9%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485.736</w:t>
            </w:r>
          </w:p>
        </w:tc>
        <w:tc>
          <w:tcPr>
            <w:tcW w:w="7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 w:rsidP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2,5%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19.164.129</w:t>
            </w:r>
          </w:p>
        </w:tc>
      </w:tr>
      <w:tr w:rsidR="00D11088" w:rsidTr="00D11088">
        <w:trPr>
          <w:trHeight w:val="283"/>
        </w:trPr>
        <w:tc>
          <w:tcPr>
            <w:tcW w:w="37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11088" w:rsidRPr="00D11088" w:rsidRDefault="00D11088" w:rsidP="003308B1">
            <w:pPr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D11088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Dobit razdoblja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430.366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1,2%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216.831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0,6%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580.550</w:t>
            </w:r>
          </w:p>
        </w:tc>
        <w:tc>
          <w:tcPr>
            <w:tcW w:w="7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 w:rsidP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1,6%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35.925.884</w:t>
            </w:r>
          </w:p>
        </w:tc>
      </w:tr>
      <w:tr w:rsidR="00D11088" w:rsidTr="00D11088">
        <w:trPr>
          <w:trHeight w:val="283"/>
        </w:trPr>
        <w:tc>
          <w:tcPr>
            <w:tcW w:w="37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11088" w:rsidRPr="00D11088" w:rsidRDefault="00D11088" w:rsidP="003308B1">
            <w:pPr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D11088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Gubitak razdoblja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531.110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2,8%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180.462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1,0%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482.867</w:t>
            </w:r>
          </w:p>
        </w:tc>
        <w:tc>
          <w:tcPr>
            <w:tcW w:w="7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 w:rsidP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2,6%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18.786.380</w:t>
            </w:r>
          </w:p>
        </w:tc>
      </w:tr>
      <w:tr w:rsidR="00D11088" w:rsidTr="00D11088">
        <w:trPr>
          <w:trHeight w:val="454"/>
        </w:trPr>
        <w:tc>
          <w:tcPr>
            <w:tcW w:w="37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11088" w:rsidRPr="00D11088" w:rsidRDefault="00D11088" w:rsidP="003308B1">
            <w:pPr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D11088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Konsolidirani financijski rezultat – dobit (+) ili gubitak (-) razdoblja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b/>
                <w:color w:val="FF0000"/>
                <w:sz w:val="17"/>
                <w:szCs w:val="17"/>
              </w:rPr>
            </w:pPr>
            <w:r w:rsidRPr="00D11088">
              <w:rPr>
                <w:rFonts w:ascii="Arial" w:hAnsi="Arial" w:cs="Arial"/>
                <w:b/>
                <w:color w:val="FF0000"/>
                <w:sz w:val="17"/>
                <w:szCs w:val="17"/>
              </w:rPr>
              <w:t>-100.744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>
              <w:rPr>
                <w:rFonts w:ascii="Arial" w:hAnsi="Arial" w:cs="Arial"/>
                <w:color w:val="244061"/>
                <w:sz w:val="17"/>
                <w:szCs w:val="17"/>
              </w:rPr>
              <w:t>-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b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b/>
                <w:color w:val="244061"/>
                <w:sz w:val="17"/>
                <w:szCs w:val="17"/>
              </w:rPr>
              <w:t>36.370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0,2%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b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b/>
                <w:color w:val="244061"/>
                <w:sz w:val="17"/>
                <w:szCs w:val="17"/>
              </w:rPr>
              <w:t>97.683</w:t>
            </w:r>
          </w:p>
        </w:tc>
        <w:tc>
          <w:tcPr>
            <w:tcW w:w="7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 w:rsidP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0,6%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b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b/>
                <w:color w:val="244061"/>
                <w:sz w:val="17"/>
                <w:szCs w:val="17"/>
              </w:rPr>
              <w:t>17.139.504</w:t>
            </w:r>
          </w:p>
        </w:tc>
      </w:tr>
      <w:tr w:rsidR="00D11088" w:rsidTr="00D11088">
        <w:trPr>
          <w:trHeight w:val="283"/>
        </w:trPr>
        <w:tc>
          <w:tcPr>
            <w:tcW w:w="37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11088" w:rsidRPr="00D11088" w:rsidRDefault="00D11088" w:rsidP="003308B1">
            <w:pPr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D11088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Izvoz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2.043.035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1,8%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1.796.057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1,6%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2.525.952</w:t>
            </w:r>
          </w:p>
        </w:tc>
        <w:tc>
          <w:tcPr>
            <w:tcW w:w="7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 w:rsidP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2,2%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115.314.299</w:t>
            </w:r>
          </w:p>
        </w:tc>
      </w:tr>
      <w:tr w:rsidR="00D11088" w:rsidTr="00D11088">
        <w:trPr>
          <w:trHeight w:val="283"/>
        </w:trPr>
        <w:tc>
          <w:tcPr>
            <w:tcW w:w="37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11088" w:rsidRPr="00D11088" w:rsidRDefault="00D11088" w:rsidP="003308B1">
            <w:pPr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D11088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Uvoz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1.003.193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1,0%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736.652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0,7%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1.025.620</w:t>
            </w:r>
          </w:p>
        </w:tc>
        <w:tc>
          <w:tcPr>
            <w:tcW w:w="7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 w:rsidP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1,0%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104.465.187</w:t>
            </w:r>
          </w:p>
        </w:tc>
      </w:tr>
      <w:tr w:rsidR="00D11088" w:rsidTr="00D11088">
        <w:trPr>
          <w:trHeight w:val="283"/>
        </w:trPr>
        <w:tc>
          <w:tcPr>
            <w:tcW w:w="37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11088" w:rsidRPr="00D11088" w:rsidRDefault="00D11088" w:rsidP="003308B1">
            <w:pPr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D11088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Investicije u novu dugotrajnu imovinu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728.648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1,9%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520.720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1,4%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1.483.169</w:t>
            </w:r>
          </w:p>
        </w:tc>
        <w:tc>
          <w:tcPr>
            <w:tcW w:w="7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 w:rsidP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3,9%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38.444.856</w:t>
            </w:r>
          </w:p>
        </w:tc>
      </w:tr>
      <w:tr w:rsidR="00D11088" w:rsidTr="00D11088">
        <w:trPr>
          <w:trHeight w:val="283"/>
        </w:trPr>
        <w:tc>
          <w:tcPr>
            <w:tcW w:w="37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11088" w:rsidRPr="00D11088" w:rsidRDefault="00D11088" w:rsidP="00D11088">
            <w:pPr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D11088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Prosječna mjes</w:t>
            </w:r>
            <w:r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eč</w:t>
            </w:r>
            <w:r w:rsidRPr="00D11088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. neto plaća po zaposlenom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5.010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99,8%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4.628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92,2%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4.853</w:t>
            </w:r>
          </w:p>
        </w:tc>
        <w:tc>
          <w:tcPr>
            <w:tcW w:w="7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1088" w:rsidRPr="00D11088" w:rsidRDefault="00D11088" w:rsidP="00D1108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96,7%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D11088" w:rsidRPr="00D11088" w:rsidRDefault="00D11088" w:rsidP="00BC25B9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D11088">
              <w:rPr>
                <w:rFonts w:ascii="Arial" w:hAnsi="Arial" w:cs="Arial"/>
                <w:color w:val="244061"/>
                <w:sz w:val="17"/>
                <w:szCs w:val="17"/>
              </w:rPr>
              <w:t>5.019</w:t>
            </w:r>
          </w:p>
        </w:tc>
      </w:tr>
    </w:tbl>
    <w:p w:rsidR="007A0F0E" w:rsidRPr="00ED6D6D" w:rsidRDefault="007A0F0E" w:rsidP="007A0F0E">
      <w:pPr>
        <w:tabs>
          <w:tab w:val="left" w:pos="567"/>
        </w:tabs>
        <w:spacing w:before="60" w:after="0" w:line="240" w:lineRule="auto"/>
        <w:jc w:val="both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 w:rsidRPr="00ED6D6D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izvještaja, obrada GFI-a za 2015. godinu</w:t>
      </w:r>
    </w:p>
    <w:p w:rsidR="0005519F" w:rsidRPr="0005519F" w:rsidRDefault="00674F90" w:rsidP="0005519F">
      <w:pPr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DC54D3">
        <w:rPr>
          <w:rFonts w:ascii="Arial" w:hAnsi="Arial" w:cs="Arial"/>
          <w:color w:val="244061" w:themeColor="accent1" w:themeShade="80"/>
          <w:sz w:val="20"/>
          <w:szCs w:val="20"/>
        </w:rPr>
        <w:t xml:space="preserve">Prema visini ostvarenog ukupnog prihoda među poduzetnicima sa sjedištem na području obuhvaćenom urbanim područjima gradova Pula, Slavonski Brod i Zadar najbolji su poduzetnici: </w:t>
      </w:r>
      <w:hyperlink r:id="rId9" w:history="1">
        <w:r w:rsidR="00652D4C" w:rsidRPr="00DC54D3">
          <w:rPr>
            <w:rStyle w:val="Hyperlink"/>
            <w:rFonts w:ascii="Arial" w:hAnsi="Arial" w:cs="Arial"/>
            <w:sz w:val="20"/>
            <w:szCs w:val="20"/>
          </w:rPr>
          <w:t xml:space="preserve">TANKERSKA PLOVIDBA </w:t>
        </w:r>
        <w:r w:rsidR="00DC54D3">
          <w:rPr>
            <w:rStyle w:val="Hyperlink"/>
            <w:rFonts w:ascii="Arial" w:hAnsi="Arial" w:cs="Arial"/>
            <w:sz w:val="20"/>
            <w:szCs w:val="20"/>
          </w:rPr>
          <w:t>d.d.</w:t>
        </w:r>
      </w:hyperlink>
      <w:r w:rsidR="00652D4C" w:rsidRPr="00DC54D3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DC54D3">
        <w:rPr>
          <w:rFonts w:ascii="Arial" w:hAnsi="Arial" w:cs="Arial"/>
          <w:color w:val="244061" w:themeColor="accent1" w:themeShade="80"/>
          <w:sz w:val="20"/>
          <w:szCs w:val="20"/>
        </w:rPr>
        <w:t xml:space="preserve">iz </w:t>
      </w:r>
      <w:r w:rsidR="00652D4C" w:rsidRPr="00DC54D3">
        <w:rPr>
          <w:rFonts w:ascii="Arial" w:hAnsi="Arial" w:cs="Arial"/>
          <w:color w:val="244061" w:themeColor="accent1" w:themeShade="80"/>
          <w:sz w:val="20"/>
          <w:szCs w:val="20"/>
        </w:rPr>
        <w:t xml:space="preserve">Zadra i </w:t>
      </w:r>
      <w:hyperlink r:id="rId10" w:history="1">
        <w:r w:rsidR="00652D4C" w:rsidRPr="00DC54D3">
          <w:rPr>
            <w:rStyle w:val="Hyperlink"/>
            <w:rFonts w:ascii="Arial" w:hAnsi="Arial" w:cs="Arial"/>
            <w:sz w:val="20"/>
            <w:szCs w:val="20"/>
          </w:rPr>
          <w:t xml:space="preserve">ALUFLEXPACK NOVI </w:t>
        </w:r>
        <w:r w:rsidR="00DC54D3">
          <w:rPr>
            <w:rStyle w:val="Hyperlink"/>
            <w:rFonts w:ascii="Arial" w:hAnsi="Arial" w:cs="Arial"/>
            <w:sz w:val="20"/>
            <w:szCs w:val="20"/>
          </w:rPr>
          <w:t>d.o.o.</w:t>
        </w:r>
      </w:hyperlink>
      <w:r w:rsidR="00652D4C" w:rsidRPr="00DC54D3">
        <w:rPr>
          <w:rFonts w:ascii="Arial" w:hAnsi="Arial" w:cs="Arial"/>
          <w:color w:val="244061" w:themeColor="accent1" w:themeShade="80"/>
          <w:sz w:val="20"/>
          <w:szCs w:val="20"/>
        </w:rPr>
        <w:t xml:space="preserve"> iz Poličnika </w:t>
      </w:r>
      <w:r w:rsidRPr="00DC54D3">
        <w:rPr>
          <w:rFonts w:ascii="Arial" w:hAnsi="Arial" w:cs="Arial"/>
          <w:color w:val="244061" w:themeColor="accent1" w:themeShade="80"/>
          <w:sz w:val="20"/>
          <w:szCs w:val="20"/>
        </w:rPr>
        <w:t xml:space="preserve">sa ostvarenih </w:t>
      </w:r>
      <w:r w:rsidR="00652D4C" w:rsidRPr="00DC54D3">
        <w:rPr>
          <w:rFonts w:ascii="Arial" w:hAnsi="Arial" w:cs="Arial"/>
          <w:color w:val="244061" w:themeColor="accent1" w:themeShade="80"/>
          <w:sz w:val="20"/>
          <w:szCs w:val="20"/>
        </w:rPr>
        <w:t>1,1 milijardu kuna</w:t>
      </w:r>
      <w:r w:rsidRPr="00DC54D3">
        <w:rPr>
          <w:rFonts w:ascii="Arial" w:hAnsi="Arial" w:cs="Arial"/>
          <w:color w:val="244061" w:themeColor="accent1" w:themeShade="80"/>
          <w:sz w:val="20"/>
          <w:szCs w:val="20"/>
        </w:rPr>
        <w:t xml:space="preserve"> ukupnog prihoda</w:t>
      </w:r>
      <w:r w:rsidR="00652D4C" w:rsidRPr="00DC54D3">
        <w:rPr>
          <w:rFonts w:ascii="Arial" w:hAnsi="Arial" w:cs="Arial"/>
          <w:color w:val="244061" w:themeColor="accent1" w:themeShade="80"/>
          <w:sz w:val="20"/>
          <w:szCs w:val="20"/>
        </w:rPr>
        <w:t xml:space="preserve"> te</w:t>
      </w:r>
      <w:r w:rsidRPr="00DC54D3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hyperlink r:id="rId11" w:history="1">
        <w:r w:rsidR="00652D4C" w:rsidRPr="00DC54D3">
          <w:rPr>
            <w:rStyle w:val="Hyperlink"/>
            <w:rFonts w:ascii="Arial" w:hAnsi="Arial" w:cs="Arial"/>
            <w:sz w:val="20"/>
            <w:szCs w:val="20"/>
          </w:rPr>
          <w:t xml:space="preserve">ULJANIK </w:t>
        </w:r>
        <w:r w:rsidR="001668C0" w:rsidRPr="00DC54D3">
          <w:rPr>
            <w:rStyle w:val="Hyperlink"/>
            <w:rFonts w:ascii="Arial" w:hAnsi="Arial" w:cs="Arial"/>
            <w:sz w:val="20"/>
            <w:szCs w:val="20"/>
          </w:rPr>
          <w:t>Brodogradilište</w:t>
        </w:r>
        <w:r w:rsidR="00652D4C" w:rsidRPr="00DC54D3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r w:rsidR="00DC54D3">
          <w:rPr>
            <w:rStyle w:val="Hyperlink"/>
            <w:rFonts w:ascii="Arial" w:hAnsi="Arial" w:cs="Arial"/>
            <w:sz w:val="20"/>
            <w:szCs w:val="20"/>
          </w:rPr>
          <w:t>d.d.</w:t>
        </w:r>
      </w:hyperlink>
      <w:r w:rsidRPr="00DC54D3">
        <w:rPr>
          <w:rFonts w:ascii="Arial" w:hAnsi="Arial" w:cs="Arial"/>
          <w:color w:val="244061" w:themeColor="accent1" w:themeShade="80"/>
          <w:sz w:val="20"/>
          <w:szCs w:val="20"/>
        </w:rPr>
        <w:t xml:space="preserve"> iz </w:t>
      </w:r>
      <w:r w:rsidR="00652D4C" w:rsidRPr="00DC54D3">
        <w:rPr>
          <w:rFonts w:ascii="Arial" w:hAnsi="Arial" w:cs="Arial"/>
          <w:color w:val="244061" w:themeColor="accent1" w:themeShade="80"/>
          <w:sz w:val="20"/>
          <w:szCs w:val="20"/>
        </w:rPr>
        <w:t>Pule</w:t>
      </w:r>
      <w:r w:rsidRPr="00DC54D3">
        <w:rPr>
          <w:rFonts w:ascii="Arial" w:hAnsi="Arial" w:cs="Arial"/>
          <w:color w:val="244061" w:themeColor="accent1" w:themeShade="80"/>
          <w:sz w:val="20"/>
          <w:szCs w:val="20"/>
        </w:rPr>
        <w:t xml:space="preserve"> sa ostvarenih </w:t>
      </w:r>
      <w:r w:rsidR="00652D4C" w:rsidRPr="00DC54D3">
        <w:rPr>
          <w:rFonts w:ascii="Arial" w:hAnsi="Arial" w:cs="Arial"/>
          <w:color w:val="244061" w:themeColor="accent1" w:themeShade="80"/>
          <w:sz w:val="20"/>
          <w:szCs w:val="20"/>
        </w:rPr>
        <w:t>761,4</w:t>
      </w:r>
      <w:r w:rsidRPr="00DC54D3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 kuna ukupnoga prihoda.</w:t>
      </w:r>
      <w:r w:rsidR="0005519F" w:rsidRPr="0005519F">
        <w:t xml:space="preserve"> </w:t>
      </w:r>
      <w:r w:rsidR="0005519F" w:rsidRPr="0005519F">
        <w:rPr>
          <w:rFonts w:ascii="Arial" w:hAnsi="Arial" w:cs="Arial"/>
          <w:color w:val="244061" w:themeColor="accent1" w:themeShade="80"/>
          <w:sz w:val="20"/>
          <w:szCs w:val="20"/>
        </w:rPr>
        <w:t xml:space="preserve">Prema visini ostvarenog ukupnog prihoda među poduzetnicima sa sjedištem </w:t>
      </w:r>
      <w:r w:rsidR="0005519F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05519F" w:rsidRPr="0005519F">
        <w:rPr>
          <w:rFonts w:ascii="Arial" w:hAnsi="Arial" w:cs="Arial"/>
          <w:color w:val="244061" w:themeColor="accent1" w:themeShade="80"/>
          <w:sz w:val="20"/>
          <w:szCs w:val="20"/>
        </w:rPr>
        <w:t xml:space="preserve"> Velikom urbanom području Slavonski Brod, najbolji </w:t>
      </w:r>
      <w:r w:rsidR="0005519F">
        <w:rPr>
          <w:rFonts w:ascii="Arial" w:hAnsi="Arial" w:cs="Arial"/>
          <w:color w:val="244061" w:themeColor="accent1" w:themeShade="80"/>
          <w:sz w:val="20"/>
          <w:szCs w:val="20"/>
        </w:rPr>
        <w:t>su</w:t>
      </w:r>
      <w:r w:rsidR="0005519F" w:rsidRPr="0005519F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</w:t>
      </w:r>
      <w:r w:rsidR="0005519F">
        <w:rPr>
          <w:rFonts w:ascii="Arial" w:hAnsi="Arial" w:cs="Arial"/>
          <w:color w:val="244061" w:themeColor="accent1" w:themeShade="80"/>
          <w:sz w:val="20"/>
          <w:szCs w:val="20"/>
        </w:rPr>
        <w:t>ci</w:t>
      </w:r>
      <w:r w:rsidR="0005519F" w:rsidRPr="0005519F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hyperlink r:id="rId12" w:history="1">
        <w:r w:rsidR="0005519F" w:rsidRPr="002160E5">
          <w:rPr>
            <w:rStyle w:val="Hyperlink"/>
            <w:rFonts w:ascii="Arial" w:hAnsi="Arial" w:cs="Arial"/>
            <w:sz w:val="20"/>
            <w:szCs w:val="20"/>
          </w:rPr>
          <w:t>Đuro Đaković Termoenergetska postrojenja d.o.o</w:t>
        </w:r>
      </w:hyperlink>
      <w:r w:rsidR="0005519F" w:rsidRPr="0005519F">
        <w:rPr>
          <w:rFonts w:ascii="Arial" w:hAnsi="Arial" w:cs="Arial"/>
          <w:color w:val="244061" w:themeColor="accent1" w:themeShade="80"/>
          <w:sz w:val="20"/>
          <w:szCs w:val="20"/>
        </w:rPr>
        <w:t xml:space="preserve">. iz Slavonskog Broda sa ostvarenih 599,6 milijuna kuna i </w:t>
      </w:r>
      <w:hyperlink r:id="rId13" w:history="1">
        <w:r w:rsidR="0005519F" w:rsidRPr="002160E5">
          <w:rPr>
            <w:rStyle w:val="Hyperlink"/>
            <w:rFonts w:ascii="Arial" w:hAnsi="Arial" w:cs="Arial"/>
            <w:sz w:val="20"/>
            <w:szCs w:val="20"/>
          </w:rPr>
          <w:t>PROJEKTGRADNJA d.o.o.</w:t>
        </w:r>
      </w:hyperlink>
      <w:r w:rsidR="0005519F" w:rsidRPr="0005519F">
        <w:rPr>
          <w:rFonts w:ascii="Arial" w:hAnsi="Arial" w:cs="Arial"/>
          <w:color w:val="244061" w:themeColor="accent1" w:themeShade="80"/>
          <w:sz w:val="20"/>
          <w:szCs w:val="20"/>
        </w:rPr>
        <w:t xml:space="preserve"> iz Gornje Vrbe sa ostvarenih 519,5 milijuna kuna ukupnoga prihoda.</w:t>
      </w:r>
    </w:p>
    <w:p w:rsidR="00674F90" w:rsidRPr="006428F4" w:rsidRDefault="00674F90" w:rsidP="000E38A6">
      <w:pPr>
        <w:widowControl w:val="0"/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DC54D3">
        <w:rPr>
          <w:rFonts w:ascii="Arial" w:hAnsi="Arial" w:cs="Arial"/>
          <w:color w:val="244061" w:themeColor="accent1" w:themeShade="80"/>
          <w:sz w:val="20"/>
          <w:szCs w:val="20"/>
        </w:rPr>
        <w:lastRenderedPageBreak/>
        <w:t>Prema kriteriju ostvarene dobiti razdoblja među</w:t>
      </w:r>
      <w:r w:rsidRPr="006428F4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poduzetnicima sa sjedištem na području obuhvaćenom urbanim područjima gradova Pula, Slavonski Brod i Zadar, najbolji su poduzetnici </w:t>
      </w:r>
      <w:hyperlink r:id="rId14" w:history="1">
        <w:r w:rsidR="006428F4" w:rsidRPr="006428F4">
          <w:rPr>
            <w:rStyle w:val="Hyperlink"/>
            <w:rFonts w:ascii="Arial" w:hAnsi="Arial" w:cs="Arial"/>
            <w:sz w:val="20"/>
            <w:szCs w:val="20"/>
          </w:rPr>
          <w:t xml:space="preserve">TANKERSKA PLOVIDBA </w:t>
        </w:r>
        <w:r w:rsidR="000E38A6">
          <w:rPr>
            <w:rStyle w:val="Hyperlink"/>
            <w:rFonts w:ascii="Arial" w:hAnsi="Arial" w:cs="Arial"/>
            <w:sz w:val="20"/>
            <w:szCs w:val="20"/>
          </w:rPr>
          <w:t>d.d.</w:t>
        </w:r>
      </w:hyperlink>
      <w:r w:rsidRPr="006428F4">
        <w:rPr>
          <w:rFonts w:ascii="Arial" w:hAnsi="Arial" w:cs="Arial"/>
          <w:color w:val="244061" w:themeColor="accent1" w:themeShade="80"/>
          <w:sz w:val="20"/>
          <w:szCs w:val="20"/>
        </w:rPr>
        <w:t xml:space="preserve"> iz </w:t>
      </w:r>
      <w:r w:rsidR="006428F4" w:rsidRPr="006428F4">
        <w:rPr>
          <w:rFonts w:ascii="Arial" w:hAnsi="Arial" w:cs="Arial"/>
          <w:color w:val="244061" w:themeColor="accent1" w:themeShade="80"/>
          <w:sz w:val="20"/>
          <w:szCs w:val="20"/>
        </w:rPr>
        <w:t>Zadra</w:t>
      </w:r>
      <w:r w:rsidR="00DC54D3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6428F4">
        <w:rPr>
          <w:rFonts w:ascii="Arial" w:hAnsi="Arial" w:cs="Arial"/>
          <w:color w:val="244061" w:themeColor="accent1" w:themeShade="80"/>
          <w:sz w:val="20"/>
          <w:szCs w:val="20"/>
        </w:rPr>
        <w:t xml:space="preserve"> sa ostvarenih </w:t>
      </w:r>
      <w:r w:rsidR="006428F4" w:rsidRPr="006428F4">
        <w:rPr>
          <w:rFonts w:ascii="Arial" w:hAnsi="Arial" w:cs="Arial"/>
          <w:color w:val="244061" w:themeColor="accent1" w:themeShade="80"/>
          <w:sz w:val="20"/>
          <w:szCs w:val="20"/>
        </w:rPr>
        <w:t>118,6 mi</w:t>
      </w:r>
      <w:r w:rsidRPr="006428F4">
        <w:rPr>
          <w:rFonts w:ascii="Arial" w:hAnsi="Arial" w:cs="Arial"/>
          <w:color w:val="244061" w:themeColor="accent1" w:themeShade="80"/>
          <w:sz w:val="20"/>
          <w:szCs w:val="20"/>
        </w:rPr>
        <w:t>lijun</w:t>
      </w:r>
      <w:r w:rsidR="006428F4" w:rsidRPr="006428F4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6428F4">
        <w:rPr>
          <w:rFonts w:ascii="Arial" w:hAnsi="Arial" w:cs="Arial"/>
          <w:color w:val="244061" w:themeColor="accent1" w:themeShade="80"/>
          <w:sz w:val="20"/>
          <w:szCs w:val="20"/>
        </w:rPr>
        <w:t xml:space="preserve"> kuna dobiti razdoblja i </w:t>
      </w:r>
      <w:hyperlink r:id="rId15" w:history="1">
        <w:r w:rsidR="006428F4" w:rsidRPr="006428F4">
          <w:rPr>
            <w:rStyle w:val="Hyperlink"/>
            <w:rFonts w:ascii="Arial" w:hAnsi="Arial" w:cs="Arial"/>
            <w:sz w:val="20"/>
            <w:szCs w:val="20"/>
          </w:rPr>
          <w:t>Calucem d.o.o</w:t>
        </w:r>
      </w:hyperlink>
      <w:r w:rsidR="006428F4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Pr="006428F4">
        <w:rPr>
          <w:rFonts w:ascii="Arial" w:hAnsi="Arial" w:cs="Arial"/>
          <w:color w:val="244061" w:themeColor="accent1" w:themeShade="80"/>
          <w:sz w:val="20"/>
          <w:szCs w:val="20"/>
        </w:rPr>
        <w:t xml:space="preserve"> iz </w:t>
      </w:r>
      <w:r w:rsidR="006428F4" w:rsidRPr="006428F4">
        <w:rPr>
          <w:rFonts w:ascii="Arial" w:hAnsi="Arial" w:cs="Arial"/>
          <w:color w:val="244061" w:themeColor="accent1" w:themeShade="80"/>
          <w:sz w:val="20"/>
          <w:szCs w:val="20"/>
        </w:rPr>
        <w:t>Pule</w:t>
      </w:r>
      <w:r w:rsidR="00DC54D3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6428F4">
        <w:rPr>
          <w:rFonts w:ascii="Arial" w:hAnsi="Arial" w:cs="Arial"/>
          <w:color w:val="244061" w:themeColor="accent1" w:themeShade="80"/>
          <w:sz w:val="20"/>
          <w:szCs w:val="20"/>
        </w:rPr>
        <w:t xml:space="preserve"> sa ostvarenih </w:t>
      </w:r>
      <w:r w:rsidR="006428F4" w:rsidRPr="006428F4">
        <w:rPr>
          <w:rFonts w:ascii="Arial" w:hAnsi="Arial" w:cs="Arial"/>
          <w:color w:val="244061" w:themeColor="accent1" w:themeShade="80"/>
          <w:sz w:val="20"/>
          <w:szCs w:val="20"/>
        </w:rPr>
        <w:t>71,5</w:t>
      </w:r>
      <w:r w:rsidRPr="006428F4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</w:t>
      </w:r>
      <w:r w:rsidR="009E76D0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DC54D3">
        <w:rPr>
          <w:rFonts w:ascii="Arial" w:hAnsi="Arial" w:cs="Arial"/>
          <w:color w:val="244061" w:themeColor="accent1" w:themeShade="80"/>
          <w:sz w:val="20"/>
          <w:szCs w:val="20"/>
        </w:rPr>
        <w:t xml:space="preserve"> kuna dobiti razdoblja.</w:t>
      </w:r>
    </w:p>
    <w:p w:rsidR="00674F90" w:rsidRDefault="00674F90" w:rsidP="0005519F">
      <w:pPr>
        <w:widowControl w:val="0"/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0E38A6">
        <w:rPr>
          <w:rFonts w:ascii="Arial" w:hAnsi="Arial" w:cs="Arial"/>
          <w:color w:val="244061" w:themeColor="accent1" w:themeShade="80"/>
          <w:sz w:val="20"/>
          <w:szCs w:val="20"/>
        </w:rPr>
        <w:t>Najveći izvoz</w:t>
      </w:r>
      <w:r w:rsidRPr="00B75A1C">
        <w:rPr>
          <w:rFonts w:ascii="Arial" w:hAnsi="Arial" w:cs="Arial"/>
          <w:color w:val="244061" w:themeColor="accent1" w:themeShade="80"/>
          <w:sz w:val="20"/>
          <w:szCs w:val="20"/>
        </w:rPr>
        <w:t xml:space="preserve"> ostvaril</w:t>
      </w:r>
      <w:r w:rsidR="00DC54D3">
        <w:rPr>
          <w:rFonts w:ascii="Arial" w:hAnsi="Arial" w:cs="Arial"/>
          <w:color w:val="244061" w:themeColor="accent1" w:themeShade="80"/>
          <w:sz w:val="20"/>
          <w:szCs w:val="20"/>
        </w:rPr>
        <w:t xml:space="preserve">i </w:t>
      </w:r>
      <w:r w:rsidRPr="00B75A1C">
        <w:rPr>
          <w:rFonts w:ascii="Arial" w:hAnsi="Arial" w:cs="Arial"/>
          <w:color w:val="244061" w:themeColor="accent1" w:themeShade="80"/>
          <w:sz w:val="20"/>
          <w:szCs w:val="20"/>
        </w:rPr>
        <w:t xml:space="preserve">su </w:t>
      </w:r>
      <w:hyperlink r:id="rId16" w:history="1">
        <w:r w:rsidR="006428F4" w:rsidRPr="00B75A1C">
          <w:rPr>
            <w:rStyle w:val="Hyperlink"/>
            <w:rFonts w:ascii="Arial" w:hAnsi="Arial" w:cs="Arial"/>
            <w:sz w:val="20"/>
            <w:szCs w:val="20"/>
          </w:rPr>
          <w:t xml:space="preserve">TANKERSKA PLOVIDBA </w:t>
        </w:r>
        <w:r w:rsidR="000E38A6">
          <w:rPr>
            <w:rStyle w:val="Hyperlink"/>
            <w:rFonts w:ascii="Arial" w:hAnsi="Arial" w:cs="Arial"/>
            <w:sz w:val="20"/>
            <w:szCs w:val="20"/>
          </w:rPr>
          <w:t>d.d.</w:t>
        </w:r>
      </w:hyperlink>
      <w:r w:rsidR="006428F4" w:rsidRPr="00B75A1C">
        <w:rPr>
          <w:rFonts w:ascii="Arial" w:hAnsi="Arial" w:cs="Arial"/>
          <w:color w:val="244061" w:themeColor="accent1" w:themeShade="80"/>
          <w:sz w:val="20"/>
          <w:szCs w:val="20"/>
        </w:rPr>
        <w:t xml:space="preserve"> iz Zadra</w:t>
      </w:r>
      <w:r w:rsidR="00DC54D3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6428F4" w:rsidRPr="00B75A1C">
        <w:rPr>
          <w:rFonts w:ascii="Arial" w:hAnsi="Arial" w:cs="Arial"/>
          <w:color w:val="244061" w:themeColor="accent1" w:themeShade="80"/>
          <w:sz w:val="20"/>
          <w:szCs w:val="20"/>
        </w:rPr>
        <w:t>720,9 milijuna kuna</w:t>
      </w:r>
      <w:r w:rsidR="00DC54D3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B75A1C">
        <w:rPr>
          <w:rFonts w:ascii="Arial" w:hAnsi="Arial" w:cs="Arial"/>
          <w:color w:val="244061" w:themeColor="accent1" w:themeShade="80"/>
          <w:sz w:val="20"/>
          <w:szCs w:val="20"/>
        </w:rPr>
        <w:t xml:space="preserve"> i </w:t>
      </w:r>
      <w:hyperlink r:id="rId17" w:history="1">
        <w:r w:rsidR="006428F4" w:rsidRPr="00B75A1C">
          <w:rPr>
            <w:rStyle w:val="Hyperlink"/>
            <w:rFonts w:ascii="Arial" w:hAnsi="Arial" w:cs="Arial"/>
            <w:sz w:val="20"/>
            <w:szCs w:val="20"/>
          </w:rPr>
          <w:t xml:space="preserve">ALUFLEXPACK NOVI </w:t>
        </w:r>
        <w:r w:rsidR="000E38A6">
          <w:rPr>
            <w:rStyle w:val="Hyperlink"/>
            <w:rFonts w:ascii="Arial" w:hAnsi="Arial" w:cs="Arial"/>
            <w:sz w:val="20"/>
            <w:szCs w:val="20"/>
          </w:rPr>
          <w:t>d.o.o.</w:t>
        </w:r>
      </w:hyperlink>
      <w:r w:rsidR="00B75A1C" w:rsidRPr="00B75A1C">
        <w:rPr>
          <w:rFonts w:ascii="Arial" w:hAnsi="Arial" w:cs="Arial"/>
          <w:color w:val="244061" w:themeColor="accent1" w:themeShade="80"/>
          <w:sz w:val="20"/>
          <w:szCs w:val="20"/>
        </w:rPr>
        <w:t xml:space="preserve"> iz Poličnika </w:t>
      </w:r>
      <w:r w:rsidR="00DC54D3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B75A1C" w:rsidRPr="00B75A1C">
        <w:rPr>
          <w:rFonts w:ascii="Arial" w:hAnsi="Arial" w:cs="Arial"/>
          <w:color w:val="244061" w:themeColor="accent1" w:themeShade="80"/>
          <w:sz w:val="20"/>
          <w:szCs w:val="20"/>
        </w:rPr>
        <w:t>691,3 milijuna ku</w:t>
      </w:r>
      <w:r w:rsidR="00B75A1C">
        <w:rPr>
          <w:rFonts w:ascii="Arial" w:hAnsi="Arial" w:cs="Arial"/>
          <w:color w:val="244061" w:themeColor="accent1" w:themeShade="80"/>
          <w:sz w:val="20"/>
          <w:szCs w:val="20"/>
        </w:rPr>
        <w:t>na</w:t>
      </w:r>
      <w:r w:rsidR="00DC54D3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2D32EF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3523CC" w:rsidRPr="00B75A1C" w:rsidRDefault="003523CC" w:rsidP="00BD6750">
      <w:pPr>
        <w:widowControl w:val="0"/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3523CC">
        <w:rPr>
          <w:rFonts w:ascii="Arial" w:hAnsi="Arial" w:cs="Arial"/>
          <w:color w:val="244061" w:themeColor="accent1" w:themeShade="80"/>
          <w:sz w:val="20"/>
          <w:szCs w:val="20"/>
        </w:rPr>
        <w:t>Na području Velikog urbanog područja grada Slavonski Brod najveći je prosječan broj zaposlenih po poduzetniku (9,8).</w:t>
      </w:r>
    </w:p>
    <w:p w:rsidR="00141F66" w:rsidRDefault="006C39DD" w:rsidP="00ED6D6D">
      <w:pPr>
        <w:tabs>
          <w:tab w:val="left" w:pos="567"/>
          <w:tab w:val="left" w:pos="1134"/>
        </w:tabs>
        <w:spacing w:before="180" w:after="4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6C39DD">
        <w:rPr>
          <w:rFonts w:ascii="Arial" w:hAnsi="Arial" w:cs="Arial"/>
          <w:b/>
          <w:color w:val="244061" w:themeColor="accent1" w:themeShade="80"/>
          <w:sz w:val="18"/>
          <w:szCs w:val="18"/>
        </w:rPr>
        <w:t>Tablica 2.</w:t>
      </w:r>
      <w:r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 w:rsidRPr="00197E46">
        <w:rPr>
          <w:rFonts w:ascii="Arial" w:hAnsi="Arial" w:cs="Arial"/>
          <w:b/>
          <w:color w:val="244061" w:themeColor="accent1" w:themeShade="80"/>
          <w:sz w:val="18"/>
          <w:szCs w:val="18"/>
        </w:rPr>
        <w:t>Pokazatelji poslovanja poduzetnika na područj</w:t>
      </w:r>
      <w:r w:rsidR="00E339DF" w:rsidRPr="00197E46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u </w:t>
      </w:r>
      <w:r w:rsidR="008D610A">
        <w:rPr>
          <w:rFonts w:ascii="Arial" w:hAnsi="Arial" w:cs="Arial"/>
          <w:b/>
          <w:color w:val="244061" w:themeColor="accent1" w:themeShade="80"/>
          <w:sz w:val="18"/>
          <w:szCs w:val="18"/>
        </w:rPr>
        <w:t>Velikih u</w:t>
      </w:r>
      <w:r w:rsidR="00E339DF" w:rsidRPr="00197E46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rbanih </w:t>
      </w:r>
      <w:r w:rsidR="00197E46">
        <w:rPr>
          <w:rFonts w:ascii="Arial" w:hAnsi="Arial" w:cs="Arial"/>
          <w:b/>
          <w:color w:val="244061" w:themeColor="accent1" w:themeShade="80"/>
          <w:sz w:val="18"/>
          <w:szCs w:val="18"/>
        </w:rPr>
        <w:t>područja R</w:t>
      </w:r>
      <w:r w:rsidR="00E339DF" w:rsidRPr="00197E46">
        <w:rPr>
          <w:rFonts w:ascii="Arial" w:hAnsi="Arial" w:cs="Arial"/>
          <w:b/>
          <w:color w:val="244061" w:themeColor="accent1" w:themeShade="80"/>
          <w:sz w:val="18"/>
          <w:szCs w:val="18"/>
        </w:rPr>
        <w:t>H u 2015</w:t>
      </w:r>
      <w:r w:rsidRPr="00197E46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. </w:t>
      </w:r>
      <w:r w:rsidR="007D5B8B">
        <w:rPr>
          <w:rFonts w:ascii="Arial" w:hAnsi="Arial" w:cs="Arial"/>
          <w:b/>
          <w:color w:val="244061" w:themeColor="accent1" w:themeShade="80"/>
          <w:sz w:val="18"/>
          <w:szCs w:val="18"/>
        </w:rPr>
        <w:t>g</w:t>
      </w:r>
      <w:r w:rsidRPr="00197E46">
        <w:rPr>
          <w:rFonts w:ascii="Arial" w:hAnsi="Arial" w:cs="Arial"/>
          <w:b/>
          <w:color w:val="244061" w:themeColor="accent1" w:themeShade="80"/>
          <w:sz w:val="18"/>
          <w:szCs w:val="18"/>
        </w:rPr>
        <w:t>odini</w:t>
      </w:r>
    </w:p>
    <w:tbl>
      <w:tblPr>
        <w:tblW w:w="9892" w:type="dxa"/>
        <w:jc w:val="center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299"/>
        <w:gridCol w:w="1191"/>
        <w:gridCol w:w="1304"/>
        <w:gridCol w:w="1191"/>
        <w:gridCol w:w="907"/>
      </w:tblGrid>
      <w:tr w:rsidR="00136F59" w:rsidRPr="00DC54D3" w:rsidTr="00D11088">
        <w:trPr>
          <w:trHeight w:val="255"/>
          <w:jc w:val="center"/>
        </w:trPr>
        <w:tc>
          <w:tcPr>
            <w:tcW w:w="5299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315683"/>
            <w:vAlign w:val="center"/>
            <w:hideMark/>
          </w:tcPr>
          <w:p w:rsidR="00136F59" w:rsidRPr="00DC54D3" w:rsidRDefault="00136F59" w:rsidP="00E44A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C54D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3686" w:type="dxa"/>
            <w:gridSpan w:val="3"/>
            <w:tcBorders>
              <w:top w:val="single" w:sz="4" w:space="0" w:color="FFFFFF" w:themeColor="background1"/>
              <w:left w:val="single" w:sz="2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15683"/>
            <w:vAlign w:val="center"/>
            <w:hideMark/>
          </w:tcPr>
          <w:p w:rsidR="00136F59" w:rsidRPr="0070084D" w:rsidRDefault="00136F59" w:rsidP="00E44A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0084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Veliko urbano područje</w:t>
            </w:r>
          </w:p>
        </w:tc>
        <w:tc>
          <w:tcPr>
            <w:tcW w:w="90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315683"/>
            <w:vAlign w:val="center"/>
            <w:hideMark/>
          </w:tcPr>
          <w:p w:rsidR="00136F59" w:rsidRPr="0070084D" w:rsidRDefault="00136F59" w:rsidP="00136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0084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RH</w:t>
            </w:r>
          </w:p>
        </w:tc>
      </w:tr>
      <w:tr w:rsidR="00136F59" w:rsidRPr="00DC54D3" w:rsidTr="00D11088">
        <w:trPr>
          <w:trHeight w:val="255"/>
          <w:jc w:val="center"/>
        </w:trPr>
        <w:tc>
          <w:tcPr>
            <w:tcW w:w="529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  <w:hideMark/>
          </w:tcPr>
          <w:p w:rsidR="00136F59" w:rsidRPr="00141F66" w:rsidRDefault="00136F59" w:rsidP="00E44A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315683"/>
            <w:vAlign w:val="center"/>
            <w:hideMark/>
          </w:tcPr>
          <w:p w:rsidR="00136F59" w:rsidRPr="00141F66" w:rsidRDefault="00136F59" w:rsidP="00E44A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41F6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Pula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315683"/>
            <w:vAlign w:val="center"/>
            <w:hideMark/>
          </w:tcPr>
          <w:p w:rsidR="00136F59" w:rsidRPr="00141F66" w:rsidRDefault="00136F59" w:rsidP="00E44A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41F6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Slavonski Brod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315683"/>
            <w:vAlign w:val="center"/>
            <w:hideMark/>
          </w:tcPr>
          <w:p w:rsidR="00136F59" w:rsidRPr="00141F66" w:rsidRDefault="00136F59" w:rsidP="00E44A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41F6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Zadar</w:t>
            </w:r>
          </w:p>
        </w:tc>
        <w:tc>
          <w:tcPr>
            <w:tcW w:w="907" w:type="dxa"/>
            <w:vMerge/>
            <w:tcBorders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136F59" w:rsidRPr="00141F66" w:rsidRDefault="00136F59" w:rsidP="00E44A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</w:tr>
      <w:tr w:rsidR="00167E12" w:rsidRPr="00DC54D3" w:rsidTr="00136F59">
        <w:trPr>
          <w:jc w:val="center"/>
        </w:trPr>
        <w:tc>
          <w:tcPr>
            <w:tcW w:w="5299" w:type="dxa"/>
            <w:tcBorders>
              <w:top w:val="single" w:sz="2" w:space="0" w:color="FFFFFF" w:themeColor="background1"/>
              <w:left w:val="single" w:sz="8" w:space="0" w:color="BFBFBF"/>
              <w:bottom w:val="single" w:sz="8" w:space="0" w:color="BFBFBF"/>
              <w:right w:val="single" w:sz="2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167E12" w:rsidRPr="00141F66" w:rsidRDefault="00167E12" w:rsidP="00E44AAE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141F66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Broj zaposlenih po poduzetniku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167E12" w:rsidRDefault="003523CC" w:rsidP="00E44AAE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>4,6</w:t>
            </w:r>
          </w:p>
        </w:tc>
        <w:tc>
          <w:tcPr>
            <w:tcW w:w="13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167E12" w:rsidRDefault="003523CC" w:rsidP="00E44AAE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>9,8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167E12" w:rsidRDefault="003523CC" w:rsidP="00E44AAE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>5,9</w:t>
            </w:r>
          </w:p>
        </w:tc>
        <w:tc>
          <w:tcPr>
            <w:tcW w:w="9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9D9D9" w:themeFill="background1" w:themeFillShade="D9"/>
            <w:noWrap/>
            <w:vAlign w:val="center"/>
          </w:tcPr>
          <w:p w:rsidR="003523CC" w:rsidRDefault="003523CC" w:rsidP="003523CC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>7,9</w:t>
            </w:r>
          </w:p>
        </w:tc>
      </w:tr>
      <w:tr w:rsidR="00167E12" w:rsidRPr="00DC54D3" w:rsidTr="00136F59">
        <w:trPr>
          <w:jc w:val="center"/>
        </w:trPr>
        <w:tc>
          <w:tcPr>
            <w:tcW w:w="5299" w:type="dxa"/>
            <w:tcBorders>
              <w:top w:val="nil"/>
              <w:left w:val="single" w:sz="8" w:space="0" w:color="BFBFBF"/>
              <w:bottom w:val="single" w:sz="8" w:space="0" w:color="BFBFBF"/>
              <w:right w:val="single" w:sz="2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167E12" w:rsidRPr="00141F66" w:rsidRDefault="00167E12" w:rsidP="00E44AAE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141F66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Produktivnost rada (prihod po zaposlenom u kn)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167E12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477.115</w:t>
            </w:r>
          </w:p>
        </w:tc>
        <w:tc>
          <w:tcPr>
            <w:tcW w:w="13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167E12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503.310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167E12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603.654</w:t>
            </w:r>
          </w:p>
        </w:tc>
        <w:tc>
          <w:tcPr>
            <w:tcW w:w="9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9D9D9" w:themeFill="background1" w:themeFillShade="D9"/>
            <w:noWrap/>
            <w:vAlign w:val="center"/>
          </w:tcPr>
          <w:p w:rsidR="00167E12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>762.771</w:t>
            </w:r>
          </w:p>
        </w:tc>
      </w:tr>
      <w:tr w:rsidR="00167E12" w:rsidRPr="00DC54D3" w:rsidTr="00136F59">
        <w:trPr>
          <w:jc w:val="center"/>
        </w:trPr>
        <w:tc>
          <w:tcPr>
            <w:tcW w:w="5299" w:type="dxa"/>
            <w:tcBorders>
              <w:top w:val="nil"/>
              <w:left w:val="single" w:sz="8" w:space="0" w:color="BFBFBF"/>
              <w:bottom w:val="single" w:sz="4" w:space="0" w:color="BFBFBF" w:themeColor="background1" w:themeShade="BF"/>
              <w:right w:val="single" w:sz="2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167E12" w:rsidRPr="00141F66" w:rsidRDefault="00167E12" w:rsidP="00E44AAE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141F66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Produktivnost rada (dobit/gubitak razdoblja po zaposl. u kn)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167E12" w:rsidRPr="00D11088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11088">
              <w:rPr>
                <w:rFonts w:ascii="Arial" w:hAnsi="Arial" w:cs="Arial"/>
                <w:color w:val="FF0000"/>
                <w:sz w:val="18"/>
                <w:szCs w:val="18"/>
              </w:rPr>
              <w:t>-6.370</w:t>
            </w:r>
          </w:p>
        </w:tc>
        <w:tc>
          <w:tcPr>
            <w:tcW w:w="13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167E12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3.212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167E12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6.121</w:t>
            </w:r>
          </w:p>
        </w:tc>
        <w:tc>
          <w:tcPr>
            <w:tcW w:w="9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9D9D9" w:themeFill="background1" w:themeFillShade="D9"/>
            <w:noWrap/>
            <w:vAlign w:val="center"/>
          </w:tcPr>
          <w:p w:rsidR="00167E12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>20.439</w:t>
            </w:r>
          </w:p>
        </w:tc>
      </w:tr>
      <w:tr w:rsidR="00167E12" w:rsidRPr="00DC54D3" w:rsidTr="00136F59">
        <w:trPr>
          <w:jc w:val="center"/>
        </w:trPr>
        <w:tc>
          <w:tcPr>
            <w:tcW w:w="52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167E12" w:rsidRPr="00141F66" w:rsidRDefault="00167E12" w:rsidP="00E44AAE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141F66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Ekonomičnost ukupnog poslovanja (u % na 2 decimale)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67E12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99,82</w:t>
            </w:r>
          </w:p>
        </w:tc>
        <w:tc>
          <w:tcPr>
            <w:tcW w:w="1304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67E12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101,31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67E12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101,72</w:t>
            </w:r>
          </w:p>
        </w:tc>
        <w:tc>
          <w:tcPr>
            <w:tcW w:w="907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 w:themeFill="background1" w:themeFillShade="D9"/>
            <w:noWrap/>
            <w:vAlign w:val="center"/>
          </w:tcPr>
          <w:p w:rsidR="00167E12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>103,68</w:t>
            </w:r>
          </w:p>
        </w:tc>
      </w:tr>
      <w:tr w:rsidR="00167E12" w:rsidRPr="00DC54D3" w:rsidTr="00136F59">
        <w:trPr>
          <w:jc w:val="center"/>
        </w:trPr>
        <w:tc>
          <w:tcPr>
            <w:tcW w:w="52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167E12" w:rsidRPr="00141F66" w:rsidRDefault="00167E12" w:rsidP="00E44AAE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141F66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Koeficijent financijske stabilnosti (u % na 2 decimale)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67E12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1,11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67E12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1,26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67E12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1,29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 w:themeFill="background1" w:themeFillShade="D9"/>
            <w:noWrap/>
            <w:vAlign w:val="center"/>
          </w:tcPr>
          <w:p w:rsidR="00167E12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>1,03</w:t>
            </w:r>
          </w:p>
        </w:tc>
      </w:tr>
      <w:tr w:rsidR="00167E12" w:rsidRPr="00DC54D3" w:rsidTr="00136F59">
        <w:trPr>
          <w:jc w:val="center"/>
        </w:trPr>
        <w:tc>
          <w:tcPr>
            <w:tcW w:w="52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167E12" w:rsidRPr="00141F66" w:rsidRDefault="00167E12" w:rsidP="00E44AAE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141F66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Koeficijent tekuće likvidnosti (u % na 2 decimale)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67E12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0,85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67E12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0,82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67E12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0,71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 w:themeFill="background1" w:themeFillShade="D9"/>
            <w:noWrap/>
            <w:vAlign w:val="center"/>
          </w:tcPr>
          <w:p w:rsidR="00167E12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>0,94</w:t>
            </w:r>
          </w:p>
        </w:tc>
      </w:tr>
    </w:tbl>
    <w:p w:rsidR="00141F66" w:rsidRPr="004946AC" w:rsidRDefault="00141F66" w:rsidP="00ED6D6D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141F66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izvještaja, obrada GFI-a za 2015. </w:t>
      </w:r>
      <w:r w:rsidR="00D11088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g</w:t>
      </w:r>
      <w:r w:rsidRPr="00141F66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odinu</w:t>
      </w:r>
    </w:p>
    <w:p w:rsidR="002D32EF" w:rsidRDefault="00674F90" w:rsidP="0005519F">
      <w:pPr>
        <w:tabs>
          <w:tab w:val="left" w:pos="567"/>
        </w:tabs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>P</w:t>
      </w:r>
      <w:r w:rsidRPr="00D84450">
        <w:rPr>
          <w:rFonts w:ascii="Arial" w:hAnsi="Arial" w:cs="Arial"/>
          <w:color w:val="244061" w:themeColor="accent1" w:themeShade="80"/>
          <w:sz w:val="20"/>
          <w:szCs w:val="20"/>
        </w:rPr>
        <w:t xml:space="preserve">rema produktivnosti (prihodu po zaposlenom), na prvom su mjestu poduzetnici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Velikog u</w:t>
      </w:r>
      <w:r w:rsidRPr="00D84450">
        <w:rPr>
          <w:rFonts w:ascii="Arial" w:hAnsi="Arial" w:cs="Arial"/>
          <w:color w:val="244061" w:themeColor="accent1" w:themeShade="80"/>
          <w:sz w:val="20"/>
          <w:szCs w:val="20"/>
        </w:rPr>
        <w:t>rban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og</w:t>
      </w:r>
      <w:r w:rsidRPr="00D84450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197E46">
        <w:rPr>
          <w:rFonts w:ascii="Arial" w:hAnsi="Arial" w:cs="Arial"/>
          <w:color w:val="244061" w:themeColor="accent1" w:themeShade="80"/>
          <w:sz w:val="20"/>
          <w:szCs w:val="20"/>
        </w:rPr>
        <w:t>područja grada</w:t>
      </w:r>
      <w:r w:rsidRPr="00A17C1F">
        <w:rPr>
          <w:rFonts w:ascii="Arial" w:hAnsi="Arial" w:cs="Arial"/>
          <w:color w:val="244061" w:themeColor="accent1" w:themeShade="80"/>
          <w:sz w:val="20"/>
          <w:szCs w:val="20"/>
        </w:rPr>
        <w:t xml:space="preserve"> Z</w:t>
      </w:r>
      <w:r w:rsidR="00A17C1F" w:rsidRPr="00A17C1F">
        <w:rPr>
          <w:rFonts w:ascii="Arial" w:hAnsi="Arial" w:cs="Arial"/>
          <w:color w:val="244061" w:themeColor="accent1" w:themeShade="80"/>
          <w:sz w:val="20"/>
          <w:szCs w:val="20"/>
        </w:rPr>
        <w:t>adar</w:t>
      </w:r>
      <w:r w:rsidRPr="00A17C1F">
        <w:rPr>
          <w:rFonts w:ascii="Arial" w:hAnsi="Arial" w:cs="Arial"/>
          <w:color w:val="244061" w:themeColor="accent1" w:themeShade="80"/>
          <w:sz w:val="20"/>
          <w:szCs w:val="20"/>
        </w:rPr>
        <w:t xml:space="preserve"> s</w:t>
      </w:r>
      <w:r w:rsidR="00136F59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A17C1F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A17C1F" w:rsidRPr="00A17C1F">
        <w:rPr>
          <w:rFonts w:ascii="Arial" w:hAnsi="Arial" w:cs="Arial"/>
          <w:color w:val="244061" w:themeColor="accent1" w:themeShade="80"/>
          <w:sz w:val="20"/>
          <w:szCs w:val="20"/>
        </w:rPr>
        <w:t>604 tisuće</w:t>
      </w:r>
      <w:r w:rsidRPr="00A17C1F">
        <w:rPr>
          <w:rFonts w:ascii="Arial" w:hAnsi="Arial" w:cs="Arial"/>
          <w:color w:val="244061" w:themeColor="accent1" w:themeShade="80"/>
          <w:sz w:val="20"/>
          <w:szCs w:val="20"/>
        </w:rPr>
        <w:t xml:space="preserve"> kuna, </w:t>
      </w:r>
      <w:r w:rsidR="00136F59">
        <w:rPr>
          <w:rFonts w:ascii="Arial" w:hAnsi="Arial" w:cs="Arial"/>
          <w:color w:val="244061" w:themeColor="accent1" w:themeShade="80"/>
          <w:sz w:val="20"/>
          <w:szCs w:val="20"/>
        </w:rPr>
        <w:t xml:space="preserve">a </w:t>
      </w:r>
      <w:r w:rsidRPr="00A17C1F">
        <w:rPr>
          <w:rFonts w:ascii="Arial" w:hAnsi="Arial" w:cs="Arial"/>
          <w:color w:val="244061" w:themeColor="accent1" w:themeShade="80"/>
          <w:sz w:val="20"/>
          <w:szCs w:val="20"/>
        </w:rPr>
        <w:t xml:space="preserve">slijede poduzetnici </w:t>
      </w:r>
      <w:r w:rsidR="00A17C1F" w:rsidRPr="00A17C1F">
        <w:rPr>
          <w:rFonts w:ascii="Arial" w:hAnsi="Arial" w:cs="Arial"/>
          <w:color w:val="244061" w:themeColor="accent1" w:themeShade="80"/>
          <w:sz w:val="20"/>
          <w:szCs w:val="20"/>
        </w:rPr>
        <w:t xml:space="preserve">Velikog urbanog područja grada Slavonski Brod </w:t>
      </w:r>
      <w:r w:rsidRPr="00A17C1F">
        <w:rPr>
          <w:rFonts w:ascii="Arial" w:hAnsi="Arial" w:cs="Arial"/>
          <w:color w:val="244061" w:themeColor="accent1" w:themeShade="80"/>
          <w:sz w:val="20"/>
          <w:szCs w:val="20"/>
        </w:rPr>
        <w:t>s</w:t>
      </w:r>
      <w:r w:rsidR="00136F59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A17C1F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A17C1F" w:rsidRPr="00A17C1F">
        <w:rPr>
          <w:rFonts w:ascii="Arial" w:hAnsi="Arial" w:cs="Arial"/>
          <w:color w:val="244061" w:themeColor="accent1" w:themeShade="80"/>
          <w:sz w:val="20"/>
          <w:szCs w:val="20"/>
        </w:rPr>
        <w:t>503 tisuće</w:t>
      </w:r>
      <w:r w:rsidRPr="00A17C1F">
        <w:rPr>
          <w:rFonts w:ascii="Arial" w:hAnsi="Arial" w:cs="Arial"/>
          <w:color w:val="244061" w:themeColor="accent1" w:themeShade="80"/>
          <w:sz w:val="20"/>
          <w:szCs w:val="20"/>
        </w:rPr>
        <w:t xml:space="preserve"> kuna te poduzetnici </w:t>
      </w:r>
      <w:r w:rsidR="00A17C1F" w:rsidRPr="00A17C1F">
        <w:rPr>
          <w:rFonts w:ascii="Arial" w:hAnsi="Arial" w:cs="Arial"/>
          <w:color w:val="244061" w:themeColor="accent1" w:themeShade="80"/>
          <w:sz w:val="20"/>
          <w:szCs w:val="20"/>
        </w:rPr>
        <w:t xml:space="preserve">Velikog urbanog područja grada Pula </w:t>
      </w:r>
      <w:r w:rsidRPr="00A17C1F">
        <w:rPr>
          <w:rFonts w:ascii="Arial" w:hAnsi="Arial" w:cs="Arial"/>
          <w:color w:val="244061" w:themeColor="accent1" w:themeShade="80"/>
          <w:sz w:val="20"/>
          <w:szCs w:val="20"/>
        </w:rPr>
        <w:t>s</w:t>
      </w:r>
      <w:r w:rsidR="00136F59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A17C1F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A17C1F" w:rsidRPr="00A17C1F">
        <w:rPr>
          <w:rFonts w:ascii="Arial" w:hAnsi="Arial" w:cs="Arial"/>
          <w:color w:val="244061" w:themeColor="accent1" w:themeShade="80"/>
          <w:sz w:val="20"/>
          <w:szCs w:val="20"/>
        </w:rPr>
        <w:t>477</w:t>
      </w:r>
      <w:r w:rsidRPr="00A17C1F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tisuća kuna po zaposlenom.</w:t>
      </w:r>
      <w:r w:rsidR="00136F59">
        <w:rPr>
          <w:rFonts w:ascii="Arial" w:hAnsi="Arial" w:cs="Arial"/>
          <w:color w:val="244061" w:themeColor="accent1" w:themeShade="80"/>
          <w:sz w:val="20"/>
          <w:szCs w:val="20"/>
        </w:rPr>
        <w:t xml:space="preserve"> Sve navedene vrijednosti ispod su </w:t>
      </w:r>
      <w:r w:rsidR="002D32EF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produktivnost poduzetnika na razini RH </w:t>
      </w:r>
      <w:r w:rsidR="00136F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koja je </w:t>
      </w:r>
      <w:r w:rsidR="002D32EF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2015. godini iznosila 763</w:t>
      </w:r>
      <w:r w:rsidR="002D32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tisuće</w:t>
      </w:r>
      <w:r w:rsidR="002D32EF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</w:t>
      </w:r>
      <w:r w:rsidR="002D32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A97A3B" w:rsidRDefault="00A97A3B" w:rsidP="00A97A3B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675ECE">
        <w:rPr>
          <w:rFonts w:ascii="Arial" w:hAnsi="Arial" w:cs="Arial"/>
          <w:color w:val="244061" w:themeColor="accent1" w:themeShade="80"/>
          <w:sz w:val="20"/>
          <w:szCs w:val="20"/>
        </w:rPr>
        <w:t xml:space="preserve">Prema pokazatelju ekonomičnosti redovnog poslovanja poduzetnici sa područja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Velikog u</w:t>
      </w:r>
      <w:r w:rsidRPr="00D84450">
        <w:rPr>
          <w:rFonts w:ascii="Arial" w:hAnsi="Arial" w:cs="Arial"/>
          <w:color w:val="244061" w:themeColor="accent1" w:themeShade="80"/>
          <w:sz w:val="20"/>
          <w:szCs w:val="20"/>
        </w:rPr>
        <w:t>rban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og</w:t>
      </w:r>
      <w:r w:rsidRPr="00D84450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197E46">
        <w:rPr>
          <w:rFonts w:ascii="Arial" w:hAnsi="Arial" w:cs="Arial"/>
          <w:color w:val="244061" w:themeColor="accent1" w:themeShade="80"/>
          <w:sz w:val="20"/>
          <w:szCs w:val="20"/>
        </w:rPr>
        <w:t>područja grada</w:t>
      </w:r>
      <w:r w:rsidRPr="00A17C1F">
        <w:rPr>
          <w:rFonts w:ascii="Arial" w:hAnsi="Arial" w:cs="Arial"/>
          <w:color w:val="244061" w:themeColor="accent1" w:themeShade="80"/>
          <w:sz w:val="20"/>
          <w:szCs w:val="20"/>
        </w:rPr>
        <w:t xml:space="preserve"> Zadar </w:t>
      </w:r>
      <w:r w:rsidRPr="00675ECE">
        <w:rPr>
          <w:rFonts w:ascii="Arial" w:hAnsi="Arial" w:cs="Arial"/>
          <w:color w:val="244061" w:themeColor="accent1" w:themeShade="80"/>
          <w:sz w:val="20"/>
          <w:szCs w:val="20"/>
        </w:rPr>
        <w:t xml:space="preserve">(101,7 %) i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Velikog u</w:t>
      </w:r>
      <w:r w:rsidRPr="00D84450">
        <w:rPr>
          <w:rFonts w:ascii="Arial" w:hAnsi="Arial" w:cs="Arial"/>
          <w:color w:val="244061" w:themeColor="accent1" w:themeShade="80"/>
          <w:sz w:val="20"/>
          <w:szCs w:val="20"/>
        </w:rPr>
        <w:t>rban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og</w:t>
      </w:r>
      <w:r w:rsidRPr="00D84450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197E46">
        <w:rPr>
          <w:rFonts w:ascii="Arial" w:hAnsi="Arial" w:cs="Arial"/>
          <w:color w:val="244061" w:themeColor="accent1" w:themeShade="80"/>
          <w:sz w:val="20"/>
          <w:szCs w:val="20"/>
        </w:rPr>
        <w:t>područja grada</w:t>
      </w:r>
      <w:r w:rsidRPr="00A17C1F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Slavonski Brod </w:t>
      </w:r>
      <w:r w:rsidRPr="00675ECE">
        <w:rPr>
          <w:rFonts w:ascii="Arial" w:hAnsi="Arial" w:cs="Arial"/>
          <w:color w:val="244061" w:themeColor="accent1" w:themeShade="80"/>
          <w:sz w:val="20"/>
          <w:szCs w:val="20"/>
        </w:rPr>
        <w:t xml:space="preserve">(101,3 %) iskazali su veće vrijednosti u odnosu na poduzetnike Velikog urbanog područja grada Pula (99,8 %).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Međutim, poduzetnici</w:t>
      </w:r>
      <w:r w:rsidRPr="00675ECE">
        <w:rPr>
          <w:rFonts w:ascii="Arial" w:hAnsi="Arial" w:cs="Arial"/>
          <w:color w:val="244061" w:themeColor="accent1" w:themeShade="80"/>
          <w:sz w:val="20"/>
          <w:szCs w:val="20"/>
        </w:rPr>
        <w:t xml:space="preserve"> sa područja obuhvaćenom velikim urbanim područjima gradova Pula, Slavonski Brod i Zadar iskazali su niže vrijednosti u odnosu na pokazatelj ekonomičnosti redovnog poslovanja poduzetnika u RH (103,7 %).</w:t>
      </w:r>
    </w:p>
    <w:p w:rsidR="00C05ED4" w:rsidRDefault="00C05ED4" w:rsidP="0005519F">
      <w:pPr>
        <w:widowControl w:val="0"/>
        <w:tabs>
          <w:tab w:val="left" w:pos="567"/>
          <w:tab w:val="left" w:pos="1134"/>
        </w:tabs>
        <w:spacing w:before="180" w:after="0" w:line="240" w:lineRule="auto"/>
        <w:jc w:val="both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Grafikon 1.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  <w:t xml:space="preserve">Pokazatelji ekonomičnosti redovnog poslovanja u 2015. godini na razini </w:t>
      </w:r>
      <w:r w:rsidR="00136F5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3 v</w:t>
      </w:r>
      <w:r w:rsidR="008D610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elik</w:t>
      </w:r>
      <w:r w:rsidR="00136F5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a</w:t>
      </w:r>
      <w:r w:rsidR="008D610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rban</w:t>
      </w:r>
      <w:r w:rsidR="00136F5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a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197E4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područja</w:t>
      </w:r>
    </w:p>
    <w:p w:rsidR="00C05ED4" w:rsidRDefault="002E636C" w:rsidP="006D51E8">
      <w:pPr>
        <w:tabs>
          <w:tab w:val="left" w:pos="1134"/>
          <w:tab w:val="left" w:pos="7655"/>
          <w:tab w:val="left" w:pos="8222"/>
        </w:tabs>
        <w:spacing w:before="20" w:after="0" w:line="240" w:lineRule="auto"/>
        <w:jc w:val="right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ab/>
      </w:r>
      <w:r w:rsidRPr="002E636C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(u % na jednu decimalu</w:t>
      </w:r>
      <w:r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)</w:t>
      </w:r>
    </w:p>
    <w:p w:rsidR="00C05ED4" w:rsidRPr="00BD6750" w:rsidRDefault="00480169" w:rsidP="00A97A3B">
      <w:pPr>
        <w:tabs>
          <w:tab w:val="left" w:pos="567"/>
        </w:tabs>
        <w:spacing w:before="40" w:after="0" w:line="240" w:lineRule="auto"/>
        <w:jc w:val="center"/>
        <w:rPr>
          <w:rFonts w:ascii="Arial" w:hAnsi="Arial" w:cs="Arial"/>
          <w:color w:val="244061" w:themeColor="accent1" w:themeShade="80"/>
          <w:sz w:val="18"/>
          <w:szCs w:val="18"/>
        </w:rPr>
      </w:pPr>
      <w:r>
        <w:rPr>
          <w:noProof/>
          <w:lang w:eastAsia="hr-HR"/>
        </w:rPr>
        <w:drawing>
          <wp:inline distT="0" distB="0" distL="0" distR="0" wp14:anchorId="69CA4BDB" wp14:editId="448D7773">
            <wp:extent cx="5972810" cy="2448000"/>
            <wp:effectExtent l="57150" t="0" r="66040" b="104775"/>
            <wp:docPr id="2" name="Grafikon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05ED4" w:rsidRPr="004946AC" w:rsidRDefault="00C05ED4" w:rsidP="00BD6750">
      <w:pPr>
        <w:spacing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2015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05519F" w:rsidRPr="0056033C" w:rsidRDefault="0005519F" w:rsidP="00A97A3B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Financijski pokazatelji profitabilnosti poduzetnika s područja </w:t>
      </w:r>
      <w:r w:rsidRPr="00675ECE">
        <w:rPr>
          <w:rFonts w:ascii="Arial" w:hAnsi="Arial" w:cs="Arial"/>
          <w:color w:val="244061" w:themeColor="accent1" w:themeShade="80"/>
          <w:sz w:val="20"/>
          <w:szCs w:val="20"/>
        </w:rPr>
        <w:t xml:space="preserve">obuhvaćenom velikim urbanim područjima gradova Pula, Slavonski Brod i Zadar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u 2015. godini </w:t>
      </w:r>
      <w:r w:rsidRPr="0056033C">
        <w:rPr>
          <w:rFonts w:ascii="Arial" w:hAnsi="Arial" w:cs="Arial"/>
          <w:color w:val="244061" w:themeColor="accent1" w:themeShade="80"/>
          <w:sz w:val="20"/>
          <w:szCs w:val="20"/>
        </w:rPr>
        <w:t>(rentabilnosti prometa neto, rentabilnosti ukupne imovine neto te rentabilnosti vlastitog kapitala) niži su odnosu na financijske pokazatelje poduzetnika u RH.</w:t>
      </w:r>
    </w:p>
    <w:p w:rsidR="00173321" w:rsidRDefault="007D3434" w:rsidP="0005519F">
      <w:pPr>
        <w:pageBreakBefore/>
        <w:widowControl w:val="0"/>
        <w:tabs>
          <w:tab w:val="left" w:pos="1134"/>
          <w:tab w:val="left" w:pos="7655"/>
          <w:tab w:val="left" w:pos="8222"/>
        </w:tabs>
        <w:spacing w:after="40" w:line="240" w:lineRule="auto"/>
        <w:ind w:left="1134" w:hanging="1134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lastRenderedPageBreak/>
        <w:t>Tablica</w:t>
      </w:r>
      <w:r w:rsidR="00173321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3</w:t>
      </w:r>
      <w:r w:rsidR="00173321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173321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Pokazatelji </w:t>
      </w:r>
      <w:r w:rsidR="00FB386D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uspješnosti 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poslovanja</w:t>
      </w:r>
      <w:r w:rsidR="00173321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201</w:t>
      </w:r>
      <w:r w:rsidR="00E339DF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5</w:t>
      </w:r>
      <w:r w:rsidR="00173321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godini na razini </w:t>
      </w:r>
      <w:r w:rsidR="000E38A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v</w:t>
      </w:r>
      <w:r w:rsidR="008D610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elikih u</w:t>
      </w:r>
      <w:r w:rsidR="00141F6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rbanih područja</w:t>
      </w:r>
      <w:r w:rsidR="000E38A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– Pule, Slavonskog Broda i Zadra</w:t>
      </w:r>
      <w:r w:rsidR="008D610A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8D610A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173321" w:rsidRPr="00C343B3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(</w:t>
      </w:r>
      <w:r w:rsidR="00A26BB1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u % na dvije decimale</w:t>
      </w:r>
      <w:r w:rsidR="00173321" w:rsidRPr="00C343B3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)</w:t>
      </w:r>
    </w:p>
    <w:tbl>
      <w:tblPr>
        <w:tblW w:w="9948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907"/>
        <w:gridCol w:w="992"/>
        <w:gridCol w:w="992"/>
        <w:gridCol w:w="820"/>
        <w:gridCol w:w="964"/>
        <w:gridCol w:w="964"/>
        <w:gridCol w:w="964"/>
        <w:gridCol w:w="1049"/>
        <w:gridCol w:w="1049"/>
      </w:tblGrid>
      <w:tr w:rsidR="007D0A08" w:rsidRPr="0016170D" w:rsidTr="00D11088">
        <w:trPr>
          <w:cantSplit/>
          <w:trHeight w:val="454"/>
          <w:jc w:val="center"/>
        </w:trPr>
        <w:tc>
          <w:tcPr>
            <w:tcW w:w="2154" w:type="dxa"/>
            <w:gridSpan w:val="2"/>
            <w:shd w:val="clear" w:color="auto" w:fill="315683"/>
            <w:noWrap/>
            <w:vAlign w:val="center"/>
          </w:tcPr>
          <w:p w:rsidR="007D0A08" w:rsidRPr="007D3434" w:rsidRDefault="007D0A08" w:rsidP="00E44A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Pokazatelji uspješnosti poslovanja</w:t>
            </w:r>
          </w:p>
        </w:tc>
        <w:tc>
          <w:tcPr>
            <w:tcW w:w="1984" w:type="dxa"/>
            <w:gridSpan w:val="2"/>
            <w:shd w:val="clear" w:color="auto" w:fill="315683"/>
            <w:noWrap/>
            <w:vAlign w:val="center"/>
          </w:tcPr>
          <w:p w:rsidR="007D0A08" w:rsidRPr="007D3434" w:rsidRDefault="007D0A08" w:rsidP="00E44A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Ekonomičnost </w:t>
            </w:r>
            <w:r w:rsidR="00F1505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redovnog</w:t>
            </w: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poslovanja, </w:t>
            </w:r>
          </w:p>
        </w:tc>
        <w:tc>
          <w:tcPr>
            <w:tcW w:w="1784" w:type="dxa"/>
            <w:gridSpan w:val="2"/>
            <w:shd w:val="clear" w:color="auto" w:fill="315683"/>
            <w:noWrap/>
            <w:vAlign w:val="center"/>
          </w:tcPr>
          <w:p w:rsidR="007D0A08" w:rsidRPr="007D3434" w:rsidRDefault="00FA0477" w:rsidP="00E44A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Rentabilnost prometa neto</w:t>
            </w:r>
            <w:r w:rsidR="007D0A08"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1928" w:type="dxa"/>
            <w:gridSpan w:val="2"/>
            <w:shd w:val="clear" w:color="auto" w:fill="315683"/>
            <w:noWrap/>
            <w:vAlign w:val="center"/>
          </w:tcPr>
          <w:p w:rsidR="007D0A08" w:rsidRPr="00A26BB1" w:rsidRDefault="007D0A08" w:rsidP="00E44AA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Rentabilnost ukupne imovine neto</w:t>
            </w: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2098" w:type="dxa"/>
            <w:gridSpan w:val="2"/>
            <w:shd w:val="clear" w:color="auto" w:fill="315683"/>
            <w:noWrap/>
            <w:vAlign w:val="center"/>
          </w:tcPr>
          <w:p w:rsidR="007D0A08" w:rsidRPr="00A26BB1" w:rsidRDefault="007D0A08" w:rsidP="00E44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7D343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Rentabilnost vlastitog kapitala</w:t>
            </w:r>
            <w:r w:rsidRPr="007D3434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 xml:space="preserve"> </w:t>
            </w:r>
          </w:p>
        </w:tc>
      </w:tr>
      <w:tr w:rsidR="007D0A08" w:rsidRPr="0016170D" w:rsidTr="00301031">
        <w:trPr>
          <w:cantSplit/>
          <w:trHeight w:val="567"/>
          <w:jc w:val="center"/>
        </w:trPr>
        <w:tc>
          <w:tcPr>
            <w:tcW w:w="1247" w:type="dxa"/>
            <w:vMerge w:val="restart"/>
            <w:tcBorders>
              <w:bottom w:val="single" w:sz="4" w:space="0" w:color="BFBFBF" w:themeColor="background1" w:themeShade="BF"/>
            </w:tcBorders>
            <w:shd w:val="clear" w:color="auto" w:fill="315683"/>
            <w:noWrap/>
            <w:vAlign w:val="center"/>
          </w:tcPr>
          <w:p w:rsidR="007D0A08" w:rsidRPr="007D3434" w:rsidRDefault="002A5444" w:rsidP="00E44A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Veliko u</w:t>
            </w:r>
            <w:r w:rsid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rban</w:t>
            </w:r>
            <w:r w:rsidR="00197E4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</w:t>
            </w:r>
            <w:r w:rsid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</w:t>
            </w:r>
            <w:r w:rsidR="00197E4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područje</w:t>
            </w:r>
          </w:p>
        </w:tc>
        <w:tc>
          <w:tcPr>
            <w:tcW w:w="907" w:type="dxa"/>
            <w:vMerge w:val="restart"/>
            <w:tcBorders>
              <w:bottom w:val="single" w:sz="4" w:space="0" w:color="BFBFBF" w:themeColor="background1" w:themeShade="BF"/>
            </w:tcBorders>
            <w:shd w:val="clear" w:color="auto" w:fill="315683"/>
            <w:vAlign w:val="center"/>
          </w:tcPr>
          <w:p w:rsidR="007D0A08" w:rsidRPr="007D3434" w:rsidRDefault="007D0A08" w:rsidP="00E44A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343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pod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uz</w:t>
            </w:r>
            <w:r w:rsidR="000E38A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et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984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315683"/>
            <w:noWrap/>
            <w:vAlign w:val="center"/>
          </w:tcPr>
          <w:p w:rsidR="007D0A08" w:rsidRPr="00FD1E2A" w:rsidRDefault="00301031" w:rsidP="0030103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(ukupni prihodi/</w:t>
            </w:r>
            <w:r w:rsidR="007D0A08"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ukupni rashodi)*100) </w:t>
            </w:r>
          </w:p>
        </w:tc>
        <w:tc>
          <w:tcPr>
            <w:tcW w:w="1784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315683"/>
            <w:noWrap/>
            <w:vAlign w:val="center"/>
          </w:tcPr>
          <w:p w:rsidR="007D0A08" w:rsidRPr="00FD1E2A" w:rsidRDefault="007D0A08" w:rsidP="0030103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(dobit ili gubitak razdoblja/ukupni prihod)*100) </w:t>
            </w:r>
          </w:p>
        </w:tc>
        <w:tc>
          <w:tcPr>
            <w:tcW w:w="192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315683"/>
            <w:noWrap/>
            <w:vAlign w:val="center"/>
          </w:tcPr>
          <w:p w:rsidR="007D0A08" w:rsidRPr="00FD1E2A" w:rsidRDefault="007D0A08" w:rsidP="0030103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((dobit ili gubitak razdoblja/ukupna aktiva)*100) </w:t>
            </w:r>
          </w:p>
        </w:tc>
        <w:tc>
          <w:tcPr>
            <w:tcW w:w="209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315683"/>
            <w:noWrap/>
            <w:vAlign w:val="center"/>
          </w:tcPr>
          <w:p w:rsidR="007D0A08" w:rsidRPr="007D0A08" w:rsidRDefault="007D0A08" w:rsidP="00E44AA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((dobit ili gubitak razdoblja / (kapital i rezerve + rezerviranja)) *100) </w:t>
            </w:r>
          </w:p>
        </w:tc>
      </w:tr>
      <w:tr w:rsidR="005A1502" w:rsidRPr="0016170D" w:rsidTr="00D11088">
        <w:trPr>
          <w:cantSplit/>
          <w:trHeight w:val="255"/>
          <w:jc w:val="center"/>
        </w:trPr>
        <w:tc>
          <w:tcPr>
            <w:tcW w:w="1247" w:type="dxa"/>
            <w:vMerge/>
            <w:tcBorders>
              <w:bottom w:val="single" w:sz="2" w:space="0" w:color="FFFFFF" w:themeColor="background1"/>
            </w:tcBorders>
            <w:shd w:val="clear" w:color="auto" w:fill="365F91" w:themeFill="accent1" w:themeFillShade="BF"/>
            <w:noWrap/>
            <w:vAlign w:val="center"/>
            <w:hideMark/>
          </w:tcPr>
          <w:p w:rsidR="007D0A08" w:rsidRPr="007D3434" w:rsidRDefault="007D0A08" w:rsidP="00E44A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907" w:type="dxa"/>
            <w:vMerge/>
            <w:tcBorders>
              <w:bottom w:val="single" w:sz="2" w:space="0" w:color="FFFFFF" w:themeColor="background1"/>
            </w:tcBorders>
            <w:shd w:val="clear" w:color="auto" w:fill="365F91" w:themeFill="accent1" w:themeFillShade="BF"/>
            <w:noWrap/>
            <w:vAlign w:val="center"/>
            <w:hideMark/>
          </w:tcPr>
          <w:p w:rsidR="007D0A08" w:rsidRPr="007D3434" w:rsidRDefault="007D0A08" w:rsidP="00E44A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992" w:type="dxa"/>
            <w:tcBorders>
              <w:bottom w:val="single" w:sz="2" w:space="0" w:color="FFFFFF" w:themeColor="background1"/>
            </w:tcBorders>
            <w:shd w:val="clear" w:color="auto" w:fill="315683"/>
            <w:noWrap/>
            <w:vAlign w:val="center"/>
          </w:tcPr>
          <w:p w:rsidR="007D0A08" w:rsidRPr="007D0A08" w:rsidRDefault="007D0A08" w:rsidP="00E44A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E339D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92" w:type="dxa"/>
            <w:tcBorders>
              <w:bottom w:val="single" w:sz="2" w:space="0" w:color="FFFFFF" w:themeColor="background1"/>
            </w:tcBorders>
            <w:shd w:val="clear" w:color="auto" w:fill="315683"/>
            <w:vAlign w:val="center"/>
          </w:tcPr>
          <w:p w:rsidR="007D0A08" w:rsidRPr="007D0A08" w:rsidRDefault="007D0A08" w:rsidP="00E44A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E339D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820" w:type="dxa"/>
            <w:tcBorders>
              <w:bottom w:val="single" w:sz="2" w:space="0" w:color="FFFFFF" w:themeColor="background1"/>
            </w:tcBorders>
            <w:shd w:val="clear" w:color="auto" w:fill="315683"/>
            <w:noWrap/>
            <w:vAlign w:val="center"/>
          </w:tcPr>
          <w:p w:rsidR="007D0A08" w:rsidRPr="007D0A08" w:rsidRDefault="007D0A08" w:rsidP="00E44A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E339D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64" w:type="dxa"/>
            <w:tcBorders>
              <w:bottom w:val="single" w:sz="2" w:space="0" w:color="FFFFFF" w:themeColor="background1"/>
            </w:tcBorders>
            <w:shd w:val="clear" w:color="auto" w:fill="315683"/>
            <w:vAlign w:val="center"/>
          </w:tcPr>
          <w:p w:rsidR="007D0A08" w:rsidRPr="007D0A08" w:rsidRDefault="007D0A08" w:rsidP="00E44A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E339D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64" w:type="dxa"/>
            <w:tcBorders>
              <w:bottom w:val="single" w:sz="2" w:space="0" w:color="FFFFFF" w:themeColor="background1"/>
            </w:tcBorders>
            <w:shd w:val="clear" w:color="auto" w:fill="315683"/>
            <w:noWrap/>
            <w:vAlign w:val="center"/>
          </w:tcPr>
          <w:p w:rsidR="007D0A08" w:rsidRPr="007D0A08" w:rsidRDefault="007D0A08" w:rsidP="00E44A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E339D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64" w:type="dxa"/>
            <w:tcBorders>
              <w:bottom w:val="single" w:sz="2" w:space="0" w:color="FFFFFF" w:themeColor="background1"/>
            </w:tcBorders>
            <w:shd w:val="clear" w:color="auto" w:fill="315683"/>
            <w:vAlign w:val="center"/>
          </w:tcPr>
          <w:p w:rsidR="007D0A08" w:rsidRPr="007D0A08" w:rsidRDefault="007D0A08" w:rsidP="00E44A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E339D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049" w:type="dxa"/>
            <w:tcBorders>
              <w:bottom w:val="single" w:sz="2" w:space="0" w:color="FFFFFF" w:themeColor="background1"/>
            </w:tcBorders>
            <w:shd w:val="clear" w:color="auto" w:fill="315683"/>
            <w:noWrap/>
            <w:vAlign w:val="center"/>
          </w:tcPr>
          <w:p w:rsidR="007D0A08" w:rsidRPr="007D0A08" w:rsidRDefault="007D0A08" w:rsidP="00E44A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E339D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049" w:type="dxa"/>
            <w:tcBorders>
              <w:bottom w:val="single" w:sz="2" w:space="0" w:color="FFFFFF" w:themeColor="background1"/>
            </w:tcBorders>
            <w:shd w:val="clear" w:color="auto" w:fill="315683"/>
            <w:vAlign w:val="center"/>
          </w:tcPr>
          <w:p w:rsidR="007D0A08" w:rsidRPr="007D0A08" w:rsidRDefault="007D0A08" w:rsidP="00E44A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E339D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</w:tr>
      <w:tr w:rsidR="00167E12" w:rsidRPr="0016170D" w:rsidTr="0016170D">
        <w:trPr>
          <w:cantSplit/>
          <w:trHeight w:val="283"/>
          <w:jc w:val="center"/>
        </w:trPr>
        <w:tc>
          <w:tcPr>
            <w:tcW w:w="12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C6D9F1" w:themeFill="text2" w:themeFillTint="33"/>
            <w:noWrap/>
            <w:vAlign w:val="center"/>
          </w:tcPr>
          <w:p w:rsidR="00167E12" w:rsidRPr="000E38A6" w:rsidRDefault="00167E12" w:rsidP="00E44AAE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E38A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Pula</w:t>
            </w:r>
          </w:p>
        </w:tc>
        <w:tc>
          <w:tcPr>
            <w:tcW w:w="9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C6D9F1" w:themeFill="text2" w:themeFillTint="33"/>
            <w:noWrap/>
            <w:vAlign w:val="center"/>
          </w:tcPr>
          <w:p w:rsidR="00167E12" w:rsidRPr="000E38A6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E38A6">
              <w:rPr>
                <w:rFonts w:ascii="Arial" w:hAnsi="Arial" w:cs="Arial"/>
                <w:color w:val="16365C"/>
                <w:sz w:val="18"/>
                <w:szCs w:val="18"/>
              </w:rPr>
              <w:t>3.468</w:t>
            </w: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C6D9F1" w:themeFill="text2" w:themeFillTint="33"/>
            <w:noWrap/>
            <w:vAlign w:val="center"/>
          </w:tcPr>
          <w:p w:rsidR="00167E12" w:rsidRPr="000E38A6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E38A6">
              <w:rPr>
                <w:rFonts w:ascii="Arial" w:hAnsi="Arial" w:cs="Arial"/>
                <w:color w:val="16365C"/>
                <w:sz w:val="18"/>
                <w:szCs w:val="18"/>
              </w:rPr>
              <w:t>101,27</w:t>
            </w: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C6D9F1" w:themeFill="text2" w:themeFillTint="33"/>
            <w:noWrap/>
            <w:vAlign w:val="center"/>
          </w:tcPr>
          <w:p w:rsidR="00167E12" w:rsidRPr="000E38A6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E38A6">
              <w:rPr>
                <w:rFonts w:ascii="Arial" w:hAnsi="Arial" w:cs="Arial"/>
                <w:color w:val="16365C"/>
                <w:sz w:val="18"/>
                <w:szCs w:val="18"/>
              </w:rPr>
              <w:t>102,31</w:t>
            </w:r>
          </w:p>
        </w:tc>
        <w:tc>
          <w:tcPr>
            <w:tcW w:w="8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C6D9F1" w:themeFill="text2" w:themeFillTint="33"/>
            <w:noWrap/>
            <w:vAlign w:val="center"/>
          </w:tcPr>
          <w:p w:rsidR="00167E12" w:rsidRPr="000E38A6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E38A6">
              <w:rPr>
                <w:rFonts w:ascii="Arial" w:hAnsi="Arial" w:cs="Arial"/>
                <w:color w:val="16365C"/>
                <w:sz w:val="18"/>
                <w:szCs w:val="18"/>
              </w:rPr>
              <w:t>0,01</w:t>
            </w:r>
          </w:p>
        </w:tc>
        <w:tc>
          <w:tcPr>
            <w:tcW w:w="96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C6D9F1" w:themeFill="text2" w:themeFillTint="33"/>
            <w:noWrap/>
            <w:vAlign w:val="center"/>
          </w:tcPr>
          <w:p w:rsidR="00167E12" w:rsidRPr="000E38A6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E38A6">
              <w:rPr>
                <w:rFonts w:ascii="Arial" w:hAnsi="Arial" w:cs="Arial"/>
                <w:color w:val="FF0000"/>
                <w:sz w:val="18"/>
                <w:szCs w:val="18"/>
              </w:rPr>
              <w:t>-1,34</w:t>
            </w:r>
          </w:p>
        </w:tc>
        <w:tc>
          <w:tcPr>
            <w:tcW w:w="96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C6D9F1" w:themeFill="text2" w:themeFillTint="33"/>
            <w:noWrap/>
            <w:vAlign w:val="center"/>
          </w:tcPr>
          <w:p w:rsidR="00167E12" w:rsidRPr="000E38A6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E38A6">
              <w:rPr>
                <w:rFonts w:ascii="Arial" w:hAnsi="Arial" w:cs="Arial"/>
                <w:color w:val="16365C"/>
                <w:sz w:val="18"/>
                <w:szCs w:val="18"/>
              </w:rPr>
              <w:t>0,01</w:t>
            </w:r>
          </w:p>
        </w:tc>
        <w:tc>
          <w:tcPr>
            <w:tcW w:w="96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C6D9F1" w:themeFill="text2" w:themeFillTint="33"/>
            <w:noWrap/>
            <w:vAlign w:val="center"/>
          </w:tcPr>
          <w:p w:rsidR="00167E12" w:rsidRPr="000E38A6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E38A6">
              <w:rPr>
                <w:rFonts w:ascii="Arial" w:hAnsi="Arial" w:cs="Arial"/>
                <w:color w:val="FF0000"/>
                <w:sz w:val="18"/>
                <w:szCs w:val="18"/>
              </w:rPr>
              <w:t>-0,60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C6D9F1" w:themeFill="text2" w:themeFillTint="33"/>
            <w:noWrap/>
            <w:vAlign w:val="center"/>
          </w:tcPr>
          <w:p w:rsidR="00167E12" w:rsidRPr="000E38A6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E38A6">
              <w:rPr>
                <w:rFonts w:ascii="Arial" w:hAnsi="Arial" w:cs="Arial"/>
                <w:color w:val="16365C"/>
                <w:sz w:val="18"/>
                <w:szCs w:val="18"/>
              </w:rPr>
              <w:t>0,02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C6D9F1" w:themeFill="text2" w:themeFillTint="33"/>
            <w:noWrap/>
            <w:vAlign w:val="center"/>
          </w:tcPr>
          <w:p w:rsidR="00167E12" w:rsidRPr="000E38A6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E38A6">
              <w:rPr>
                <w:rFonts w:ascii="Arial" w:hAnsi="Arial" w:cs="Arial"/>
                <w:color w:val="FF0000"/>
                <w:sz w:val="18"/>
                <w:szCs w:val="18"/>
              </w:rPr>
              <w:t>-2,57</w:t>
            </w:r>
          </w:p>
        </w:tc>
      </w:tr>
      <w:tr w:rsidR="00167E12" w:rsidRPr="0016170D" w:rsidTr="0016170D">
        <w:trPr>
          <w:cantSplit/>
          <w:trHeight w:val="283"/>
          <w:jc w:val="center"/>
        </w:trPr>
        <w:tc>
          <w:tcPr>
            <w:tcW w:w="12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167E12" w:rsidRPr="000E38A6" w:rsidRDefault="00167E12" w:rsidP="000E38A6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E38A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Slavonski B</w:t>
            </w:r>
            <w:r w:rsidR="000E38A6" w:rsidRPr="000E38A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9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167E12" w:rsidRPr="000E38A6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E38A6">
              <w:rPr>
                <w:rFonts w:ascii="Arial" w:hAnsi="Arial" w:cs="Arial"/>
                <w:color w:val="16365C"/>
                <w:sz w:val="18"/>
                <w:szCs w:val="18"/>
              </w:rPr>
              <w:t>1.151</w:t>
            </w: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167E12" w:rsidRPr="000E38A6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E38A6">
              <w:rPr>
                <w:rFonts w:ascii="Arial" w:hAnsi="Arial" w:cs="Arial"/>
                <w:color w:val="16365C"/>
                <w:sz w:val="18"/>
                <w:szCs w:val="18"/>
              </w:rPr>
              <w:t>100,81</w:t>
            </w: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167E12" w:rsidRPr="000E38A6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E38A6">
              <w:rPr>
                <w:rFonts w:ascii="Arial" w:hAnsi="Arial" w:cs="Arial"/>
                <w:color w:val="16365C"/>
                <w:sz w:val="18"/>
                <w:szCs w:val="18"/>
              </w:rPr>
              <w:t>102,66</w:t>
            </w:r>
          </w:p>
        </w:tc>
        <w:tc>
          <w:tcPr>
            <w:tcW w:w="8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167E12" w:rsidRPr="000E38A6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E38A6">
              <w:rPr>
                <w:rFonts w:ascii="Arial" w:hAnsi="Arial" w:cs="Arial"/>
                <w:color w:val="FF0000"/>
                <w:sz w:val="18"/>
                <w:szCs w:val="18"/>
              </w:rPr>
              <w:t>-1,23</w:t>
            </w:r>
          </w:p>
        </w:tc>
        <w:tc>
          <w:tcPr>
            <w:tcW w:w="96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167E12" w:rsidRPr="000E38A6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E38A6">
              <w:rPr>
                <w:rFonts w:ascii="Arial" w:hAnsi="Arial" w:cs="Arial"/>
                <w:color w:val="16365C"/>
                <w:sz w:val="18"/>
                <w:szCs w:val="18"/>
              </w:rPr>
              <w:t>0,64</w:t>
            </w:r>
          </w:p>
        </w:tc>
        <w:tc>
          <w:tcPr>
            <w:tcW w:w="96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167E12" w:rsidRPr="000E38A6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E38A6">
              <w:rPr>
                <w:rFonts w:ascii="Arial" w:hAnsi="Arial" w:cs="Arial"/>
                <w:color w:val="FF0000"/>
                <w:sz w:val="18"/>
                <w:szCs w:val="18"/>
              </w:rPr>
              <w:t>-1,03</w:t>
            </w:r>
          </w:p>
        </w:tc>
        <w:tc>
          <w:tcPr>
            <w:tcW w:w="96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167E12" w:rsidRPr="000E38A6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E38A6">
              <w:rPr>
                <w:rFonts w:ascii="Arial" w:hAnsi="Arial" w:cs="Arial"/>
                <w:color w:val="16365C"/>
                <w:sz w:val="18"/>
                <w:szCs w:val="18"/>
              </w:rPr>
              <w:t>0,58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167E12" w:rsidRPr="000E38A6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E38A6">
              <w:rPr>
                <w:rFonts w:ascii="Arial" w:hAnsi="Arial" w:cs="Arial"/>
                <w:color w:val="FF0000"/>
                <w:sz w:val="18"/>
                <w:szCs w:val="18"/>
              </w:rPr>
              <w:t>-5,84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167E12" w:rsidRPr="000E38A6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E38A6">
              <w:rPr>
                <w:rFonts w:ascii="Arial" w:hAnsi="Arial" w:cs="Arial"/>
                <w:color w:val="16365C"/>
                <w:sz w:val="18"/>
                <w:szCs w:val="18"/>
              </w:rPr>
              <w:t>3,53</w:t>
            </w:r>
          </w:p>
        </w:tc>
      </w:tr>
      <w:tr w:rsidR="0016170D" w:rsidRPr="0016170D" w:rsidTr="0016170D">
        <w:trPr>
          <w:cantSplit/>
          <w:trHeight w:val="283"/>
          <w:jc w:val="center"/>
        </w:trPr>
        <w:tc>
          <w:tcPr>
            <w:tcW w:w="12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C6D9F1" w:themeFill="text2" w:themeFillTint="33"/>
            <w:noWrap/>
            <w:vAlign w:val="center"/>
          </w:tcPr>
          <w:p w:rsidR="00167E12" w:rsidRPr="000E38A6" w:rsidRDefault="00167E12" w:rsidP="00E44AAE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E38A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Zadar</w:t>
            </w:r>
          </w:p>
        </w:tc>
        <w:tc>
          <w:tcPr>
            <w:tcW w:w="9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C6D9F1" w:themeFill="text2" w:themeFillTint="33"/>
            <w:noWrap/>
            <w:vAlign w:val="center"/>
          </w:tcPr>
          <w:p w:rsidR="00167E12" w:rsidRPr="000E38A6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E38A6">
              <w:rPr>
                <w:rFonts w:ascii="Arial" w:hAnsi="Arial" w:cs="Arial"/>
                <w:color w:val="16365C"/>
                <w:sz w:val="18"/>
                <w:szCs w:val="18"/>
              </w:rPr>
              <w:t>2.687</w:t>
            </w: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C6D9F1" w:themeFill="text2" w:themeFillTint="33"/>
            <w:noWrap/>
            <w:vAlign w:val="center"/>
          </w:tcPr>
          <w:p w:rsidR="00167E12" w:rsidRPr="000E38A6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E38A6">
              <w:rPr>
                <w:rFonts w:ascii="Arial" w:hAnsi="Arial" w:cs="Arial"/>
                <w:color w:val="16365C"/>
                <w:sz w:val="18"/>
                <w:szCs w:val="18"/>
              </w:rPr>
              <w:t>103,42</w:t>
            </w: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C6D9F1" w:themeFill="text2" w:themeFillTint="33"/>
            <w:noWrap/>
            <w:vAlign w:val="center"/>
          </w:tcPr>
          <w:p w:rsidR="00167E12" w:rsidRPr="000E38A6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E38A6">
              <w:rPr>
                <w:rFonts w:ascii="Arial" w:hAnsi="Arial" w:cs="Arial"/>
                <w:color w:val="16365C"/>
                <w:sz w:val="18"/>
                <w:szCs w:val="18"/>
              </w:rPr>
              <w:t>105,15</w:t>
            </w:r>
          </w:p>
        </w:tc>
        <w:tc>
          <w:tcPr>
            <w:tcW w:w="8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C6D9F1" w:themeFill="text2" w:themeFillTint="33"/>
            <w:noWrap/>
            <w:vAlign w:val="center"/>
          </w:tcPr>
          <w:p w:rsidR="00167E12" w:rsidRPr="000E38A6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E38A6">
              <w:rPr>
                <w:rFonts w:ascii="Arial" w:hAnsi="Arial" w:cs="Arial"/>
                <w:color w:val="FF0000"/>
                <w:sz w:val="18"/>
                <w:szCs w:val="18"/>
              </w:rPr>
              <w:t>-2,78</w:t>
            </w:r>
          </w:p>
        </w:tc>
        <w:tc>
          <w:tcPr>
            <w:tcW w:w="96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C6D9F1" w:themeFill="text2" w:themeFillTint="33"/>
            <w:noWrap/>
            <w:vAlign w:val="center"/>
          </w:tcPr>
          <w:p w:rsidR="00167E12" w:rsidRPr="000E38A6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E38A6">
              <w:rPr>
                <w:rFonts w:ascii="Arial" w:hAnsi="Arial" w:cs="Arial"/>
                <w:color w:val="16365C"/>
                <w:sz w:val="18"/>
                <w:szCs w:val="18"/>
              </w:rPr>
              <w:t>1,01</w:t>
            </w:r>
          </w:p>
        </w:tc>
        <w:tc>
          <w:tcPr>
            <w:tcW w:w="96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C6D9F1" w:themeFill="text2" w:themeFillTint="33"/>
            <w:noWrap/>
            <w:vAlign w:val="center"/>
          </w:tcPr>
          <w:p w:rsidR="00167E12" w:rsidRPr="000E38A6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E38A6">
              <w:rPr>
                <w:rFonts w:ascii="Arial" w:hAnsi="Arial" w:cs="Arial"/>
                <w:color w:val="FF0000"/>
                <w:sz w:val="18"/>
                <w:szCs w:val="18"/>
              </w:rPr>
              <w:t>-1,26</w:t>
            </w:r>
          </w:p>
        </w:tc>
        <w:tc>
          <w:tcPr>
            <w:tcW w:w="96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C6D9F1" w:themeFill="text2" w:themeFillTint="33"/>
            <w:noWrap/>
            <w:vAlign w:val="center"/>
          </w:tcPr>
          <w:p w:rsidR="00167E12" w:rsidRPr="000E38A6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E38A6">
              <w:rPr>
                <w:rFonts w:ascii="Arial" w:hAnsi="Arial" w:cs="Arial"/>
                <w:color w:val="16365C"/>
                <w:sz w:val="18"/>
                <w:szCs w:val="18"/>
              </w:rPr>
              <w:t>0,49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C6D9F1" w:themeFill="text2" w:themeFillTint="33"/>
            <w:noWrap/>
            <w:vAlign w:val="center"/>
          </w:tcPr>
          <w:p w:rsidR="00167E12" w:rsidRPr="000E38A6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E38A6">
              <w:rPr>
                <w:rFonts w:ascii="Arial" w:hAnsi="Arial" w:cs="Arial"/>
                <w:color w:val="FF0000"/>
                <w:sz w:val="18"/>
                <w:szCs w:val="18"/>
              </w:rPr>
              <w:t>-6,21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C6D9F1" w:themeFill="text2" w:themeFillTint="33"/>
            <w:noWrap/>
            <w:vAlign w:val="center"/>
          </w:tcPr>
          <w:p w:rsidR="00167E12" w:rsidRPr="000E38A6" w:rsidRDefault="00167E12" w:rsidP="00E44AAE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E38A6">
              <w:rPr>
                <w:rFonts w:ascii="Arial" w:hAnsi="Arial" w:cs="Arial"/>
                <w:color w:val="16365C"/>
                <w:sz w:val="18"/>
                <w:szCs w:val="18"/>
              </w:rPr>
              <w:t>2,40</w:t>
            </w:r>
          </w:p>
        </w:tc>
      </w:tr>
      <w:tr w:rsidR="00136F59" w:rsidRPr="0016170D" w:rsidTr="00136F59">
        <w:trPr>
          <w:cantSplit/>
          <w:trHeight w:val="283"/>
          <w:jc w:val="center"/>
        </w:trPr>
        <w:tc>
          <w:tcPr>
            <w:tcW w:w="12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639C7" w:rsidRPr="000E38A6" w:rsidRDefault="005639C7" w:rsidP="00E44A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0E38A6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RH</w:t>
            </w:r>
          </w:p>
        </w:tc>
        <w:tc>
          <w:tcPr>
            <w:tcW w:w="9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5639C7" w:rsidRPr="000E38A6" w:rsidRDefault="005639C7" w:rsidP="00E44A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0E38A6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106.569</w:t>
            </w: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5639C7" w:rsidRPr="000E38A6" w:rsidRDefault="005639C7" w:rsidP="001617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0E38A6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103,86</w:t>
            </w: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5639C7" w:rsidRPr="000E38A6" w:rsidRDefault="005639C7" w:rsidP="001617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0E38A6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104,59</w:t>
            </w:r>
          </w:p>
        </w:tc>
        <w:tc>
          <w:tcPr>
            <w:tcW w:w="8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5639C7" w:rsidRPr="000E38A6" w:rsidRDefault="005639C7" w:rsidP="001617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0E38A6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1,41</w:t>
            </w:r>
          </w:p>
        </w:tc>
        <w:tc>
          <w:tcPr>
            <w:tcW w:w="96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5639C7" w:rsidRPr="000E38A6" w:rsidRDefault="005639C7" w:rsidP="001617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0E38A6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2,68</w:t>
            </w:r>
          </w:p>
        </w:tc>
        <w:tc>
          <w:tcPr>
            <w:tcW w:w="96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5639C7" w:rsidRPr="000E38A6" w:rsidRDefault="005639C7" w:rsidP="001617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0E38A6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0,82</w:t>
            </w:r>
          </w:p>
        </w:tc>
        <w:tc>
          <w:tcPr>
            <w:tcW w:w="96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5639C7" w:rsidRPr="000E38A6" w:rsidRDefault="005639C7" w:rsidP="00E44A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0E38A6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 xml:space="preserve">1,57 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5639C7" w:rsidRPr="000E38A6" w:rsidRDefault="005639C7" w:rsidP="00E44A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0E38A6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 xml:space="preserve">2,23 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5639C7" w:rsidRPr="000E38A6" w:rsidRDefault="005639C7" w:rsidP="001617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0E38A6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4,10</w:t>
            </w:r>
          </w:p>
        </w:tc>
      </w:tr>
    </w:tbl>
    <w:p w:rsidR="003C7CCB" w:rsidRPr="004946AC" w:rsidRDefault="003C7CCB" w:rsidP="00BD6750">
      <w:pPr>
        <w:spacing w:before="2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 w:rsidR="00E339D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2015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136F59" w:rsidRDefault="00416765" w:rsidP="0005519F">
      <w:pPr>
        <w:tabs>
          <w:tab w:val="left" w:pos="567"/>
        </w:tabs>
        <w:spacing w:before="180" w:after="0"/>
        <w:jc w:val="both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4811D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Najv</w:t>
      </w:r>
      <w:r w:rsidR="00197E46" w:rsidRPr="004811D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iša</w:t>
      </w:r>
      <w:r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p</w:t>
      </w:r>
      <w:r w:rsidR="003912E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rosječna </w:t>
      </w:r>
      <w:r w:rsidR="00765899" w:rsidRPr="007F341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mjesečna neto plaća </w:t>
      </w:r>
      <w:r w:rsidR="00E339D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 2015</w:t>
      </w:r>
      <w:r w:rsidRPr="007F341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. godini </w:t>
      </w:r>
      <w:r w:rsidR="00765899" w:rsidRPr="007F341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obračuna</w:t>
      </w:r>
      <w:r w:rsidR="009E77E8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n</w:t>
      </w:r>
      <w:r w:rsidR="00765899" w:rsidRPr="007F341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a </w:t>
      </w:r>
      <w:r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je </w:t>
      </w:r>
      <w:r w:rsidR="00765899" w:rsidRPr="007F341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kod poduzetnika </w:t>
      </w:r>
      <w:r w:rsidR="0056033C" w:rsidRPr="004811D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Velikog urbanog područja grada Pula </w:t>
      </w:r>
      <w:r w:rsidRPr="004811D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i </w:t>
      </w:r>
      <w:r w:rsidR="00765899" w:rsidRPr="004811D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iznosila je </w:t>
      </w:r>
      <w:r w:rsidRPr="004811D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5.</w:t>
      </w:r>
      <w:r w:rsidR="0056033C" w:rsidRPr="004811D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010</w:t>
      </w:r>
      <w:r w:rsidR="00765899" w:rsidRPr="004811D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kuna, odnosno </w:t>
      </w:r>
      <w:r w:rsidR="00E56685" w:rsidRPr="004811D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8,3 %</w:t>
      </w:r>
      <w:r w:rsidR="00F64B22" w:rsidRPr="004811D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765899" w:rsidRPr="004811D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više </w:t>
      </w:r>
      <w:r w:rsidR="00480B0A" w:rsidRPr="004811D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od iznosa prosječne mjesečne neto plaće zaposlenih</w:t>
      </w:r>
      <w:r w:rsidR="003912E9" w:rsidRPr="004811D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kod</w:t>
      </w:r>
      <w:r w:rsidR="00480B0A" w:rsidRPr="004811D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DC6008" w:rsidRPr="004811D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poduzetnik</w:t>
      </w:r>
      <w:r w:rsidR="00480B0A" w:rsidRPr="004811D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="00DC6008" w:rsidRPr="004811D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E56685" w:rsidRPr="004811D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Velikog urbanog područja grada</w:t>
      </w:r>
      <w:r w:rsidR="004811DC" w:rsidRPr="004811D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Slavonski Brod i 6,8 % više od iznosa prosječne mjesečne neto plaće zaposlenih kod poduzetnika Velikog urbanog područja grada Zadar</w:t>
      </w:r>
      <w:r w:rsidR="004811D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</w:t>
      </w:r>
      <w:r w:rsidR="00136F59" w:rsidRPr="00136F59">
        <w:t xml:space="preserve"> </w:t>
      </w:r>
      <w:r w:rsidR="00136F59" w:rsidRPr="00136F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Najniža prosječna mjesečna neto plaća obračunana je zaposlenima u Velikom urbanom području gra</w:t>
      </w:r>
      <w:r w:rsidR="00ED6D6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da Slavonski Brod (4.628 kuna).</w:t>
      </w:r>
    </w:p>
    <w:p w:rsidR="009E77E8" w:rsidRDefault="00136F59" w:rsidP="006A5A1F">
      <w:pPr>
        <w:tabs>
          <w:tab w:val="left" w:pos="567"/>
        </w:tabs>
        <w:spacing w:before="120" w:after="0"/>
        <w:jc w:val="both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136F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Za usporedbu, prosječna mjesečna obračunana neto plaća zaposlenih kod poduzetnika na razini RH u 2015. godini iznosila je 5.019 kuna.</w:t>
      </w:r>
    </w:p>
    <w:p w:rsidR="00DC54D3" w:rsidRDefault="00E1622B" w:rsidP="006A5A1F">
      <w:pPr>
        <w:tabs>
          <w:tab w:val="left" w:pos="567"/>
          <w:tab w:val="left" w:pos="1134"/>
          <w:tab w:val="left" w:pos="8931"/>
        </w:tabs>
        <w:spacing w:before="180" w:after="0" w:line="240" w:lineRule="auto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6D51E8">
        <w:rPr>
          <w:rFonts w:ascii="Arial" w:hAnsi="Arial" w:cs="Arial"/>
          <w:b/>
          <w:color w:val="244061" w:themeColor="accent1" w:themeShade="80"/>
          <w:sz w:val="18"/>
          <w:szCs w:val="18"/>
        </w:rPr>
        <w:t>Grafikon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C05ED4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</w:t>
      </w:r>
      <w:r w:rsidR="009552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  <w:t>Prosječna mjesečna neto plaća po zaposlenom u 201</w:t>
      </w:r>
      <w:r w:rsidR="00E339DF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5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</w:t>
      </w:r>
      <w:r w:rsid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g.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18415A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u </w:t>
      </w:r>
      <w:r w:rsidR="00DC54D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v</w:t>
      </w:r>
      <w:r w:rsidR="008D610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elikim u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rban</w:t>
      </w:r>
      <w:r w:rsidR="00FE058F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i</w:t>
      </w:r>
      <w:r w:rsidR="0018415A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m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197E4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područjima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DC54D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u </w:t>
      </w:r>
      <w:r w:rsidR="00FE058F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RH</w:t>
      </w:r>
    </w:p>
    <w:p w:rsidR="00E1622B" w:rsidRDefault="00E1622B" w:rsidP="006A5A1F">
      <w:pPr>
        <w:tabs>
          <w:tab w:val="left" w:pos="567"/>
          <w:tab w:val="left" w:pos="1134"/>
          <w:tab w:val="left" w:pos="8931"/>
        </w:tabs>
        <w:spacing w:after="20" w:line="240" w:lineRule="auto"/>
        <w:jc w:val="right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E1622B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(iznosi u kn)</w:t>
      </w:r>
    </w:p>
    <w:p w:rsidR="00F36406" w:rsidRPr="00955264" w:rsidRDefault="00955264" w:rsidP="006A5A1F">
      <w:pPr>
        <w:widowControl w:val="0"/>
        <w:spacing w:after="40" w:line="240" w:lineRule="auto"/>
        <w:rPr>
          <w:rFonts w:ascii="Arial" w:eastAsia="Times New Roman" w:hAnsi="Arial" w:cs="Arial"/>
          <w:color w:val="17365D"/>
          <w:sz w:val="16"/>
          <w:szCs w:val="16"/>
          <w:lang w:eastAsia="hr-HR"/>
        </w:rPr>
      </w:pPr>
      <w:r>
        <w:rPr>
          <w:noProof/>
          <w:lang w:eastAsia="hr-HR"/>
        </w:rPr>
        <w:drawing>
          <wp:inline distT="0" distB="0" distL="0" distR="0" wp14:anchorId="041C4025" wp14:editId="02C7EEF2">
            <wp:extent cx="6264000" cy="2088000"/>
            <wp:effectExtent l="0" t="0" r="22860" b="2667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1622B" w:rsidRPr="007D0A08" w:rsidRDefault="00713E71" w:rsidP="00ED6D6D">
      <w:pPr>
        <w:spacing w:before="40" w:after="0" w:line="240" w:lineRule="auto"/>
        <w:jc w:val="both"/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</w:pPr>
      <w:r w:rsidRPr="007D0A08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</w:t>
      </w:r>
      <w:r w:rsidR="00E1622B" w:rsidRPr="007D0A08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vor: Fina, Registar godišnjih financijskih izvještaja</w:t>
      </w:r>
      <w:r w:rsidR="00E1622B" w:rsidRPr="007D0A08"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  <w:t xml:space="preserve"> </w:t>
      </w:r>
      <w:r w:rsidR="00520E8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za 2015</w:t>
      </w:r>
      <w:r w:rsidR="00520E8F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132FFE" w:rsidRDefault="00132FFE" w:rsidP="00132FFE">
      <w:pPr>
        <w:pBdr>
          <w:bottom w:val="single" w:sz="12" w:space="1" w:color="auto"/>
        </w:pBdr>
        <w:spacing w:after="0"/>
        <w:rPr>
          <w:rFonts w:ascii="Arial" w:eastAsia="Times New Roman" w:hAnsi="Arial" w:cs="Times New Roman"/>
          <w:i/>
          <w:color w:val="1F497D"/>
          <w:sz w:val="2"/>
          <w:szCs w:val="16"/>
          <w:lang w:eastAsia="hr-HR"/>
        </w:rPr>
      </w:pPr>
    </w:p>
    <w:p w:rsidR="002A5444" w:rsidRDefault="002A5444" w:rsidP="00132FFE">
      <w:pPr>
        <w:pBdr>
          <w:bottom w:val="single" w:sz="12" w:space="1" w:color="auto"/>
        </w:pBdr>
        <w:spacing w:after="0"/>
        <w:rPr>
          <w:rFonts w:ascii="Arial" w:eastAsia="Times New Roman" w:hAnsi="Arial" w:cs="Times New Roman"/>
          <w:i/>
          <w:color w:val="1F497D"/>
          <w:sz w:val="2"/>
          <w:szCs w:val="16"/>
          <w:lang w:eastAsia="hr-HR"/>
        </w:rPr>
      </w:pPr>
    </w:p>
    <w:p w:rsidR="002A5444" w:rsidRDefault="002A5444" w:rsidP="00132FFE">
      <w:pPr>
        <w:pBdr>
          <w:bottom w:val="single" w:sz="12" w:space="1" w:color="auto"/>
        </w:pBdr>
        <w:spacing w:after="0"/>
        <w:rPr>
          <w:rFonts w:ascii="Arial" w:eastAsia="Times New Roman" w:hAnsi="Arial" w:cs="Times New Roman"/>
          <w:i/>
          <w:color w:val="1F497D"/>
          <w:sz w:val="2"/>
          <w:szCs w:val="16"/>
          <w:lang w:eastAsia="hr-HR"/>
        </w:rPr>
      </w:pPr>
    </w:p>
    <w:p w:rsidR="002A5444" w:rsidRPr="00132FFE" w:rsidRDefault="002A5444" w:rsidP="00132FFE">
      <w:pPr>
        <w:pBdr>
          <w:bottom w:val="single" w:sz="12" w:space="1" w:color="auto"/>
        </w:pBdr>
        <w:spacing w:after="0"/>
        <w:rPr>
          <w:rFonts w:ascii="Arial" w:eastAsia="Times New Roman" w:hAnsi="Arial" w:cs="Times New Roman"/>
          <w:i/>
          <w:color w:val="1F497D"/>
          <w:sz w:val="2"/>
          <w:szCs w:val="16"/>
          <w:lang w:eastAsia="hr-HR"/>
        </w:rPr>
      </w:pPr>
    </w:p>
    <w:p w:rsidR="00DE71D0" w:rsidRPr="000E38A6" w:rsidRDefault="00DE71D0" w:rsidP="000E38A6">
      <w:pPr>
        <w:spacing w:before="120" w:after="0" w:line="240" w:lineRule="auto"/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</w:pPr>
      <w:r w:rsidRPr="000E38A6">
        <w:rPr>
          <w:rFonts w:ascii="Arial" w:eastAsia="Times New Roman" w:hAnsi="Arial" w:cs="Arial"/>
          <w:b/>
          <w:i/>
          <w:color w:val="17365D"/>
          <w:sz w:val="18"/>
          <w:szCs w:val="18"/>
          <w:lang w:eastAsia="hr-HR"/>
        </w:rPr>
        <w:t>O urbanim aglomeracijama i većim i manjim urbanim područjima</w:t>
      </w:r>
    </w:p>
    <w:p w:rsidR="00DE71D0" w:rsidRPr="000E38A6" w:rsidRDefault="00DE71D0" w:rsidP="00DC54D3">
      <w:pPr>
        <w:spacing w:before="60" w:after="0" w:line="240" w:lineRule="auto"/>
        <w:jc w:val="both"/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</w:pPr>
      <w:r w:rsidRPr="000E38A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>Izdvajanje urbanih (i ruralnih odnosno ruralnih i mješovitih) područja predstavlja jedan od izazovnijih zadataka suvremene politike regionalnog razvoja. Vrlo često se urbana područja odnosno granice urbanih područja određuju ovisno o namjeni i nisu izdvojena jednom jedinstvenom definicijom.</w:t>
      </w:r>
    </w:p>
    <w:p w:rsidR="004811DC" w:rsidRPr="000E38A6" w:rsidRDefault="00DE71D0" w:rsidP="000E38A6">
      <w:pPr>
        <w:spacing w:before="60" w:after="0" w:line="240" w:lineRule="auto"/>
        <w:jc w:val="both"/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</w:pPr>
      <w:r w:rsidRPr="000E38A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 xml:space="preserve">Za politiku regionalnog razvoja izdvajanje urbanih područja znači naći kompromis između različitih sektora, lokalnih želja za uključivanjem/isključivanjem dijela teritorija u urbani prostor i administrativnih granica (koje osiguravaju pravo odlučivanja u nekom prostoru). </w:t>
      </w:r>
    </w:p>
    <w:p w:rsidR="00DE71D0" w:rsidRPr="000E38A6" w:rsidRDefault="00DE71D0" w:rsidP="000E38A6">
      <w:pPr>
        <w:spacing w:before="60" w:after="0" w:line="240" w:lineRule="auto"/>
        <w:jc w:val="both"/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</w:pPr>
      <w:r w:rsidRPr="000E38A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>Zakon o regionalnom razvoju odredio je tri tipa urbanih područja:</w:t>
      </w:r>
    </w:p>
    <w:p w:rsidR="00DE71D0" w:rsidRPr="000E38A6" w:rsidRDefault="00DE71D0" w:rsidP="00DC54D3">
      <w:pPr>
        <w:numPr>
          <w:ilvl w:val="0"/>
          <w:numId w:val="2"/>
        </w:numPr>
        <w:spacing w:after="0" w:line="240" w:lineRule="auto"/>
        <w:ind w:left="850" w:hanging="357"/>
        <w:rPr>
          <w:rFonts w:ascii="Arial" w:eastAsia="Times New Roman" w:hAnsi="Arial" w:cs="Arial"/>
          <w:color w:val="244061"/>
          <w:sz w:val="18"/>
          <w:szCs w:val="18"/>
          <w:lang w:eastAsia="hr-HR"/>
        </w:rPr>
      </w:pPr>
      <w:r w:rsidRPr="000E38A6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4 </w:t>
      </w:r>
      <w:r w:rsidR="00955264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urbane</w:t>
      </w:r>
      <w:r w:rsidRPr="000E38A6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 aglomeracije</w:t>
      </w:r>
      <w:r w:rsidRPr="000E38A6">
        <w:rPr>
          <w:rFonts w:ascii="Arial" w:eastAsia="Times New Roman" w:hAnsi="Arial" w:cs="Arial"/>
          <w:color w:val="244061"/>
          <w:sz w:val="18"/>
          <w:szCs w:val="18"/>
          <w:lang w:eastAsia="hr-HR"/>
        </w:rPr>
        <w:t xml:space="preserve"> (sjedišta u Zagrebu, Splitu, Rijeci i Osijeku)</w:t>
      </w:r>
      <w:r w:rsidR="00955264">
        <w:rPr>
          <w:rFonts w:ascii="Arial" w:eastAsia="Times New Roman" w:hAnsi="Arial" w:cs="Arial"/>
          <w:color w:val="244061"/>
          <w:sz w:val="18"/>
          <w:szCs w:val="18"/>
          <w:lang w:eastAsia="hr-HR"/>
        </w:rPr>
        <w:t>;</w:t>
      </w:r>
    </w:p>
    <w:p w:rsidR="00DE71D0" w:rsidRPr="000E38A6" w:rsidRDefault="00DE71D0" w:rsidP="00DC54D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0" w:hanging="357"/>
        <w:rPr>
          <w:rFonts w:ascii="Arial" w:eastAsia="Times New Roman" w:hAnsi="Arial" w:cs="Arial"/>
          <w:color w:val="244061"/>
          <w:sz w:val="18"/>
          <w:szCs w:val="18"/>
          <w:lang w:eastAsia="hr-HR"/>
        </w:rPr>
      </w:pPr>
      <w:r w:rsidRPr="000E38A6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veća urbana područja</w:t>
      </w:r>
      <w:r w:rsidRPr="000E38A6">
        <w:rPr>
          <w:rFonts w:ascii="Arial" w:eastAsia="Times New Roman" w:hAnsi="Arial" w:cs="Arial"/>
          <w:color w:val="244061"/>
          <w:sz w:val="18"/>
          <w:szCs w:val="18"/>
          <w:lang w:eastAsia="hr-HR"/>
        </w:rPr>
        <w:t xml:space="preserve"> - gradovi koji na razini jedinica lokalne samouprave imaju više od 35 000 stanovnika, a nisu uključeni u urbane aglomeracije</w:t>
      </w:r>
      <w:r w:rsidR="00955264">
        <w:rPr>
          <w:rFonts w:ascii="Arial" w:eastAsia="Times New Roman" w:hAnsi="Arial" w:cs="Arial"/>
          <w:color w:val="244061"/>
          <w:sz w:val="18"/>
          <w:szCs w:val="18"/>
          <w:lang w:eastAsia="hr-HR"/>
        </w:rPr>
        <w:t>;</w:t>
      </w:r>
    </w:p>
    <w:p w:rsidR="00DE71D0" w:rsidRPr="000E38A6" w:rsidRDefault="00DE71D0" w:rsidP="005A1502">
      <w:pPr>
        <w:numPr>
          <w:ilvl w:val="0"/>
          <w:numId w:val="2"/>
        </w:numPr>
        <w:tabs>
          <w:tab w:val="left" w:pos="851"/>
        </w:tabs>
        <w:spacing w:after="120" w:line="240" w:lineRule="auto"/>
        <w:ind w:left="850" w:hanging="357"/>
        <w:rPr>
          <w:rFonts w:ascii="Arial" w:eastAsia="Calibri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0E38A6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manja urbana područja</w:t>
      </w:r>
      <w:r w:rsidRPr="000E38A6">
        <w:rPr>
          <w:rFonts w:ascii="Arial" w:eastAsia="Times New Roman" w:hAnsi="Arial" w:cs="Arial"/>
          <w:color w:val="244061"/>
          <w:sz w:val="18"/>
          <w:szCs w:val="18"/>
          <w:lang w:eastAsia="hr-HR"/>
        </w:rPr>
        <w:t xml:space="preserve"> - gradovi koji imaju manje od 35 000 stanovnika, ali njihova središnja naselja imaju više od 10 000 stanovnika ili su sjedišta županija.</w:t>
      </w:r>
    </w:p>
    <w:p w:rsidR="00DE71D0" w:rsidRPr="00132FFE" w:rsidRDefault="00DE71D0" w:rsidP="00DE71D0">
      <w:pPr>
        <w:pBdr>
          <w:bottom w:val="single" w:sz="12" w:space="0" w:color="auto"/>
        </w:pBdr>
        <w:spacing w:after="0"/>
        <w:rPr>
          <w:rFonts w:ascii="Arial" w:eastAsia="Times New Roman" w:hAnsi="Arial" w:cs="Times New Roman"/>
          <w:i/>
          <w:color w:val="1F497D"/>
          <w:sz w:val="2"/>
          <w:szCs w:val="16"/>
          <w:lang w:eastAsia="hr-HR"/>
        </w:rPr>
      </w:pPr>
    </w:p>
    <w:p w:rsidR="00132FFE" w:rsidRPr="006D51E8" w:rsidRDefault="00132FFE" w:rsidP="00136F59">
      <w:pPr>
        <w:spacing w:before="120" w:after="0" w:line="240" w:lineRule="auto"/>
        <w:jc w:val="both"/>
        <w:rPr>
          <w:rFonts w:ascii="Arial" w:eastAsia="Calibri" w:hAnsi="Arial" w:cs="Arial"/>
          <w:i/>
          <w:color w:val="0000FF"/>
          <w:sz w:val="18"/>
          <w:szCs w:val="18"/>
          <w:u w:val="single"/>
          <w:lang w:eastAsia="hr-HR"/>
        </w:rPr>
      </w:pPr>
      <w:r w:rsidRPr="006D51E8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Više o rezultatima poslovanja poduzetnika po područjima djelatnosti i po drugim kriterijima, prezentirano je u </w:t>
      </w:r>
      <w:hyperlink r:id="rId20" w:history="1">
        <w:r w:rsidRPr="006D51E8">
          <w:rPr>
            <w:rFonts w:ascii="Arial" w:eastAsia="Times New Roman" w:hAnsi="Arial" w:cs="Arial"/>
            <w:i/>
            <w:color w:val="0000BF"/>
            <w:sz w:val="18"/>
            <w:szCs w:val="18"/>
            <w:u w:val="single"/>
            <w:lang w:eastAsia="hr-HR"/>
          </w:rPr>
          <w:t>standardnim analizama</w:t>
        </w:r>
      </w:hyperlink>
      <w:r w:rsidRPr="006D51E8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 rezultata poslovanja poduzetnika RH, po županijama </w:t>
      </w:r>
      <w:r w:rsidR="00C81014" w:rsidRPr="006D51E8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>i po gradovima i općinama u 2015</w:t>
      </w:r>
      <w:r w:rsidRPr="006D51E8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>. g. Pojedinačni podaci o rezultatima poslovanja poduzetnika dostupni su besplatno na</w:t>
      </w:r>
      <w:r w:rsidRPr="006D51E8">
        <w:rPr>
          <w:rFonts w:ascii="Arial" w:eastAsia="Calibri" w:hAnsi="Arial" w:cs="Arial"/>
          <w:i/>
          <w:color w:val="17365D"/>
          <w:sz w:val="18"/>
          <w:szCs w:val="18"/>
          <w:lang w:eastAsia="hr-HR"/>
        </w:rPr>
        <w:t xml:space="preserve"> </w:t>
      </w:r>
      <w:hyperlink r:id="rId21" w:history="1">
        <w:r w:rsidRPr="006D51E8">
          <w:rPr>
            <w:rFonts w:ascii="Arial" w:eastAsia="Calibri" w:hAnsi="Arial" w:cs="Arial"/>
            <w:i/>
            <w:color w:val="0000FF"/>
            <w:sz w:val="18"/>
            <w:szCs w:val="18"/>
            <w:u w:val="single"/>
            <w:lang w:eastAsia="hr-HR"/>
          </w:rPr>
          <w:t>RGFI – javna objava</w:t>
        </w:r>
      </w:hyperlink>
      <w:r w:rsidRPr="006D51E8">
        <w:rPr>
          <w:rFonts w:ascii="Arial" w:eastAsia="Calibri" w:hAnsi="Arial" w:cs="Arial"/>
          <w:i/>
          <w:color w:val="0F243E"/>
          <w:sz w:val="18"/>
          <w:szCs w:val="18"/>
          <w:lang w:eastAsia="hr-HR"/>
        </w:rPr>
        <w:t xml:space="preserve"> </w:t>
      </w:r>
      <w:r w:rsidRPr="006D51E8">
        <w:rPr>
          <w:rFonts w:ascii="Arial" w:eastAsia="Times New Roman" w:hAnsi="Arial" w:cs="Arial"/>
          <w:i/>
          <w:color w:val="17375E"/>
          <w:sz w:val="18"/>
          <w:szCs w:val="18"/>
          <w:lang w:eastAsia="hr-HR"/>
        </w:rPr>
        <w:t>i na</w:t>
      </w:r>
      <w:r w:rsidRPr="006D51E8">
        <w:rPr>
          <w:rFonts w:ascii="Arial" w:eastAsia="Calibri" w:hAnsi="Arial" w:cs="Arial"/>
          <w:i/>
          <w:color w:val="0F243E"/>
          <w:sz w:val="18"/>
          <w:szCs w:val="18"/>
          <w:lang w:eastAsia="hr-HR"/>
        </w:rPr>
        <w:t xml:space="preserve"> </w:t>
      </w:r>
      <w:hyperlink r:id="rId22" w:history="1">
        <w:r w:rsidRPr="006D51E8">
          <w:rPr>
            <w:rFonts w:ascii="Arial" w:eastAsia="Calibri" w:hAnsi="Arial" w:cs="Arial"/>
            <w:i/>
            <w:color w:val="0000FF"/>
            <w:sz w:val="18"/>
            <w:szCs w:val="18"/>
            <w:u w:val="single"/>
            <w:lang w:eastAsia="hr-HR"/>
          </w:rPr>
          <w:t>Transparentno.hr</w:t>
        </w:r>
      </w:hyperlink>
    </w:p>
    <w:p w:rsidR="00520E8F" w:rsidRPr="0005519F" w:rsidRDefault="00132FFE" w:rsidP="0005519F">
      <w:pPr>
        <w:spacing w:before="60" w:after="60" w:line="240" w:lineRule="auto"/>
        <w:jc w:val="both"/>
        <w:rPr>
          <w:rFonts w:ascii="Arial" w:eastAsia="Calibri" w:hAnsi="Arial" w:cs="Arial"/>
          <w:bCs/>
          <w:color w:val="17365D"/>
          <w:sz w:val="18"/>
          <w:szCs w:val="18"/>
        </w:rPr>
      </w:pPr>
      <w:r w:rsidRPr="006D51E8">
        <w:rPr>
          <w:rFonts w:ascii="Arial" w:eastAsia="Calibri" w:hAnsi="Arial" w:cs="Arial"/>
          <w:bCs/>
          <w:i/>
          <w:color w:val="17365D"/>
          <w:sz w:val="18"/>
          <w:szCs w:val="18"/>
        </w:rPr>
        <w:t xml:space="preserve">Informacija o tome je li poslovni subjekt u blokadi ili ne, dostupna je korištenjem usluge </w:t>
      </w:r>
      <w:hyperlink r:id="rId23" w:history="1">
        <w:r w:rsidRPr="006D51E8">
          <w:rPr>
            <w:rFonts w:ascii="Arial" w:eastAsia="Calibri" w:hAnsi="Arial" w:cs="Arial"/>
            <w:bCs/>
            <w:i/>
            <w:color w:val="0000BF"/>
            <w:sz w:val="18"/>
            <w:szCs w:val="18"/>
            <w:u w:val="single"/>
          </w:rPr>
          <w:t>FINA InfoBlokade</w:t>
        </w:r>
      </w:hyperlink>
      <w:r w:rsidRPr="006D51E8">
        <w:rPr>
          <w:rFonts w:ascii="Arial" w:eastAsia="Calibri" w:hAnsi="Arial" w:cs="Arial"/>
          <w:bCs/>
          <w:i/>
          <w:color w:val="17365D"/>
          <w:sz w:val="18"/>
          <w:szCs w:val="18"/>
        </w:rPr>
        <w:t xml:space="preserve"> slanjem SMS poruku na broj 818058. te korištenjem </w:t>
      </w:r>
      <w:hyperlink r:id="rId24" w:history="1">
        <w:r w:rsidRPr="006D51E8">
          <w:rPr>
            <w:rFonts w:ascii="Arial" w:eastAsia="Calibri" w:hAnsi="Arial" w:cs="Arial"/>
            <w:bCs/>
            <w:i/>
            <w:color w:val="0000FF"/>
            <w:sz w:val="18"/>
            <w:szCs w:val="18"/>
            <w:u w:val="single"/>
          </w:rPr>
          <w:t>WEB aplikacije JRR</w:t>
        </w:r>
      </w:hyperlink>
      <w:r w:rsidRPr="006D51E8">
        <w:rPr>
          <w:rFonts w:ascii="Arial" w:eastAsia="Calibri" w:hAnsi="Arial" w:cs="Arial"/>
          <w:bCs/>
          <w:i/>
          <w:color w:val="17365D"/>
          <w:sz w:val="18"/>
          <w:szCs w:val="18"/>
        </w:rPr>
        <w:t xml:space="preserve"> tj. uvidom u podatke o računima i statusu blokade poslovnih subjekata, koji se ažuriraju u </w:t>
      </w:r>
      <w:hyperlink r:id="rId25" w:history="1">
        <w:r w:rsidRPr="006D51E8">
          <w:rPr>
            <w:rFonts w:ascii="Arial" w:eastAsia="Calibri" w:hAnsi="Arial" w:cs="Arial"/>
            <w:bCs/>
            <w:i/>
            <w:color w:val="0000FF"/>
            <w:sz w:val="18"/>
            <w:szCs w:val="18"/>
            <w:u w:val="single"/>
          </w:rPr>
          <w:t>Jedinstvenom registru računa</w:t>
        </w:r>
      </w:hyperlink>
      <w:r w:rsidRPr="006D51E8">
        <w:rPr>
          <w:rFonts w:ascii="Arial" w:eastAsia="Calibri" w:hAnsi="Arial" w:cs="Arial"/>
          <w:bCs/>
          <w:i/>
          <w:color w:val="17365D"/>
          <w:sz w:val="18"/>
          <w:szCs w:val="18"/>
        </w:rPr>
        <w:t xml:space="preserve"> kojega u skladu sa zakonskim propisima, od 2002. godine, vodi Financijska agencija.</w:t>
      </w:r>
    </w:p>
    <w:sectPr w:rsidR="00520E8F" w:rsidRPr="0005519F" w:rsidSect="0016170D">
      <w:headerReference w:type="default" r:id="rId26"/>
      <w:pgSz w:w="11906" w:h="16838"/>
      <w:pgMar w:top="1134" w:right="907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17F" w:rsidRDefault="0010517F" w:rsidP="008E7389">
      <w:pPr>
        <w:spacing w:after="0" w:line="240" w:lineRule="auto"/>
      </w:pPr>
      <w:r>
        <w:separator/>
      </w:r>
    </w:p>
  </w:endnote>
  <w:endnote w:type="continuationSeparator" w:id="0">
    <w:p w:rsidR="0010517F" w:rsidRDefault="0010517F" w:rsidP="008E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 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17F" w:rsidRDefault="0010517F" w:rsidP="008E7389">
      <w:pPr>
        <w:spacing w:after="0" w:line="240" w:lineRule="auto"/>
      </w:pPr>
      <w:r>
        <w:separator/>
      </w:r>
    </w:p>
  </w:footnote>
  <w:footnote w:type="continuationSeparator" w:id="0">
    <w:p w:rsidR="0010517F" w:rsidRDefault="0010517F" w:rsidP="008E7389">
      <w:pPr>
        <w:spacing w:after="0" w:line="240" w:lineRule="auto"/>
      </w:pPr>
      <w:r>
        <w:continuationSeparator/>
      </w:r>
    </w:p>
  </w:footnote>
  <w:footnote w:id="1">
    <w:p w:rsidR="0005519F" w:rsidRPr="0005519F" w:rsidRDefault="0005519F">
      <w:pPr>
        <w:pStyle w:val="FootnoteText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05519F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05519F">
        <w:rPr>
          <w:rFonts w:ascii="Arial" w:hAnsi="Arial" w:cs="Arial"/>
          <w:color w:val="244061" w:themeColor="accent1" w:themeShade="80"/>
          <w:sz w:val="17"/>
          <w:szCs w:val="17"/>
        </w:rPr>
        <w:t xml:space="preserve"> Zakonom o regionalnom razvoju (NN, 147/14), koji je u primjeni od 1. siječnja 2015. godine, uvedena je mogućnost stvaranja urbanih aglomeracija uz mogućnost širenja i na druge veće gradove, s ciljem ostvarenja strategije Europske unije do 2020. godine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2C1" w:rsidRPr="00ED6D6D" w:rsidRDefault="007D72C1" w:rsidP="007D72C1">
    <w:pPr>
      <w:tabs>
        <w:tab w:val="center" w:pos="4536"/>
        <w:tab w:val="right" w:pos="9072"/>
      </w:tabs>
      <w:spacing w:after="0"/>
      <w:rPr>
        <w:rFonts w:ascii="Arial" w:eastAsia="Calibri" w:hAnsi="Arial" w:cs="Arial"/>
        <w:sz w:val="16"/>
        <w:szCs w:val="16"/>
      </w:rPr>
    </w:pPr>
    <w:r>
      <w:rPr>
        <w:rFonts w:ascii="Arial, Helvetica, sans-serif" w:eastAsia="Times New Roman" w:hAnsi="Arial, Helvetica, sans-serif" w:cs="Times New Roman"/>
        <w:noProof/>
        <w:color w:val="00325A"/>
        <w:sz w:val="20"/>
        <w:szCs w:val="20"/>
        <w:lang w:eastAsia="hr-HR"/>
      </w:rPr>
      <w:drawing>
        <wp:inline distT="0" distB="0" distL="0" distR="0" wp14:anchorId="28B18619" wp14:editId="3D7245DF">
          <wp:extent cx="996315" cy="218440"/>
          <wp:effectExtent l="0" t="0" r="0" b="0"/>
          <wp:docPr id="1" name="Picture 1" descr="Opis: http://intrajrr/images/fina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http://intrajrr/images/finalog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315" cy="218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B241D"/>
    <w:multiLevelType w:val="hybridMultilevel"/>
    <w:tmpl w:val="9E2466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6B46CF"/>
    <w:multiLevelType w:val="hybridMultilevel"/>
    <w:tmpl w:val="5A5CF3F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110B6"/>
    <w:rsid w:val="00035140"/>
    <w:rsid w:val="00043B7D"/>
    <w:rsid w:val="000462BD"/>
    <w:rsid w:val="0005519F"/>
    <w:rsid w:val="000553EC"/>
    <w:rsid w:val="00055B6A"/>
    <w:rsid w:val="00056E81"/>
    <w:rsid w:val="00060B97"/>
    <w:rsid w:val="000632B1"/>
    <w:rsid w:val="000658BD"/>
    <w:rsid w:val="000672B2"/>
    <w:rsid w:val="000776CA"/>
    <w:rsid w:val="000822AC"/>
    <w:rsid w:val="00094E0E"/>
    <w:rsid w:val="000A44B9"/>
    <w:rsid w:val="000C4BC2"/>
    <w:rsid w:val="000E01AD"/>
    <w:rsid w:val="000E1F55"/>
    <w:rsid w:val="000E2659"/>
    <w:rsid w:val="000E38A6"/>
    <w:rsid w:val="000E76CA"/>
    <w:rsid w:val="000F0243"/>
    <w:rsid w:val="000F13A6"/>
    <w:rsid w:val="000F3063"/>
    <w:rsid w:val="00100B19"/>
    <w:rsid w:val="00102693"/>
    <w:rsid w:val="001047CC"/>
    <w:rsid w:val="0010517F"/>
    <w:rsid w:val="00105822"/>
    <w:rsid w:val="00107754"/>
    <w:rsid w:val="00115C94"/>
    <w:rsid w:val="001323B9"/>
    <w:rsid w:val="001329B7"/>
    <w:rsid w:val="00132FFE"/>
    <w:rsid w:val="0013370F"/>
    <w:rsid w:val="00135BE7"/>
    <w:rsid w:val="00136F59"/>
    <w:rsid w:val="001374AF"/>
    <w:rsid w:val="00141F66"/>
    <w:rsid w:val="0015087B"/>
    <w:rsid w:val="00153312"/>
    <w:rsid w:val="0015427A"/>
    <w:rsid w:val="001549FF"/>
    <w:rsid w:val="00160479"/>
    <w:rsid w:val="0016170D"/>
    <w:rsid w:val="00163545"/>
    <w:rsid w:val="001668C0"/>
    <w:rsid w:val="00167E12"/>
    <w:rsid w:val="00172F70"/>
    <w:rsid w:val="00173321"/>
    <w:rsid w:val="001750A5"/>
    <w:rsid w:val="00181F73"/>
    <w:rsid w:val="0018415A"/>
    <w:rsid w:val="00197E46"/>
    <w:rsid w:val="001A264F"/>
    <w:rsid w:val="001C045D"/>
    <w:rsid w:val="001D4D29"/>
    <w:rsid w:val="001E3BFD"/>
    <w:rsid w:val="001E5718"/>
    <w:rsid w:val="001F375B"/>
    <w:rsid w:val="00204F67"/>
    <w:rsid w:val="002139C2"/>
    <w:rsid w:val="002160E5"/>
    <w:rsid w:val="002318FB"/>
    <w:rsid w:val="002366DF"/>
    <w:rsid w:val="002400C7"/>
    <w:rsid w:val="002452EF"/>
    <w:rsid w:val="0024575C"/>
    <w:rsid w:val="00252FAC"/>
    <w:rsid w:val="00270706"/>
    <w:rsid w:val="002710A9"/>
    <w:rsid w:val="0027247E"/>
    <w:rsid w:val="00276D16"/>
    <w:rsid w:val="00281D0D"/>
    <w:rsid w:val="00284DA1"/>
    <w:rsid w:val="00285C48"/>
    <w:rsid w:val="0029759E"/>
    <w:rsid w:val="002A041F"/>
    <w:rsid w:val="002A5444"/>
    <w:rsid w:val="002B0D6F"/>
    <w:rsid w:val="002B453C"/>
    <w:rsid w:val="002B5A87"/>
    <w:rsid w:val="002C13DB"/>
    <w:rsid w:val="002C1F91"/>
    <w:rsid w:val="002C4E15"/>
    <w:rsid w:val="002D32EF"/>
    <w:rsid w:val="002E124F"/>
    <w:rsid w:val="002E636C"/>
    <w:rsid w:val="00301031"/>
    <w:rsid w:val="00301445"/>
    <w:rsid w:val="00303ADE"/>
    <w:rsid w:val="00305F99"/>
    <w:rsid w:val="00312B69"/>
    <w:rsid w:val="00316755"/>
    <w:rsid w:val="003254DB"/>
    <w:rsid w:val="003355BC"/>
    <w:rsid w:val="003365CB"/>
    <w:rsid w:val="00337E1D"/>
    <w:rsid w:val="00340AAB"/>
    <w:rsid w:val="003427FB"/>
    <w:rsid w:val="00347F29"/>
    <w:rsid w:val="003523CC"/>
    <w:rsid w:val="003530F3"/>
    <w:rsid w:val="00355BA8"/>
    <w:rsid w:val="00356572"/>
    <w:rsid w:val="0036105B"/>
    <w:rsid w:val="00363743"/>
    <w:rsid w:val="00364A39"/>
    <w:rsid w:val="00371B92"/>
    <w:rsid w:val="0038053F"/>
    <w:rsid w:val="00382A31"/>
    <w:rsid w:val="003912E9"/>
    <w:rsid w:val="003A5631"/>
    <w:rsid w:val="003B0A82"/>
    <w:rsid w:val="003C0074"/>
    <w:rsid w:val="003C116E"/>
    <w:rsid w:val="003C7CCB"/>
    <w:rsid w:val="003E6262"/>
    <w:rsid w:val="003F56E6"/>
    <w:rsid w:val="004007A5"/>
    <w:rsid w:val="00416765"/>
    <w:rsid w:val="0043302F"/>
    <w:rsid w:val="00437059"/>
    <w:rsid w:val="00447FF7"/>
    <w:rsid w:val="00465EE5"/>
    <w:rsid w:val="00466FEA"/>
    <w:rsid w:val="004762F8"/>
    <w:rsid w:val="00477471"/>
    <w:rsid w:val="00480169"/>
    <w:rsid w:val="00480B0A"/>
    <w:rsid w:val="004811DC"/>
    <w:rsid w:val="004900C4"/>
    <w:rsid w:val="004935C2"/>
    <w:rsid w:val="004946AC"/>
    <w:rsid w:val="004A4FF3"/>
    <w:rsid w:val="004A551A"/>
    <w:rsid w:val="004A7451"/>
    <w:rsid w:val="004B64D6"/>
    <w:rsid w:val="004C6326"/>
    <w:rsid w:val="004C662B"/>
    <w:rsid w:val="004D07C8"/>
    <w:rsid w:val="004D1701"/>
    <w:rsid w:val="004F3E69"/>
    <w:rsid w:val="004F5A6B"/>
    <w:rsid w:val="004F7B3C"/>
    <w:rsid w:val="005019C9"/>
    <w:rsid w:val="00503DDE"/>
    <w:rsid w:val="0051465F"/>
    <w:rsid w:val="00520E8F"/>
    <w:rsid w:val="00521BFD"/>
    <w:rsid w:val="00523A67"/>
    <w:rsid w:val="005257CD"/>
    <w:rsid w:val="005475CB"/>
    <w:rsid w:val="005517C3"/>
    <w:rsid w:val="0056033C"/>
    <w:rsid w:val="005639C7"/>
    <w:rsid w:val="005763AD"/>
    <w:rsid w:val="00577C8F"/>
    <w:rsid w:val="005A1502"/>
    <w:rsid w:val="005A2248"/>
    <w:rsid w:val="005A4452"/>
    <w:rsid w:val="005A7042"/>
    <w:rsid w:val="005A7B46"/>
    <w:rsid w:val="005B0164"/>
    <w:rsid w:val="005C03C7"/>
    <w:rsid w:val="005D29E9"/>
    <w:rsid w:val="005D3134"/>
    <w:rsid w:val="005F6E29"/>
    <w:rsid w:val="005F7A75"/>
    <w:rsid w:val="0060311A"/>
    <w:rsid w:val="00605509"/>
    <w:rsid w:val="00621C2B"/>
    <w:rsid w:val="00623A94"/>
    <w:rsid w:val="00626B41"/>
    <w:rsid w:val="00632811"/>
    <w:rsid w:val="00634BA9"/>
    <w:rsid w:val="006428F4"/>
    <w:rsid w:val="006457E9"/>
    <w:rsid w:val="00646922"/>
    <w:rsid w:val="00652B3B"/>
    <w:rsid w:val="00652D4C"/>
    <w:rsid w:val="006600AF"/>
    <w:rsid w:val="006610AB"/>
    <w:rsid w:val="0066549C"/>
    <w:rsid w:val="00665692"/>
    <w:rsid w:val="00666461"/>
    <w:rsid w:val="00670C25"/>
    <w:rsid w:val="00673A57"/>
    <w:rsid w:val="00674F90"/>
    <w:rsid w:val="00675ECE"/>
    <w:rsid w:val="00684880"/>
    <w:rsid w:val="00692E66"/>
    <w:rsid w:val="006A07C0"/>
    <w:rsid w:val="006A5A1F"/>
    <w:rsid w:val="006B7677"/>
    <w:rsid w:val="006C21D2"/>
    <w:rsid w:val="006C2AE8"/>
    <w:rsid w:val="006C2C83"/>
    <w:rsid w:val="006C39DD"/>
    <w:rsid w:val="006C60ED"/>
    <w:rsid w:val="006C6342"/>
    <w:rsid w:val="006C6C13"/>
    <w:rsid w:val="006D51E8"/>
    <w:rsid w:val="006E0369"/>
    <w:rsid w:val="006E36A4"/>
    <w:rsid w:val="006F63EE"/>
    <w:rsid w:val="0070084D"/>
    <w:rsid w:val="007032C1"/>
    <w:rsid w:val="00713E71"/>
    <w:rsid w:val="0072575F"/>
    <w:rsid w:val="007317D6"/>
    <w:rsid w:val="00733A0F"/>
    <w:rsid w:val="0073533A"/>
    <w:rsid w:val="0074446F"/>
    <w:rsid w:val="007575DE"/>
    <w:rsid w:val="00765899"/>
    <w:rsid w:val="00773234"/>
    <w:rsid w:val="00776D01"/>
    <w:rsid w:val="007840B5"/>
    <w:rsid w:val="00786C8F"/>
    <w:rsid w:val="00787744"/>
    <w:rsid w:val="00787E73"/>
    <w:rsid w:val="00792613"/>
    <w:rsid w:val="00792E82"/>
    <w:rsid w:val="00793E44"/>
    <w:rsid w:val="00796596"/>
    <w:rsid w:val="007A08C5"/>
    <w:rsid w:val="007A0F0E"/>
    <w:rsid w:val="007A4050"/>
    <w:rsid w:val="007B4F6C"/>
    <w:rsid w:val="007C257E"/>
    <w:rsid w:val="007C2D38"/>
    <w:rsid w:val="007C7850"/>
    <w:rsid w:val="007D0A08"/>
    <w:rsid w:val="007D2A97"/>
    <w:rsid w:val="007D3434"/>
    <w:rsid w:val="007D5B8B"/>
    <w:rsid w:val="007D72C1"/>
    <w:rsid w:val="007F341C"/>
    <w:rsid w:val="007F46E2"/>
    <w:rsid w:val="007F5E6F"/>
    <w:rsid w:val="00812E69"/>
    <w:rsid w:val="008247F7"/>
    <w:rsid w:val="00834EFD"/>
    <w:rsid w:val="00847429"/>
    <w:rsid w:val="0085016D"/>
    <w:rsid w:val="00851803"/>
    <w:rsid w:val="008664D4"/>
    <w:rsid w:val="008918AD"/>
    <w:rsid w:val="00894ABC"/>
    <w:rsid w:val="008A15B9"/>
    <w:rsid w:val="008B005A"/>
    <w:rsid w:val="008B0A32"/>
    <w:rsid w:val="008B2D72"/>
    <w:rsid w:val="008D4E75"/>
    <w:rsid w:val="008D610A"/>
    <w:rsid w:val="008E6BFB"/>
    <w:rsid w:val="008E7389"/>
    <w:rsid w:val="008F4D6E"/>
    <w:rsid w:val="008F6F37"/>
    <w:rsid w:val="00901842"/>
    <w:rsid w:val="0091509F"/>
    <w:rsid w:val="009243B9"/>
    <w:rsid w:val="009248E1"/>
    <w:rsid w:val="00934E6A"/>
    <w:rsid w:val="00941507"/>
    <w:rsid w:val="00951E9F"/>
    <w:rsid w:val="00955264"/>
    <w:rsid w:val="00962C2A"/>
    <w:rsid w:val="00972390"/>
    <w:rsid w:val="009774F2"/>
    <w:rsid w:val="00980020"/>
    <w:rsid w:val="009809DD"/>
    <w:rsid w:val="009844FE"/>
    <w:rsid w:val="009943F9"/>
    <w:rsid w:val="009958C5"/>
    <w:rsid w:val="009B2A22"/>
    <w:rsid w:val="009B3838"/>
    <w:rsid w:val="009C2ABA"/>
    <w:rsid w:val="009C4557"/>
    <w:rsid w:val="009D44A3"/>
    <w:rsid w:val="009D5EA3"/>
    <w:rsid w:val="009E76D0"/>
    <w:rsid w:val="009E77E8"/>
    <w:rsid w:val="009F12EF"/>
    <w:rsid w:val="00A02A9D"/>
    <w:rsid w:val="00A13B7F"/>
    <w:rsid w:val="00A17C1F"/>
    <w:rsid w:val="00A26BB1"/>
    <w:rsid w:val="00A324E2"/>
    <w:rsid w:val="00A37DE7"/>
    <w:rsid w:val="00A47B47"/>
    <w:rsid w:val="00A564B1"/>
    <w:rsid w:val="00A61724"/>
    <w:rsid w:val="00A621BF"/>
    <w:rsid w:val="00A64A4A"/>
    <w:rsid w:val="00A73DC0"/>
    <w:rsid w:val="00A76B10"/>
    <w:rsid w:val="00A8003D"/>
    <w:rsid w:val="00A80450"/>
    <w:rsid w:val="00A80B1F"/>
    <w:rsid w:val="00A9552D"/>
    <w:rsid w:val="00A95E07"/>
    <w:rsid w:val="00A97A3B"/>
    <w:rsid w:val="00AC39A0"/>
    <w:rsid w:val="00AD0A58"/>
    <w:rsid w:val="00AD60DF"/>
    <w:rsid w:val="00AE32FF"/>
    <w:rsid w:val="00AF1B08"/>
    <w:rsid w:val="00B00EE2"/>
    <w:rsid w:val="00B205FA"/>
    <w:rsid w:val="00B3418F"/>
    <w:rsid w:val="00B453B4"/>
    <w:rsid w:val="00B46438"/>
    <w:rsid w:val="00B52676"/>
    <w:rsid w:val="00B66F45"/>
    <w:rsid w:val="00B701A0"/>
    <w:rsid w:val="00B75A1C"/>
    <w:rsid w:val="00B87221"/>
    <w:rsid w:val="00BA0F3D"/>
    <w:rsid w:val="00BA5704"/>
    <w:rsid w:val="00BB6A22"/>
    <w:rsid w:val="00BB74CF"/>
    <w:rsid w:val="00BC1C31"/>
    <w:rsid w:val="00BC25B9"/>
    <w:rsid w:val="00BD6750"/>
    <w:rsid w:val="00BF1D63"/>
    <w:rsid w:val="00BF34C0"/>
    <w:rsid w:val="00BF577F"/>
    <w:rsid w:val="00BF6698"/>
    <w:rsid w:val="00C0423D"/>
    <w:rsid w:val="00C05ED4"/>
    <w:rsid w:val="00C10538"/>
    <w:rsid w:val="00C15636"/>
    <w:rsid w:val="00C22EF7"/>
    <w:rsid w:val="00C25D77"/>
    <w:rsid w:val="00C273E9"/>
    <w:rsid w:val="00C343B3"/>
    <w:rsid w:val="00C35193"/>
    <w:rsid w:val="00C36557"/>
    <w:rsid w:val="00C51D4A"/>
    <w:rsid w:val="00C535B6"/>
    <w:rsid w:val="00C55817"/>
    <w:rsid w:val="00C64F46"/>
    <w:rsid w:val="00C74919"/>
    <w:rsid w:val="00C768DB"/>
    <w:rsid w:val="00C8090C"/>
    <w:rsid w:val="00C81014"/>
    <w:rsid w:val="00C8410D"/>
    <w:rsid w:val="00C8565F"/>
    <w:rsid w:val="00CA072B"/>
    <w:rsid w:val="00CA13CC"/>
    <w:rsid w:val="00CA5187"/>
    <w:rsid w:val="00CB4F88"/>
    <w:rsid w:val="00CC3877"/>
    <w:rsid w:val="00CD1F96"/>
    <w:rsid w:val="00CD78CC"/>
    <w:rsid w:val="00CE4FEA"/>
    <w:rsid w:val="00CF1A71"/>
    <w:rsid w:val="00CF1F24"/>
    <w:rsid w:val="00CF23CD"/>
    <w:rsid w:val="00D11088"/>
    <w:rsid w:val="00D11A71"/>
    <w:rsid w:val="00D149E3"/>
    <w:rsid w:val="00D1505F"/>
    <w:rsid w:val="00D203A6"/>
    <w:rsid w:val="00D22921"/>
    <w:rsid w:val="00D3198A"/>
    <w:rsid w:val="00D459C2"/>
    <w:rsid w:val="00D67A2C"/>
    <w:rsid w:val="00D80802"/>
    <w:rsid w:val="00D827B9"/>
    <w:rsid w:val="00D84450"/>
    <w:rsid w:val="00D858BC"/>
    <w:rsid w:val="00D866BD"/>
    <w:rsid w:val="00DA0338"/>
    <w:rsid w:val="00DC4FFC"/>
    <w:rsid w:val="00DC54D3"/>
    <w:rsid w:val="00DC6008"/>
    <w:rsid w:val="00DD29C6"/>
    <w:rsid w:val="00DD6AA5"/>
    <w:rsid w:val="00DD7687"/>
    <w:rsid w:val="00DE6659"/>
    <w:rsid w:val="00DE71D0"/>
    <w:rsid w:val="00DF5A6F"/>
    <w:rsid w:val="00E11A2C"/>
    <w:rsid w:val="00E134A9"/>
    <w:rsid w:val="00E1622B"/>
    <w:rsid w:val="00E338FD"/>
    <w:rsid w:val="00E339DF"/>
    <w:rsid w:val="00E33EF9"/>
    <w:rsid w:val="00E4037A"/>
    <w:rsid w:val="00E44319"/>
    <w:rsid w:val="00E447F3"/>
    <w:rsid w:val="00E44AAE"/>
    <w:rsid w:val="00E50DB1"/>
    <w:rsid w:val="00E5410B"/>
    <w:rsid w:val="00E56685"/>
    <w:rsid w:val="00E61FB9"/>
    <w:rsid w:val="00E64FF7"/>
    <w:rsid w:val="00E6539B"/>
    <w:rsid w:val="00E93857"/>
    <w:rsid w:val="00EA50CE"/>
    <w:rsid w:val="00EC185C"/>
    <w:rsid w:val="00ED3EA0"/>
    <w:rsid w:val="00ED6D6D"/>
    <w:rsid w:val="00EF20D2"/>
    <w:rsid w:val="00EF49A4"/>
    <w:rsid w:val="00F1505E"/>
    <w:rsid w:val="00F2234A"/>
    <w:rsid w:val="00F33B5A"/>
    <w:rsid w:val="00F36406"/>
    <w:rsid w:val="00F3698D"/>
    <w:rsid w:val="00F44AA0"/>
    <w:rsid w:val="00F5225E"/>
    <w:rsid w:val="00F56A6D"/>
    <w:rsid w:val="00F64B22"/>
    <w:rsid w:val="00F71EBA"/>
    <w:rsid w:val="00F72860"/>
    <w:rsid w:val="00F82721"/>
    <w:rsid w:val="00F852EB"/>
    <w:rsid w:val="00F858C0"/>
    <w:rsid w:val="00F94FBA"/>
    <w:rsid w:val="00FA0477"/>
    <w:rsid w:val="00FA1366"/>
    <w:rsid w:val="00FB386D"/>
    <w:rsid w:val="00FC0AC5"/>
    <w:rsid w:val="00FC2930"/>
    <w:rsid w:val="00FC6D55"/>
    <w:rsid w:val="00FD1E2A"/>
    <w:rsid w:val="00FD3DCC"/>
    <w:rsid w:val="00FD4331"/>
    <w:rsid w:val="00FE058F"/>
    <w:rsid w:val="00FE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E8F"/>
  </w:style>
  <w:style w:type="paragraph" w:styleId="Heading1">
    <w:name w:val="heading 1"/>
    <w:basedOn w:val="Normal"/>
    <w:link w:val="Heading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73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738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E738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6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22B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Emphasis">
    <w:name w:val="Emphasis"/>
    <w:basedOn w:val="DefaultParagraphFont"/>
    <w:uiPriority w:val="20"/>
    <w:qFormat/>
    <w:rsid w:val="00626B4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2C1"/>
  </w:style>
  <w:style w:type="paragraph" w:styleId="Footer">
    <w:name w:val="footer"/>
    <w:basedOn w:val="Normal"/>
    <w:link w:val="Footer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2C1"/>
  </w:style>
  <w:style w:type="paragraph" w:styleId="NormalWeb">
    <w:name w:val="Normal (Web)"/>
    <w:basedOn w:val="Normal"/>
    <w:uiPriority w:val="99"/>
    <w:unhideWhenUsed/>
    <w:rsid w:val="006C3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F375B"/>
    <w:pPr>
      <w:spacing w:before="120" w:after="0" w:line="288" w:lineRule="auto"/>
      <w:ind w:left="720"/>
      <w:contextualSpacing/>
      <w:jc w:val="both"/>
    </w:pPr>
    <w:rPr>
      <w:rFonts w:ascii="Arial" w:eastAsia="Times New Roman" w:hAnsi="Arial" w:cs="Times New Roman"/>
      <w:color w:val="003366"/>
      <w:szCs w:val="20"/>
      <w:lang w:eastAsia="hr-HR"/>
    </w:rPr>
  </w:style>
  <w:style w:type="character" w:styleId="Strong">
    <w:name w:val="Strong"/>
    <w:basedOn w:val="DefaultParagraphFont"/>
    <w:uiPriority w:val="22"/>
    <w:qFormat/>
    <w:rsid w:val="008247F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52D4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E8F"/>
  </w:style>
  <w:style w:type="paragraph" w:styleId="Heading1">
    <w:name w:val="heading 1"/>
    <w:basedOn w:val="Normal"/>
    <w:link w:val="Heading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73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738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E738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6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22B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Emphasis">
    <w:name w:val="Emphasis"/>
    <w:basedOn w:val="DefaultParagraphFont"/>
    <w:uiPriority w:val="20"/>
    <w:qFormat/>
    <w:rsid w:val="00626B4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2C1"/>
  </w:style>
  <w:style w:type="paragraph" w:styleId="Footer">
    <w:name w:val="footer"/>
    <w:basedOn w:val="Normal"/>
    <w:link w:val="Footer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2C1"/>
  </w:style>
  <w:style w:type="paragraph" w:styleId="NormalWeb">
    <w:name w:val="Normal (Web)"/>
    <w:basedOn w:val="Normal"/>
    <w:uiPriority w:val="99"/>
    <w:unhideWhenUsed/>
    <w:rsid w:val="006C3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F375B"/>
    <w:pPr>
      <w:spacing w:before="120" w:after="0" w:line="288" w:lineRule="auto"/>
      <w:ind w:left="720"/>
      <w:contextualSpacing/>
      <w:jc w:val="both"/>
    </w:pPr>
    <w:rPr>
      <w:rFonts w:ascii="Arial" w:eastAsia="Times New Roman" w:hAnsi="Arial" w:cs="Times New Roman"/>
      <w:color w:val="003366"/>
      <w:szCs w:val="20"/>
      <w:lang w:eastAsia="hr-HR"/>
    </w:rPr>
  </w:style>
  <w:style w:type="character" w:styleId="Strong">
    <w:name w:val="Strong"/>
    <w:basedOn w:val="DefaultParagraphFont"/>
    <w:uiPriority w:val="22"/>
    <w:qFormat/>
    <w:rsid w:val="008247F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52D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3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4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transparentno.hr/pregled/19659143269/9356b1317fa48d91e65050244147d33b3816528ec7835170244183cc415b22c2590fcf1930a0f4943b34ce7410d1a2c22d41a636977786dbcefdec7280cd757a" TargetMode="External"/><Relationship Id="rId18" Type="http://schemas.openxmlformats.org/officeDocument/2006/relationships/chart" Target="charts/chart1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rgfi.fina.hr/JavnaObjava-web/jsp/prijavaKorisnika.jsp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transparentno.hr/pregled/73880953014/9e0b48cfb1b20f9dd0f47b6bcc685506d9129fe6a0277650f7e501e1dbe34fd541574d9bad1edf8030bfe4fc6e53382aa193beb1ee00a90ce3314fbcca5b471b" TargetMode="External"/><Relationship Id="rId17" Type="http://schemas.openxmlformats.org/officeDocument/2006/relationships/hyperlink" Target="https://www.transparentno.hr/pregled/23268154531/2b575623d4e21e39313c0c80b41b7698a3032f4c7c867c24b067c7879fcc3b49fdb5a6dc0378a17fcba203811c9a07d9153aa99889ea37a2b8c2f7463a22e7db" TargetMode="External"/><Relationship Id="rId25" Type="http://schemas.openxmlformats.org/officeDocument/2006/relationships/hyperlink" Target="http://www.fina.hr/Default.aspx?sec=97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transparentno.hr/pregled/44952903763/c45125bfc15af0faadb37cf4d6e2bb031168ad4a067cb7ef894e6215d896d8e45d4d88aae55a9d0edf8b5bb1c62ad99a7a61b74b1cb4183fc063fb1687943616" TargetMode="External"/><Relationship Id="rId20" Type="http://schemas.openxmlformats.org/officeDocument/2006/relationships/hyperlink" Target="http://rgfi.fina.hr/JavnaObjava-web/jsp/prijavaKorisnika.js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ransparentno.hr/pregled/21764428190/04bfdee385108998cc48027cc8a736416a246fcc41059110a1104a910080f981eff46902d1e0f7bab0b0ce14e3fe60bc375cb844568eecd44537d14da0ce2fa1" TargetMode="External"/><Relationship Id="rId24" Type="http://schemas.openxmlformats.org/officeDocument/2006/relationships/hyperlink" Target="https://jrr.fina.hr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transparentno.hr/pregled/61418654605/63810180d0e9d746459658a82c2bb12a25bdaad412acbb3d2a464ed5c30d2348cc060a8a95d4a38495afc1a8e046e978118c8a559fd62859d7a02769ca8fac5d" TargetMode="External"/><Relationship Id="rId23" Type="http://schemas.openxmlformats.org/officeDocument/2006/relationships/hyperlink" Target="http://rgfi.fina.hr/JavnaObjava-web/jsp/prijavaKorisnika.jsp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transparentno.hr/pregled/23268154531/2b575623d4e21e39313c0c80b41b7698a3032f4c7c867c24b067c7879fcc3b49fdb5a6dc0378a17fcba203811c9a07d9153aa99889ea37a2b8c2f7463a22e7db" TargetMode="External"/><Relationship Id="rId19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hyperlink" Target="https://www.transparentno.hr/pregled/44952903763/c45125bfc15af0faadb37cf4d6e2bb031168ad4a067cb7ef894e6215d896d8e45d4d88aae55a9d0edf8b5bb1c62ad99a7a61b74b1cb4183fc063fb1687943616" TargetMode="External"/><Relationship Id="rId14" Type="http://schemas.openxmlformats.org/officeDocument/2006/relationships/hyperlink" Target="https://www.transparentno.hr/pregled/44952903763/c45125bfc15af0faadb37cf4d6e2bb031168ad4a067cb7ef894e6215d896d8e45d4d88aae55a9d0edf8b5bb1c62ad99a7a61b74b1cb4183fc063fb1687943616" TargetMode="External"/><Relationship Id="rId22" Type="http://schemas.openxmlformats.org/officeDocument/2006/relationships/hyperlink" Target="https://www.transparentno.hr/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Vesna%20Kavur\stari%20dokumenti%20d%20disk\dokumenti\Gospodarske%20vijesti\2017\Plan%20objave%20priloga%20u%20rubrici%20Gospodarske%20vijesti%20-%20u%202016%20i%20I-III%202017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3194102391685"/>
          <c:y val="0.12595187167440369"/>
          <c:w val="0.75422160329397858"/>
          <c:h val="0.67353315710980965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explosion val="4"/>
            <c:spPr>
              <a:solidFill>
                <a:schemeClr val="accent1">
                  <a:lumMod val="40000"/>
                  <a:lumOff val="60000"/>
                </a:schemeClr>
              </a:solidFill>
            </c:spPr>
          </c:dPt>
          <c:dPt>
            <c:idx val="1"/>
            <c:invertIfNegative val="0"/>
            <c:bubble3D val="0"/>
            <c:explosion val="4"/>
            <c:spPr>
              <a:solidFill>
                <a:schemeClr val="accent3">
                  <a:lumMod val="60000"/>
                  <a:lumOff val="40000"/>
                </a:schemeClr>
              </a:solidFill>
            </c:spPr>
          </c:dPt>
          <c:dPt>
            <c:idx val="2"/>
            <c:invertIfNegative val="0"/>
            <c:bubble3D val="0"/>
            <c:explosion val="5"/>
            <c:spPr>
              <a:solidFill>
                <a:srgbClr val="335885"/>
              </a:solidFill>
            </c:spPr>
          </c:dPt>
          <c:dPt>
            <c:idx val="3"/>
            <c:invertIfNegative val="0"/>
            <c:bubble3D val="0"/>
            <c:explosion val="3"/>
            <c:spPr>
              <a:solidFill>
                <a:schemeClr val="bg1">
                  <a:lumMod val="75000"/>
                </a:schemeClr>
              </a:solidFill>
            </c:spPr>
          </c:dPt>
          <c:dPt>
            <c:idx val="4"/>
            <c:invertIfNegative val="0"/>
            <c:bubble3D val="0"/>
            <c:explosion val="5"/>
            <c:spPr>
              <a:solidFill>
                <a:schemeClr val="bg1">
                  <a:lumMod val="65000"/>
                </a:schemeClr>
              </a:solidFill>
            </c:spPr>
          </c:dPt>
          <c:cat>
            <c:strRef>
              <c:f>Grafikon!$A$62:$A$65</c:f>
              <c:strCache>
                <c:ptCount val="4"/>
                <c:pt idx="0">
                  <c:v>VUP PULA</c:v>
                </c:pt>
                <c:pt idx="1">
                  <c:v>VUP SL. BROD</c:v>
                </c:pt>
                <c:pt idx="2">
                  <c:v>VUP ZADAR</c:v>
                </c:pt>
                <c:pt idx="3">
                  <c:v>RH</c:v>
                </c:pt>
              </c:strCache>
            </c:strRef>
          </c:cat>
          <c:val>
            <c:numRef>
              <c:f>Grafikon!$B$62:$B$65</c:f>
              <c:numCache>
                <c:formatCode>#,##0.00_ ;[Red]\-#,##0.00\ </c:formatCode>
                <c:ptCount val="4"/>
                <c:pt idx="0">
                  <c:v>102.31</c:v>
                </c:pt>
                <c:pt idx="1">
                  <c:v>102.66</c:v>
                </c:pt>
                <c:pt idx="2">
                  <c:v>105.15</c:v>
                </c:pt>
                <c:pt idx="3">
                  <c:v>104.59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cone"/>
        <c:axId val="246204416"/>
        <c:axId val="127983616"/>
        <c:axId val="0"/>
      </c:bar3DChart>
      <c:catAx>
        <c:axId val="246204416"/>
        <c:scaling>
          <c:orientation val="minMax"/>
        </c:scaling>
        <c:delete val="1"/>
        <c:axPos val="b"/>
        <c:majorTickMark val="out"/>
        <c:minorTickMark val="none"/>
        <c:tickLblPos val="nextTo"/>
        <c:crossAx val="127983616"/>
        <c:crosses val="autoZero"/>
        <c:auto val="1"/>
        <c:lblAlgn val="ctr"/>
        <c:lblOffset val="100"/>
        <c:noMultiLvlLbl val="0"/>
      </c:catAx>
      <c:valAx>
        <c:axId val="127983616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#,##0.00_ ;[Red]\-#,##0.00\ 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solidFill>
                  <a:schemeClr val="tx2">
                    <a:lumMod val="75000"/>
                  </a:schemeClr>
                </a:solidFill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sr-Latn-RS"/>
          </a:p>
        </c:txPr>
        <c:crossAx val="246204416"/>
        <c:crosses val="autoZero"/>
        <c:crossBetween val="between"/>
        <c:majorUnit val="1"/>
        <c:minorUnit val="0.1"/>
      </c:valAx>
    </c:plotArea>
    <c:legend>
      <c:legendPos val="b"/>
      <c:layout>
        <c:manualLayout>
          <c:xMode val="edge"/>
          <c:yMode val="edge"/>
          <c:x val="0.19215661973623721"/>
          <c:y val="0.88621031980909259"/>
          <c:w val="0.63039041885680458"/>
          <c:h val="8.2684770105324004E-2"/>
        </c:manualLayout>
      </c:layout>
      <c:overlay val="0"/>
      <c:txPr>
        <a:bodyPr/>
        <a:lstStyle/>
        <a:p>
          <a:pPr rtl="0">
            <a:defRPr sz="900" b="1" baseline="0">
              <a:solidFill>
                <a:schemeClr val="tx2">
                  <a:lumMod val="75000"/>
                </a:schemeClr>
              </a:solidFill>
              <a:latin typeface="Arial" pitchFamily="34" charset="0"/>
              <a:cs typeface="Arial" pitchFamily="34" charset="0"/>
            </a:defRPr>
          </a:pPr>
          <a:endParaRPr lang="sr-Latn-RS"/>
        </a:p>
      </c:txPr>
    </c:legend>
    <c:plotVisOnly val="1"/>
    <c:dispBlanksAs val="gap"/>
    <c:showDLblsOverMax val="0"/>
  </c:chart>
  <c:spPr>
    <a:ln w="9525"/>
    <a:effectLst>
      <a:outerShdw blurRad="50800" dist="50800" dir="5400000" algn="ctr" rotWithShape="0">
        <a:schemeClr val="tx2">
          <a:lumMod val="75000"/>
        </a:schemeClr>
      </a:outerShdw>
    </a:effectLst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556210865798637"/>
          <c:y val="5.5555555555555552E-2"/>
          <c:w val="0.8045072993326815"/>
          <c:h val="0.8330941965587634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Sheet2!$A$2</c:f>
              <c:strCache>
                <c:ptCount val="1"/>
                <c:pt idx="0">
                  <c:v>Prosječna mjesečna neto plaća po zaposlenom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</c:spPr>
          </c:dPt>
          <c:dPt>
            <c:idx val="1"/>
            <c:invertIfNegative val="0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</c:spPr>
          </c:dPt>
          <c:dPt>
            <c:idx val="3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</c:spPr>
          </c:dPt>
          <c:cat>
            <c:strRef>
              <c:f>Sheet2!$B$1:$E$1</c:f>
              <c:strCache>
                <c:ptCount val="4"/>
                <c:pt idx="0">
                  <c:v>VUP Pula</c:v>
                </c:pt>
                <c:pt idx="1">
                  <c:v>VUP Slavonski B.</c:v>
                </c:pt>
                <c:pt idx="2">
                  <c:v>VUP Zadar</c:v>
                </c:pt>
                <c:pt idx="3">
                  <c:v>RH</c:v>
                </c:pt>
              </c:strCache>
            </c:strRef>
          </c:cat>
          <c:val>
            <c:numRef>
              <c:f>Sheet2!$B$2:$E$2</c:f>
              <c:numCache>
                <c:formatCode>#,##0</c:formatCode>
                <c:ptCount val="4"/>
                <c:pt idx="0">
                  <c:v>5010</c:v>
                </c:pt>
                <c:pt idx="1">
                  <c:v>4628</c:v>
                </c:pt>
                <c:pt idx="2">
                  <c:v>4853</c:v>
                </c:pt>
                <c:pt idx="3">
                  <c:v>5019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4573952"/>
        <c:axId val="127991104"/>
      </c:barChart>
      <c:catAx>
        <c:axId val="264573952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900" b="1">
                <a:solidFill>
                  <a:schemeClr val="accent1">
                    <a:lumMod val="50000"/>
                  </a:schemeClr>
                </a:solidFill>
              </a:defRPr>
            </a:pPr>
            <a:endParaRPr lang="sr-Latn-RS"/>
          </a:p>
        </c:txPr>
        <c:crossAx val="127991104"/>
        <c:crosses val="autoZero"/>
        <c:auto val="1"/>
        <c:lblAlgn val="ctr"/>
        <c:lblOffset val="100"/>
        <c:noMultiLvlLbl val="0"/>
      </c:catAx>
      <c:valAx>
        <c:axId val="127991104"/>
        <c:scaling>
          <c:orientation val="minMax"/>
        </c:scaling>
        <c:delete val="0"/>
        <c:axPos val="b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solidFill>
                  <a:schemeClr val="accent1">
                    <a:lumMod val="50000"/>
                  </a:schemeClr>
                </a:solidFill>
              </a:defRPr>
            </a:pPr>
            <a:endParaRPr lang="sr-Latn-RS"/>
          </a:p>
        </c:txPr>
        <c:crossAx val="26457395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3F8E1-80AF-431F-86F9-09775DB67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1866</Words>
  <Characters>10637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2015-09-11T12:33:00Z</cp:lastPrinted>
  <dcterms:created xsi:type="dcterms:W3CDTF">2017-05-08T09:53:00Z</dcterms:created>
  <dcterms:modified xsi:type="dcterms:W3CDTF">2017-05-08T09:58:00Z</dcterms:modified>
</cp:coreProperties>
</file>