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6B" w:rsidRPr="00D70E6B" w:rsidRDefault="00831FD6" w:rsidP="009D096D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17365D"/>
          <w:sz w:val="21"/>
          <w:szCs w:val="21"/>
          <w:lang w:eastAsia="hr-HR"/>
        </w:rPr>
      </w:pPr>
      <w:bookmarkStart w:id="0" w:name="_Toc450077386"/>
      <w:bookmarkStart w:id="1" w:name="_Toc487723498"/>
      <w:r w:rsidRPr="00831FD6">
        <w:rPr>
          <w:rFonts w:ascii="Arial" w:eastAsia="Times New Roman" w:hAnsi="Arial" w:cs="Times New Roman"/>
          <w:b/>
          <w:color w:val="17365D"/>
          <w:sz w:val="21"/>
          <w:szCs w:val="21"/>
        </w:rPr>
        <w:t>PODUZETNICI U 21 ŽUPANIJSKOM SREDIŠTU</w:t>
      </w:r>
      <w:r>
        <w:rPr>
          <w:rFonts w:ascii="Arial" w:eastAsia="Times New Roman" w:hAnsi="Arial" w:cs="Times New Roman"/>
          <w:b/>
          <w:color w:val="17365D"/>
          <w:sz w:val="21"/>
          <w:szCs w:val="21"/>
        </w:rPr>
        <w:t xml:space="preserve"> OSTVARILI UDIO OD </w:t>
      </w:r>
      <w:r w:rsidR="00AE3B26" w:rsidRPr="00AE3B26">
        <w:rPr>
          <w:rFonts w:ascii="Arial" w:eastAsia="Times New Roman" w:hAnsi="Arial" w:cs="Times New Roman"/>
          <w:b/>
          <w:color w:val="17365D"/>
          <w:sz w:val="21"/>
          <w:szCs w:val="21"/>
        </w:rPr>
        <w:t>7</w:t>
      </w:r>
      <w:r w:rsidR="00AE3B26">
        <w:rPr>
          <w:rFonts w:ascii="Arial" w:eastAsia="Times New Roman" w:hAnsi="Arial" w:cs="Times New Roman"/>
          <w:b/>
          <w:color w:val="17365D"/>
          <w:sz w:val="21"/>
          <w:szCs w:val="21"/>
        </w:rPr>
        <w:t xml:space="preserve">4 </w:t>
      </w:r>
      <w:r w:rsidR="00AE3B26" w:rsidRPr="00AE3B26">
        <w:rPr>
          <w:rFonts w:ascii="Arial" w:eastAsia="Times New Roman" w:hAnsi="Arial" w:cs="Times New Roman"/>
          <w:b/>
          <w:color w:val="17365D"/>
          <w:sz w:val="21"/>
          <w:szCs w:val="21"/>
        </w:rPr>
        <w:t xml:space="preserve">% </w:t>
      </w:r>
      <w:r>
        <w:rPr>
          <w:rFonts w:ascii="Arial" w:eastAsia="Times New Roman" w:hAnsi="Arial" w:cs="Times New Roman"/>
          <w:b/>
          <w:color w:val="17365D"/>
          <w:sz w:val="21"/>
          <w:szCs w:val="21"/>
        </w:rPr>
        <w:t xml:space="preserve">U </w:t>
      </w:r>
      <w:r w:rsidR="00AE3B26">
        <w:rPr>
          <w:rFonts w:ascii="Arial" w:eastAsia="Times New Roman" w:hAnsi="Arial" w:cs="Times New Roman"/>
          <w:b/>
          <w:color w:val="17365D"/>
          <w:sz w:val="21"/>
          <w:szCs w:val="21"/>
        </w:rPr>
        <w:t xml:space="preserve">NETO DOBITI I 71 % </w:t>
      </w:r>
      <w:r>
        <w:rPr>
          <w:rFonts w:ascii="Arial" w:eastAsia="Times New Roman" w:hAnsi="Arial" w:cs="Times New Roman"/>
          <w:b/>
          <w:color w:val="17365D"/>
          <w:sz w:val="21"/>
          <w:szCs w:val="21"/>
        </w:rPr>
        <w:t xml:space="preserve">U </w:t>
      </w:r>
      <w:r w:rsidR="00AE3B26" w:rsidRPr="00AE3B26">
        <w:rPr>
          <w:rFonts w:ascii="Arial" w:eastAsia="Times New Roman" w:hAnsi="Arial" w:cs="Times New Roman"/>
          <w:b/>
          <w:color w:val="17365D"/>
          <w:sz w:val="21"/>
          <w:szCs w:val="21"/>
        </w:rPr>
        <w:t>UKUPNI</w:t>
      </w:r>
      <w:r>
        <w:rPr>
          <w:rFonts w:ascii="Arial" w:eastAsia="Times New Roman" w:hAnsi="Arial" w:cs="Times New Roman"/>
          <w:b/>
          <w:color w:val="17365D"/>
          <w:sz w:val="21"/>
          <w:szCs w:val="21"/>
        </w:rPr>
        <w:t>M</w:t>
      </w:r>
      <w:r w:rsidR="00AE3B26" w:rsidRPr="00AE3B26">
        <w:rPr>
          <w:rFonts w:ascii="Arial" w:eastAsia="Times New Roman" w:hAnsi="Arial" w:cs="Times New Roman"/>
          <w:b/>
          <w:color w:val="17365D"/>
          <w:sz w:val="21"/>
          <w:szCs w:val="21"/>
        </w:rPr>
        <w:t xml:space="preserve"> PRIHOD</w:t>
      </w:r>
      <w:r>
        <w:rPr>
          <w:rFonts w:ascii="Arial" w:eastAsia="Times New Roman" w:hAnsi="Arial" w:cs="Times New Roman"/>
          <w:b/>
          <w:color w:val="17365D"/>
          <w:sz w:val="21"/>
          <w:szCs w:val="21"/>
        </w:rPr>
        <w:t>IM</w:t>
      </w:r>
      <w:r w:rsidR="00AE3B26" w:rsidRPr="00AE3B26">
        <w:rPr>
          <w:rFonts w:ascii="Arial" w:eastAsia="Times New Roman" w:hAnsi="Arial" w:cs="Times New Roman"/>
          <w:b/>
          <w:color w:val="17365D"/>
          <w:sz w:val="21"/>
          <w:szCs w:val="21"/>
        </w:rPr>
        <w:t xml:space="preserve">A </w:t>
      </w:r>
      <w:r>
        <w:rPr>
          <w:rFonts w:ascii="Arial" w:eastAsia="Times New Roman" w:hAnsi="Arial" w:cs="Times New Roman"/>
          <w:b/>
          <w:color w:val="17365D"/>
          <w:sz w:val="21"/>
          <w:szCs w:val="21"/>
        </w:rPr>
        <w:t>PODUZETNIKA RH U 2016. GODINI</w:t>
      </w:r>
      <w:bookmarkEnd w:id="0"/>
      <w:bookmarkEnd w:id="1"/>
    </w:p>
    <w:p w:rsidR="00D70E6B" w:rsidRDefault="00D70E6B" w:rsidP="009D096D">
      <w:pPr>
        <w:widowControl w:val="0"/>
        <w:tabs>
          <w:tab w:val="left" w:pos="0"/>
        </w:tabs>
        <w:spacing w:before="120" w:after="0"/>
        <w:jc w:val="both"/>
        <w:rPr>
          <w:rFonts w:ascii="Arial" w:eastAsia="Times New Roman" w:hAnsi="Arial" w:cs="Arial"/>
          <w:color w:val="244061"/>
          <w:sz w:val="20"/>
          <w:szCs w:val="20"/>
          <w:lang w:eastAsia="hr-HR"/>
        </w:rPr>
      </w:pPr>
      <w:r w:rsidRPr="00D70E6B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Od ukupno 633,1 milijardi kuna prihoda </w:t>
      </w:r>
      <w:r w:rsidR="00AE3B26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poduzetnika </w:t>
      </w:r>
      <w:r w:rsidRPr="00D70E6B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u 2016. godini, 449,7 milijardi kuna prihoda ili 71</w:t>
      </w:r>
      <w:r w:rsidR="00AE3B26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</w:t>
      </w:r>
      <w:r w:rsidRPr="00D70E6B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% ostvarili su poduzetnici koji su registrirani u jednom od gradova </w:t>
      </w:r>
      <w:r w:rsidR="009D096D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-</w:t>
      </w:r>
      <w:r w:rsidRPr="00D70E6B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sjedišta županija. </w:t>
      </w:r>
      <w:r w:rsidR="00AE3B26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Još je veći njihov udio</w:t>
      </w:r>
      <w:r w:rsidR="009B28CE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(74</w:t>
      </w:r>
      <w:r w:rsidR="00AE3B26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%) u ostvarenoj neto dobiti koja iznosi 17,9 milijardi kuna od ukupno 24,0 milijarde</w:t>
      </w:r>
      <w:r w:rsidR="009D096D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kuna</w:t>
      </w:r>
      <w:r w:rsidR="00AE3B26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.</w:t>
      </w:r>
    </w:p>
    <w:p w:rsidR="00917AE9" w:rsidRDefault="00AE3B26" w:rsidP="00831FD6">
      <w:pPr>
        <w:spacing w:before="120" w:after="0"/>
        <w:jc w:val="both"/>
        <w:rPr>
          <w:rFonts w:ascii="Arial" w:eastAsia="Calibri" w:hAnsi="Arial" w:cs="Arial"/>
          <w:color w:val="244061" w:themeColor="accent1" w:themeShade="80"/>
          <w:sz w:val="20"/>
          <w:szCs w:val="20"/>
        </w:rPr>
      </w:pPr>
      <w:r w:rsidRPr="00AE3B26">
        <w:rPr>
          <w:rFonts w:ascii="Arial" w:eastAsia="Calibri" w:hAnsi="Arial" w:cs="Arial"/>
          <w:color w:val="244061" w:themeColor="accent1" w:themeShade="80"/>
          <w:sz w:val="20"/>
          <w:szCs w:val="20"/>
        </w:rPr>
        <w:t>Broj poduzetnika, broj zaposlenih</w:t>
      </w:r>
      <w:r w:rsidR="009D096D">
        <w:rPr>
          <w:rFonts w:ascii="Arial" w:eastAsia="Calibri" w:hAnsi="Arial" w:cs="Arial"/>
          <w:color w:val="244061" w:themeColor="accent1" w:themeShade="80"/>
          <w:sz w:val="20"/>
          <w:szCs w:val="20"/>
        </w:rPr>
        <w:t>,</w:t>
      </w:r>
      <w:r w:rsidRPr="00AE3B26">
        <w:rPr>
          <w:rFonts w:ascii="Arial" w:eastAsia="Calibri" w:hAnsi="Arial" w:cs="Arial"/>
          <w:color w:val="244061" w:themeColor="accent1" w:themeShade="80"/>
          <w:sz w:val="20"/>
          <w:szCs w:val="20"/>
        </w:rPr>
        <w:t xml:space="preserve"> ukupan prihod </w:t>
      </w:r>
      <w:r w:rsidR="009D096D">
        <w:rPr>
          <w:rFonts w:ascii="Arial" w:eastAsia="Calibri" w:hAnsi="Arial" w:cs="Arial"/>
          <w:color w:val="244061" w:themeColor="accent1" w:themeShade="80"/>
          <w:sz w:val="20"/>
          <w:szCs w:val="20"/>
        </w:rPr>
        <w:t xml:space="preserve">te neto dobit </w:t>
      </w:r>
      <w:r w:rsidRPr="00AE3B26">
        <w:rPr>
          <w:rFonts w:ascii="Arial" w:eastAsia="Calibri" w:hAnsi="Arial" w:cs="Arial"/>
          <w:color w:val="244061" w:themeColor="accent1" w:themeShade="80"/>
          <w:sz w:val="20"/>
          <w:szCs w:val="20"/>
        </w:rPr>
        <w:t xml:space="preserve">promatrano po gradovima – sjedištima županija, očekivano je najveći u Gradu Zagrebu koji je ujedno i županija. </w:t>
      </w:r>
      <w:r w:rsidR="00917AE9" w:rsidRPr="00917AE9">
        <w:rPr>
          <w:rFonts w:ascii="Arial" w:eastAsia="Calibri" w:hAnsi="Arial" w:cs="Arial"/>
          <w:color w:val="244061" w:themeColor="accent1" w:themeShade="80"/>
          <w:sz w:val="20"/>
          <w:szCs w:val="20"/>
        </w:rPr>
        <w:t>Iza poduzetnika Zagreba po brojnosti poduzetnika, zaposlenih i ukupnom prihodu na drugom je mjestu Split, dok je po neto dobiti na petnaestom mjestu, u odnosu na 2015. godinu kada je po neto dobiti bio rangiran na dvanaestom mjestu. Poduzetnici Rijeke rangirani su na trećem mjestu po broju poduzetnika i broju zaposlenih te po ukupnom prihodu, a po neto dobiti su na drugom mjestu u odnosu na treće, na kojem su bili u 2015. godini.</w:t>
      </w:r>
    </w:p>
    <w:p w:rsidR="004B5080" w:rsidRPr="004B5080" w:rsidRDefault="00AE3B26" w:rsidP="009D096D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4B508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Rangiramo li županijska središta prema sva četiri kriterija, Grad Zagreb je prvi (zbroj rangova 4), poduzetnici Rijeke su drugi (zbroj rangova 1</w:t>
      </w:r>
      <w:r w:rsidR="00611C87" w:rsidRPr="004B508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</w:t>
      </w:r>
      <w:r w:rsidRPr="004B508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), Splita treći (zbroj rangova </w:t>
      </w:r>
      <w:r w:rsidR="00611C87" w:rsidRPr="004B508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21</w:t>
      </w:r>
      <w:r w:rsidRPr="004B508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</w:t>
      </w:r>
      <w:r w:rsidR="004B5080" w:rsidRPr="004B508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 a p</w:t>
      </w:r>
      <w:r w:rsidRPr="004B508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oduzetnici Velike Gorice </w:t>
      </w:r>
      <w:r w:rsidR="004B5080" w:rsidRPr="004B508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su četvrt</w:t>
      </w:r>
      <w:r w:rsidR="009B28C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</w:t>
      </w:r>
      <w:r w:rsidR="004B5080" w:rsidRPr="004B508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4B508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(zbroj rangova </w:t>
      </w:r>
      <w:r w:rsidR="004B5080" w:rsidRPr="004B508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</w:t>
      </w:r>
      <w:r w:rsidRPr="004B508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2)</w:t>
      </w:r>
      <w:r w:rsidR="009B28C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4B5080" w:rsidRPr="004B508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 obzirom da su na trećem mjestu po visini ostvarene neto dobiti.</w:t>
      </w:r>
      <w:r w:rsidR="009B28C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Gospić (544 rang) i Šibenik (555 rang), najslabije su rangirani u usporedbi s drugim županijskim središtima i poduzetnicima na razini gradova i općina u RH.</w:t>
      </w:r>
    </w:p>
    <w:p w:rsidR="00D70E6B" w:rsidRPr="00D70E6B" w:rsidRDefault="00D70E6B" w:rsidP="00DB53EB">
      <w:pPr>
        <w:widowControl w:val="0"/>
        <w:tabs>
          <w:tab w:val="left" w:pos="1134"/>
          <w:tab w:val="right" w:pos="9639"/>
        </w:tabs>
        <w:spacing w:before="180" w:after="60" w:line="240" w:lineRule="auto"/>
        <w:ind w:left="1134" w:hanging="1134"/>
        <w:rPr>
          <w:rFonts w:ascii="Arial" w:eastAsia="Times New Roman" w:hAnsi="Arial" w:cs="Arial"/>
          <w:color w:val="17365D"/>
          <w:sz w:val="18"/>
          <w:szCs w:val="18"/>
          <w:lang w:eastAsia="hr-HR"/>
        </w:rPr>
      </w:pPr>
      <w:r w:rsidRPr="00D70E6B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 xml:space="preserve">Tablica </w:t>
      </w:r>
      <w:r w:rsidR="00DB53EB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1</w:t>
      </w:r>
      <w:r w:rsidRPr="00D70E6B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.</w:t>
      </w:r>
      <w:r w:rsidRPr="00D70E6B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ab/>
        <w:t xml:space="preserve">Rang prema </w:t>
      </w:r>
      <w:r w:rsidRPr="00D70E6B">
        <w:rPr>
          <w:rFonts w:ascii="Arial" w:eastAsia="Times New Roman" w:hAnsi="Arial" w:cs="Times New Roman"/>
          <w:b/>
          <w:color w:val="17365D"/>
          <w:sz w:val="18"/>
          <w:szCs w:val="18"/>
          <w:u w:val="single"/>
          <w:lang w:eastAsia="hr-HR"/>
        </w:rPr>
        <w:t>ukupnom prihodu</w:t>
      </w:r>
      <w:r w:rsidRPr="00D70E6B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 xml:space="preserve"> poduzetnika - broj poduzetnika, zaposlenih</w:t>
      </w:r>
      <w:r w:rsidR="00DB53EB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,</w:t>
      </w:r>
      <w:r w:rsidRPr="00D70E6B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 xml:space="preserve"> ukupan prihod </w:t>
      </w:r>
      <w:r w:rsidR="00DB53EB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 xml:space="preserve">i neto dobit/gubitak </w:t>
      </w:r>
      <w:r w:rsidRPr="00D70E6B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poduzetnika u gradovima – županijskim središtima, u 2016. godini</w:t>
      </w:r>
      <w:r w:rsidRPr="00D70E6B">
        <w:rPr>
          <w:rFonts w:ascii="Arial" w:eastAsia="Times New Roman" w:hAnsi="Arial" w:cs="Arial"/>
          <w:color w:val="17365D"/>
          <w:sz w:val="18"/>
          <w:szCs w:val="18"/>
          <w:lang w:eastAsia="hr-HR"/>
        </w:rPr>
        <w:t xml:space="preserve"> </w:t>
      </w:r>
      <w:r w:rsidRPr="00D70E6B">
        <w:rPr>
          <w:rFonts w:ascii="Arial" w:eastAsia="Times New Roman" w:hAnsi="Arial" w:cs="Arial"/>
          <w:color w:val="17365D"/>
          <w:sz w:val="16"/>
          <w:szCs w:val="16"/>
          <w:lang w:eastAsia="hr-HR"/>
        </w:rPr>
        <w:tab/>
        <w:t>(iznosi: u tisuć</w:t>
      </w:r>
      <w:r w:rsidR="00DB53EB">
        <w:rPr>
          <w:rFonts w:ascii="Arial" w:eastAsia="Times New Roman" w:hAnsi="Arial" w:cs="Arial"/>
          <w:color w:val="17365D"/>
          <w:sz w:val="16"/>
          <w:szCs w:val="16"/>
          <w:lang w:eastAsia="hr-HR"/>
        </w:rPr>
        <w:t>.</w:t>
      </w:r>
      <w:r w:rsidRPr="00D70E6B">
        <w:rPr>
          <w:rFonts w:ascii="Arial" w:eastAsia="Times New Roman" w:hAnsi="Arial" w:cs="Arial"/>
          <w:color w:val="17365D"/>
          <w:sz w:val="16"/>
          <w:szCs w:val="16"/>
          <w:lang w:eastAsia="hr-HR"/>
        </w:rPr>
        <w:t xml:space="preserve"> kuna)</w:t>
      </w:r>
    </w:p>
    <w:tbl>
      <w:tblPr>
        <w:tblW w:w="9857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2"/>
        <w:gridCol w:w="905"/>
        <w:gridCol w:w="736"/>
        <w:gridCol w:w="908"/>
        <w:gridCol w:w="1020"/>
        <w:gridCol w:w="737"/>
        <w:gridCol w:w="1191"/>
        <w:gridCol w:w="737"/>
        <w:gridCol w:w="1134"/>
        <w:gridCol w:w="737"/>
      </w:tblGrid>
      <w:tr w:rsidR="00D70E6B" w:rsidRPr="00D70E6B" w:rsidTr="00D70E6B">
        <w:trPr>
          <w:trHeight w:val="283"/>
          <w:tblHeader/>
          <w:jc w:val="center"/>
        </w:trPr>
        <w:tc>
          <w:tcPr>
            <w:tcW w:w="1752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D70E6B" w:rsidRPr="00D70E6B" w:rsidRDefault="00D70E6B" w:rsidP="00D70E6B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Naziv grada/općine</w:t>
            </w:r>
          </w:p>
        </w:tc>
        <w:tc>
          <w:tcPr>
            <w:tcW w:w="2549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D70E6B" w:rsidRPr="00D70E6B" w:rsidRDefault="00D70E6B" w:rsidP="00D70E6B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poduzetnika</w:t>
            </w:r>
          </w:p>
        </w:tc>
        <w:tc>
          <w:tcPr>
            <w:tcW w:w="1757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D70E6B" w:rsidRPr="00D70E6B" w:rsidRDefault="00D70E6B" w:rsidP="00D70E6B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1928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D70E6B" w:rsidRPr="00D70E6B" w:rsidRDefault="00D70E6B" w:rsidP="00D70E6B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Ukupni prihod</w:t>
            </w:r>
          </w:p>
        </w:tc>
        <w:tc>
          <w:tcPr>
            <w:tcW w:w="1871" w:type="dxa"/>
            <w:gridSpan w:val="2"/>
            <w:tcBorders>
              <w:top w:val="single" w:sz="4" w:space="0" w:color="FFFFFF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Neto dobit/gubitak</w:t>
            </w:r>
          </w:p>
        </w:tc>
      </w:tr>
      <w:tr w:rsidR="00D70E6B" w:rsidRPr="00D70E6B" w:rsidTr="00D70E6B">
        <w:trPr>
          <w:trHeight w:val="310"/>
          <w:tblHeader/>
          <w:jc w:val="center"/>
        </w:trPr>
        <w:tc>
          <w:tcPr>
            <w:tcW w:w="1752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vAlign w:val="center"/>
            <w:hideMark/>
          </w:tcPr>
          <w:p w:rsidR="00D70E6B" w:rsidRPr="00D70E6B" w:rsidRDefault="00D70E6B" w:rsidP="00D70E6B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D70E6B" w:rsidRPr="00D70E6B" w:rsidRDefault="00D70E6B" w:rsidP="00D70E6B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Broj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D70E6B" w:rsidRPr="00D70E6B" w:rsidRDefault="00D70E6B" w:rsidP="00D70E6B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  <w:t>Rang na razini RH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D70E6B" w:rsidRPr="00D70E6B" w:rsidRDefault="00D70E6B" w:rsidP="00D70E6B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  <w:t>Rang po sjediš. žup.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D70E6B" w:rsidRPr="00D70E6B" w:rsidRDefault="00D70E6B" w:rsidP="00D70E6B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Broj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D70E6B" w:rsidRPr="00D70E6B" w:rsidRDefault="00D70E6B" w:rsidP="00D70E6B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  <w:t>Rang na razini RH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D70E6B" w:rsidRPr="00D70E6B" w:rsidRDefault="00D70E6B" w:rsidP="00D70E6B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  <w:t>I</w:t>
            </w:r>
            <w:r w:rsidRPr="00D70E6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znos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D70E6B" w:rsidRPr="00D70E6B" w:rsidRDefault="00D70E6B" w:rsidP="00D70E6B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  <w:t>Rang na razini RH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hr-HR"/>
              </w:rPr>
              <w:t>Iznos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ind w:left="29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  <w:t>Rang na razini</w:t>
            </w:r>
            <w:r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  <w:t xml:space="preserve"> </w:t>
            </w:r>
            <w:r w:rsidRPr="00D70E6B"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  <w:t>RH</w:t>
            </w:r>
          </w:p>
        </w:tc>
      </w:tr>
      <w:tr w:rsidR="00D70E6B" w:rsidRPr="00D70E6B" w:rsidTr="00D70E6B">
        <w:trPr>
          <w:trHeight w:val="255"/>
          <w:jc w:val="center"/>
        </w:trPr>
        <w:tc>
          <w:tcPr>
            <w:tcW w:w="1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Grad Zagreb</w:t>
            </w:r>
          </w:p>
        </w:tc>
        <w:tc>
          <w:tcPr>
            <w:tcW w:w="9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38.127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70E6B" w:rsidRPr="00D70E6B" w:rsidRDefault="00D70E6B" w:rsidP="00DB53EB">
            <w:pPr>
              <w:spacing w:before="20" w:after="20" w:line="240" w:lineRule="auto"/>
              <w:ind w:right="108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324.866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ind w:right="11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311.878.344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808080" w:themeColor="background1" w:themeShade="80"/>
            </w:tcBorders>
            <w:vAlign w:val="center"/>
          </w:tcPr>
          <w:p w:rsidR="00D70E6B" w:rsidRPr="00D70E6B" w:rsidRDefault="00D70E6B" w:rsidP="00D70E6B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70E6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13.720.454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vAlign w:val="center"/>
          </w:tcPr>
          <w:p w:rsidR="00D70E6B" w:rsidRPr="00DB53EB" w:rsidRDefault="00D70E6B" w:rsidP="00D70E6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 w:themeColor="accent1" w:themeShade="80"/>
                <w:sz w:val="16"/>
                <w:szCs w:val="16"/>
              </w:rPr>
            </w:pPr>
            <w:r w:rsidRPr="00DB53EB">
              <w:rPr>
                <w:rFonts w:ascii="Arial" w:hAnsi="Arial" w:cs="Arial"/>
                <w:b/>
                <w:color w:val="244061" w:themeColor="accent1" w:themeShade="80"/>
                <w:sz w:val="16"/>
                <w:szCs w:val="16"/>
              </w:rPr>
              <w:t>1</w:t>
            </w:r>
          </w:p>
        </w:tc>
      </w:tr>
      <w:tr w:rsidR="00D70E6B" w:rsidRPr="00D70E6B" w:rsidTr="00D70E6B">
        <w:trPr>
          <w:trHeight w:val="255"/>
          <w:jc w:val="center"/>
        </w:trPr>
        <w:tc>
          <w:tcPr>
            <w:tcW w:w="1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Split</w:t>
            </w:r>
          </w:p>
        </w:tc>
        <w:tc>
          <w:tcPr>
            <w:tcW w:w="9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6.676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B53EB">
            <w:pPr>
              <w:spacing w:before="20" w:after="20" w:line="240" w:lineRule="auto"/>
              <w:ind w:right="108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36.881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1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21.724.674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 w:themeColor="background1" w:themeShade="80"/>
            </w:tcBorders>
            <w:shd w:val="clear" w:color="000000" w:fill="FFFFFF"/>
            <w:vAlign w:val="center"/>
          </w:tcPr>
          <w:p w:rsidR="00D70E6B" w:rsidRPr="00D70E6B" w:rsidRDefault="00D70E6B" w:rsidP="00D70E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199.504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D70E6B" w:rsidRPr="00DB53EB" w:rsidRDefault="00D70E6B" w:rsidP="00D70E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</w:pPr>
            <w:r w:rsidRPr="00DB53EB"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  <w:t>15</w:t>
            </w:r>
          </w:p>
        </w:tc>
      </w:tr>
      <w:tr w:rsidR="00D70E6B" w:rsidRPr="00D70E6B" w:rsidTr="00D70E6B">
        <w:trPr>
          <w:trHeight w:val="255"/>
          <w:jc w:val="center"/>
        </w:trPr>
        <w:tc>
          <w:tcPr>
            <w:tcW w:w="1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Rijeka</w:t>
            </w:r>
          </w:p>
        </w:tc>
        <w:tc>
          <w:tcPr>
            <w:tcW w:w="9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4.335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9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B53EB">
            <w:pPr>
              <w:spacing w:before="20" w:after="20" w:line="240" w:lineRule="auto"/>
              <w:ind w:right="108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29.765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18.531.414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 w:themeColor="background1" w:themeShade="80"/>
            </w:tcBorders>
            <w:shd w:val="clear" w:color="000000" w:fill="FFFFFF"/>
            <w:vAlign w:val="center"/>
          </w:tcPr>
          <w:p w:rsidR="00D70E6B" w:rsidRPr="00D70E6B" w:rsidRDefault="00D70E6B" w:rsidP="00D70E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772.162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D70E6B" w:rsidRPr="00DB53EB" w:rsidRDefault="00D70E6B" w:rsidP="00D70E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</w:pPr>
            <w:r w:rsidRPr="00DB53EB"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  <w:t>2</w:t>
            </w:r>
          </w:p>
        </w:tc>
      </w:tr>
      <w:tr w:rsidR="00D70E6B" w:rsidRPr="00D70E6B" w:rsidTr="00D70E6B">
        <w:trPr>
          <w:trHeight w:val="255"/>
          <w:jc w:val="center"/>
        </w:trPr>
        <w:tc>
          <w:tcPr>
            <w:tcW w:w="1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Osijek</w:t>
            </w:r>
          </w:p>
        </w:tc>
        <w:tc>
          <w:tcPr>
            <w:tcW w:w="9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2.591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B53EB">
            <w:pPr>
              <w:spacing w:before="20" w:after="20" w:line="240" w:lineRule="auto"/>
              <w:ind w:right="108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20.692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1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13.752.729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 w:themeColor="background1" w:themeShade="80"/>
            </w:tcBorders>
            <w:shd w:val="clear" w:color="000000" w:fill="FFFFFF"/>
            <w:vAlign w:val="center"/>
          </w:tcPr>
          <w:p w:rsidR="00D70E6B" w:rsidRPr="00D70E6B" w:rsidRDefault="00D70E6B" w:rsidP="00D70E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169.003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D70E6B" w:rsidRPr="00DB53EB" w:rsidRDefault="00D70E6B" w:rsidP="00D70E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</w:pPr>
            <w:r w:rsidRPr="00DB53EB"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  <w:t>16</w:t>
            </w:r>
          </w:p>
        </w:tc>
      </w:tr>
      <w:tr w:rsidR="00D70E6B" w:rsidRPr="00D70E6B" w:rsidTr="00D70E6B">
        <w:trPr>
          <w:trHeight w:val="255"/>
          <w:jc w:val="center"/>
        </w:trPr>
        <w:tc>
          <w:tcPr>
            <w:tcW w:w="1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Varaždin</w:t>
            </w:r>
          </w:p>
        </w:tc>
        <w:tc>
          <w:tcPr>
            <w:tcW w:w="9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1.417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9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B53EB">
            <w:pPr>
              <w:spacing w:before="20" w:after="20" w:line="240" w:lineRule="auto"/>
              <w:ind w:right="108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10.218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11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12.851.949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 w:themeColor="background1" w:themeShade="80"/>
            </w:tcBorders>
            <w:shd w:val="clear" w:color="000000" w:fill="FFFFFF"/>
            <w:vAlign w:val="center"/>
          </w:tcPr>
          <w:p w:rsidR="00D70E6B" w:rsidRPr="00D70E6B" w:rsidRDefault="00D70E6B" w:rsidP="00D70E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220.962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D70E6B" w:rsidRPr="00DB53EB" w:rsidRDefault="00D70E6B" w:rsidP="00D70E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</w:pPr>
            <w:r w:rsidRPr="00DB53EB"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  <w:t>14</w:t>
            </w:r>
          </w:p>
        </w:tc>
      </w:tr>
      <w:tr w:rsidR="00D70E6B" w:rsidRPr="00D70E6B" w:rsidTr="00D70E6B">
        <w:trPr>
          <w:trHeight w:val="255"/>
          <w:jc w:val="center"/>
        </w:trPr>
        <w:tc>
          <w:tcPr>
            <w:tcW w:w="1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Velika Gorica</w:t>
            </w:r>
            <w:r w:rsidR="00AE3B26">
              <w:rPr>
                <w:rStyle w:val="FootnoteReference"/>
                <w:rFonts w:ascii="Arial" w:eastAsia="Times New Roman" w:hAnsi="Arial"/>
                <w:bCs/>
                <w:color w:val="003366"/>
                <w:sz w:val="18"/>
                <w:szCs w:val="18"/>
                <w:lang w:eastAsia="hr-HR"/>
              </w:rPr>
              <w:footnoteReference w:id="1"/>
            </w:r>
          </w:p>
        </w:tc>
        <w:tc>
          <w:tcPr>
            <w:tcW w:w="9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1.836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9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D70E6B" w:rsidRPr="00D70E6B" w:rsidRDefault="00D70E6B" w:rsidP="00DB53EB">
            <w:pPr>
              <w:spacing w:before="20" w:after="20" w:line="240" w:lineRule="auto"/>
              <w:ind w:right="108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19.422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1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12.462.903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70E6B" w:rsidRPr="00D70E6B" w:rsidRDefault="00D70E6B" w:rsidP="00D70E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587.233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:rsidR="00D70E6B" w:rsidRPr="00DB53EB" w:rsidRDefault="00D70E6B" w:rsidP="00D70E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 w:rsidRPr="00DB53EB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3</w:t>
            </w:r>
          </w:p>
        </w:tc>
      </w:tr>
      <w:tr w:rsidR="00D70E6B" w:rsidRPr="00D70E6B" w:rsidTr="00D70E6B">
        <w:trPr>
          <w:trHeight w:val="255"/>
          <w:jc w:val="center"/>
        </w:trPr>
        <w:tc>
          <w:tcPr>
            <w:tcW w:w="1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Zadar</w:t>
            </w:r>
          </w:p>
        </w:tc>
        <w:tc>
          <w:tcPr>
            <w:tcW w:w="9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2.286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9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B53EB">
            <w:pPr>
              <w:spacing w:before="20" w:after="20" w:line="240" w:lineRule="auto"/>
              <w:ind w:right="108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13.004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1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7.058.325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 w:themeColor="background1" w:themeShade="80"/>
            </w:tcBorders>
            <w:shd w:val="clear" w:color="000000" w:fill="FFFFFF"/>
            <w:vAlign w:val="center"/>
          </w:tcPr>
          <w:p w:rsidR="00D70E6B" w:rsidRPr="00D70E6B" w:rsidRDefault="00D70E6B" w:rsidP="00D70E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281.015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D70E6B" w:rsidRPr="00DB53EB" w:rsidRDefault="00D70E6B" w:rsidP="00D70E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 w:rsidRPr="00DB53EB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10</w:t>
            </w:r>
          </w:p>
        </w:tc>
      </w:tr>
      <w:tr w:rsidR="00D70E6B" w:rsidRPr="00D70E6B" w:rsidTr="00D70E6B">
        <w:trPr>
          <w:trHeight w:val="255"/>
          <w:jc w:val="center"/>
        </w:trPr>
        <w:tc>
          <w:tcPr>
            <w:tcW w:w="1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Karlovac</w:t>
            </w:r>
          </w:p>
        </w:tc>
        <w:tc>
          <w:tcPr>
            <w:tcW w:w="9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2.006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9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B53EB">
            <w:pPr>
              <w:spacing w:before="20" w:after="20" w:line="240" w:lineRule="auto"/>
              <w:ind w:right="108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11.021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11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6.393.870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 w:themeColor="background1" w:themeShade="80"/>
            </w:tcBorders>
            <w:shd w:val="clear" w:color="000000" w:fill="FFFFFF"/>
            <w:vAlign w:val="center"/>
          </w:tcPr>
          <w:p w:rsidR="00D70E6B" w:rsidRPr="00D70E6B" w:rsidRDefault="00D70E6B" w:rsidP="00D70E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582.045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D70E6B" w:rsidRPr="00DB53EB" w:rsidRDefault="00D70E6B" w:rsidP="00D70E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 w:rsidRPr="00DB53EB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4</w:t>
            </w:r>
          </w:p>
        </w:tc>
      </w:tr>
      <w:tr w:rsidR="00D70E6B" w:rsidRPr="00D70E6B" w:rsidTr="00D70E6B">
        <w:trPr>
          <w:trHeight w:val="255"/>
          <w:jc w:val="center"/>
        </w:trPr>
        <w:tc>
          <w:tcPr>
            <w:tcW w:w="1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Vukovar</w:t>
            </w:r>
          </w:p>
        </w:tc>
        <w:tc>
          <w:tcPr>
            <w:tcW w:w="9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1.227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9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D70E6B" w:rsidRPr="00D70E6B" w:rsidRDefault="00D70E6B" w:rsidP="00DB53EB">
            <w:pPr>
              <w:spacing w:before="20" w:after="20" w:line="240" w:lineRule="auto"/>
              <w:ind w:right="108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12.517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1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6.390.755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D70E6B" w:rsidRPr="00D70E6B" w:rsidRDefault="00D70E6B" w:rsidP="00D70E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402.300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D70E6B" w:rsidRPr="00DB53EB" w:rsidRDefault="00D70E6B" w:rsidP="00D70E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 w:rsidRPr="00DB53EB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7</w:t>
            </w:r>
          </w:p>
        </w:tc>
      </w:tr>
      <w:tr w:rsidR="00D70E6B" w:rsidRPr="00D70E6B" w:rsidTr="00D70E6B">
        <w:trPr>
          <w:trHeight w:val="255"/>
          <w:jc w:val="center"/>
        </w:trPr>
        <w:tc>
          <w:tcPr>
            <w:tcW w:w="1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Čakovec</w:t>
            </w:r>
          </w:p>
        </w:tc>
        <w:tc>
          <w:tcPr>
            <w:tcW w:w="9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1.069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14</w:t>
            </w:r>
          </w:p>
        </w:tc>
        <w:tc>
          <w:tcPr>
            <w:tcW w:w="9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B53EB">
            <w:pPr>
              <w:spacing w:before="20" w:after="20" w:line="240" w:lineRule="auto"/>
              <w:ind w:right="108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10.245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1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6.378.957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 w:themeColor="background1" w:themeShade="80"/>
            </w:tcBorders>
            <w:shd w:val="clear" w:color="000000" w:fill="FFFFFF"/>
            <w:vAlign w:val="center"/>
          </w:tcPr>
          <w:p w:rsidR="00D70E6B" w:rsidRPr="00D70E6B" w:rsidRDefault="00D70E6B" w:rsidP="00D70E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235.504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D70E6B" w:rsidRPr="00DB53EB" w:rsidRDefault="00D70E6B" w:rsidP="00D70E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 w:rsidRPr="00DB53EB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12</w:t>
            </w:r>
          </w:p>
        </w:tc>
      </w:tr>
      <w:tr w:rsidR="00D70E6B" w:rsidRPr="00D70E6B" w:rsidTr="00D70E6B">
        <w:trPr>
          <w:trHeight w:val="255"/>
          <w:jc w:val="center"/>
        </w:trPr>
        <w:tc>
          <w:tcPr>
            <w:tcW w:w="1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Dubrovnik</w:t>
            </w:r>
          </w:p>
        </w:tc>
        <w:tc>
          <w:tcPr>
            <w:tcW w:w="9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666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23</w:t>
            </w:r>
          </w:p>
        </w:tc>
        <w:tc>
          <w:tcPr>
            <w:tcW w:w="9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B53EB">
            <w:pPr>
              <w:spacing w:before="20" w:after="20" w:line="240" w:lineRule="auto"/>
              <w:ind w:right="108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8.722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13</w:t>
            </w:r>
          </w:p>
        </w:tc>
        <w:tc>
          <w:tcPr>
            <w:tcW w:w="11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5.361.902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13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 w:themeColor="background1" w:themeShade="80"/>
            </w:tcBorders>
            <w:shd w:val="clear" w:color="000000" w:fill="FFFFFF"/>
            <w:vAlign w:val="center"/>
          </w:tcPr>
          <w:p w:rsidR="00D70E6B" w:rsidRPr="00D70E6B" w:rsidRDefault="00D70E6B" w:rsidP="00D70E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149.817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D70E6B" w:rsidRPr="00DB53EB" w:rsidRDefault="00D70E6B" w:rsidP="00D70E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</w:pPr>
            <w:r w:rsidRPr="00DB53EB"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  <w:t>19</w:t>
            </w:r>
          </w:p>
        </w:tc>
      </w:tr>
      <w:tr w:rsidR="00D70E6B" w:rsidRPr="00D70E6B" w:rsidTr="00D70E6B">
        <w:trPr>
          <w:trHeight w:val="255"/>
          <w:jc w:val="center"/>
        </w:trPr>
        <w:tc>
          <w:tcPr>
            <w:tcW w:w="1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Koprivnica</w:t>
            </w:r>
          </w:p>
        </w:tc>
        <w:tc>
          <w:tcPr>
            <w:tcW w:w="9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454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33</w:t>
            </w:r>
          </w:p>
        </w:tc>
        <w:tc>
          <w:tcPr>
            <w:tcW w:w="9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16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B53EB">
            <w:pPr>
              <w:spacing w:before="20" w:after="20" w:line="240" w:lineRule="auto"/>
              <w:ind w:right="108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4.329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26</w:t>
            </w:r>
          </w:p>
        </w:tc>
        <w:tc>
          <w:tcPr>
            <w:tcW w:w="11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5.334.832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14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 w:themeColor="background1" w:themeShade="80"/>
            </w:tcBorders>
            <w:shd w:val="clear" w:color="000000" w:fill="FFFFFF"/>
            <w:vAlign w:val="center"/>
          </w:tcPr>
          <w:p w:rsidR="00D70E6B" w:rsidRPr="00D70E6B" w:rsidRDefault="00D70E6B" w:rsidP="00D70E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329.439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D70E6B" w:rsidRPr="00DB53EB" w:rsidRDefault="00D70E6B" w:rsidP="00D70E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 w:rsidRPr="00DB53EB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8</w:t>
            </w:r>
          </w:p>
        </w:tc>
      </w:tr>
      <w:tr w:rsidR="00D70E6B" w:rsidRPr="00D70E6B" w:rsidTr="00D70E6B">
        <w:trPr>
          <w:trHeight w:val="255"/>
          <w:jc w:val="center"/>
        </w:trPr>
        <w:tc>
          <w:tcPr>
            <w:tcW w:w="1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Slavonski Brod</w:t>
            </w:r>
          </w:p>
        </w:tc>
        <w:tc>
          <w:tcPr>
            <w:tcW w:w="9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1.027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9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B53EB">
            <w:pPr>
              <w:spacing w:before="20" w:after="20" w:line="240" w:lineRule="auto"/>
              <w:ind w:right="108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10.483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11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5.039.351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 w:themeColor="background1" w:themeShade="80"/>
            </w:tcBorders>
            <w:shd w:val="clear" w:color="000000" w:fill="FFFFFF"/>
            <w:vAlign w:val="center"/>
          </w:tcPr>
          <w:p w:rsidR="00D70E6B" w:rsidRPr="00D70E6B" w:rsidRDefault="00D70E6B" w:rsidP="00D70E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53.878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D70E6B" w:rsidRPr="00DB53EB" w:rsidRDefault="00D70E6B" w:rsidP="00D70E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 w:rsidRPr="00DB53EB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44</w:t>
            </w:r>
          </w:p>
        </w:tc>
      </w:tr>
      <w:tr w:rsidR="00D70E6B" w:rsidRPr="00D70E6B" w:rsidTr="00D70E6B">
        <w:trPr>
          <w:trHeight w:val="255"/>
          <w:jc w:val="center"/>
        </w:trPr>
        <w:tc>
          <w:tcPr>
            <w:tcW w:w="1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Bjelovar</w:t>
            </w:r>
          </w:p>
        </w:tc>
        <w:tc>
          <w:tcPr>
            <w:tcW w:w="9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872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18</w:t>
            </w:r>
          </w:p>
        </w:tc>
        <w:tc>
          <w:tcPr>
            <w:tcW w:w="9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13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B53EB">
            <w:pPr>
              <w:spacing w:before="20" w:after="20" w:line="240" w:lineRule="auto"/>
              <w:ind w:right="108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7.201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17</w:t>
            </w:r>
          </w:p>
        </w:tc>
        <w:tc>
          <w:tcPr>
            <w:tcW w:w="11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3.688.472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 w:themeColor="background1" w:themeShade="80"/>
            </w:tcBorders>
            <w:shd w:val="clear" w:color="000000" w:fill="FFFFFF"/>
            <w:vAlign w:val="center"/>
          </w:tcPr>
          <w:p w:rsidR="00D70E6B" w:rsidRPr="00D70E6B" w:rsidRDefault="00D70E6B" w:rsidP="00D70E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63.619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D70E6B" w:rsidRPr="00DB53EB" w:rsidRDefault="00D70E6B" w:rsidP="00D70E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 w:rsidRPr="00DB53EB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34</w:t>
            </w:r>
          </w:p>
        </w:tc>
      </w:tr>
      <w:tr w:rsidR="00D70E6B" w:rsidRPr="00D70E6B" w:rsidTr="00D70E6B">
        <w:trPr>
          <w:trHeight w:val="255"/>
          <w:jc w:val="center"/>
        </w:trPr>
        <w:tc>
          <w:tcPr>
            <w:tcW w:w="1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Šibenik</w:t>
            </w:r>
          </w:p>
        </w:tc>
        <w:tc>
          <w:tcPr>
            <w:tcW w:w="9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1.100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13</w:t>
            </w:r>
          </w:p>
        </w:tc>
        <w:tc>
          <w:tcPr>
            <w:tcW w:w="9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B53EB">
            <w:pPr>
              <w:spacing w:before="20" w:after="20" w:line="240" w:lineRule="auto"/>
              <w:ind w:right="108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6.969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18</w:t>
            </w:r>
          </w:p>
        </w:tc>
        <w:tc>
          <w:tcPr>
            <w:tcW w:w="11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3.322.464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24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 w:themeColor="background1" w:themeShade="80"/>
            </w:tcBorders>
            <w:shd w:val="clear" w:color="000000" w:fill="FFFFFF"/>
            <w:vAlign w:val="center"/>
          </w:tcPr>
          <w:p w:rsidR="00D70E6B" w:rsidRPr="00D70E6B" w:rsidRDefault="00D70E6B" w:rsidP="00D70E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-157.992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D70E6B" w:rsidRPr="00DB53EB" w:rsidRDefault="00D70E6B" w:rsidP="00D70E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 w:rsidRPr="00DB53EB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555</w:t>
            </w:r>
          </w:p>
        </w:tc>
      </w:tr>
      <w:tr w:rsidR="00D70E6B" w:rsidRPr="00D70E6B" w:rsidTr="00D70E6B">
        <w:trPr>
          <w:trHeight w:val="255"/>
          <w:jc w:val="center"/>
        </w:trPr>
        <w:tc>
          <w:tcPr>
            <w:tcW w:w="1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Sisak</w:t>
            </w:r>
          </w:p>
        </w:tc>
        <w:tc>
          <w:tcPr>
            <w:tcW w:w="9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406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9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17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B53EB">
            <w:pPr>
              <w:spacing w:before="20" w:after="20" w:line="240" w:lineRule="auto"/>
              <w:ind w:right="108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5.079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21</w:t>
            </w:r>
          </w:p>
        </w:tc>
        <w:tc>
          <w:tcPr>
            <w:tcW w:w="11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2.335.783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29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 w:themeColor="background1" w:themeShade="80"/>
            </w:tcBorders>
            <w:shd w:val="clear" w:color="000000" w:fill="FFFFFF"/>
            <w:vAlign w:val="center"/>
          </w:tcPr>
          <w:p w:rsidR="00D70E6B" w:rsidRPr="00D70E6B" w:rsidRDefault="00D70E6B" w:rsidP="00D70E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12.851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D70E6B" w:rsidRPr="00DB53EB" w:rsidRDefault="00D70E6B" w:rsidP="00D70E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 w:rsidRPr="00DB53EB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133</w:t>
            </w:r>
          </w:p>
        </w:tc>
      </w:tr>
      <w:tr w:rsidR="00D70E6B" w:rsidRPr="00D70E6B" w:rsidTr="00D70E6B">
        <w:trPr>
          <w:trHeight w:val="255"/>
          <w:jc w:val="center"/>
        </w:trPr>
        <w:tc>
          <w:tcPr>
            <w:tcW w:w="1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Požega</w:t>
            </w:r>
          </w:p>
        </w:tc>
        <w:tc>
          <w:tcPr>
            <w:tcW w:w="9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729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19</w:t>
            </w:r>
          </w:p>
        </w:tc>
        <w:tc>
          <w:tcPr>
            <w:tcW w:w="9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14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B53EB">
            <w:pPr>
              <w:spacing w:before="20" w:after="20" w:line="240" w:lineRule="auto"/>
              <w:ind w:right="108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5.109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11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2.151.825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33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 w:themeColor="background1" w:themeShade="80"/>
            </w:tcBorders>
            <w:shd w:val="clear" w:color="000000" w:fill="FFFFFF"/>
            <w:vAlign w:val="center"/>
          </w:tcPr>
          <w:p w:rsidR="00D70E6B" w:rsidRPr="00D70E6B" w:rsidRDefault="00D70E6B" w:rsidP="00D70E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39.737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D70E6B" w:rsidRPr="00DB53EB" w:rsidRDefault="00D70E6B" w:rsidP="00D70E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 w:rsidRPr="00DB53EB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60</w:t>
            </w:r>
          </w:p>
        </w:tc>
      </w:tr>
      <w:tr w:rsidR="00D70E6B" w:rsidRPr="00D70E6B" w:rsidTr="00D70E6B">
        <w:trPr>
          <w:trHeight w:val="255"/>
          <w:jc w:val="center"/>
        </w:trPr>
        <w:tc>
          <w:tcPr>
            <w:tcW w:w="1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Krapina</w:t>
            </w:r>
          </w:p>
        </w:tc>
        <w:tc>
          <w:tcPr>
            <w:tcW w:w="9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356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43</w:t>
            </w:r>
          </w:p>
        </w:tc>
        <w:tc>
          <w:tcPr>
            <w:tcW w:w="9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18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B53EB">
            <w:pPr>
              <w:spacing w:before="20" w:after="20" w:line="240" w:lineRule="auto"/>
              <w:ind w:right="108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3.373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11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1.624.530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 w:themeColor="background1" w:themeShade="80"/>
            </w:tcBorders>
            <w:shd w:val="clear" w:color="000000" w:fill="FFFFFF"/>
            <w:vAlign w:val="center"/>
          </w:tcPr>
          <w:p w:rsidR="00D70E6B" w:rsidRPr="00D70E6B" w:rsidRDefault="00D70E6B" w:rsidP="00D70E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51.729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D70E6B" w:rsidRPr="00DB53EB" w:rsidRDefault="00D70E6B" w:rsidP="00D70E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 w:rsidRPr="00DB53EB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45</w:t>
            </w:r>
          </w:p>
        </w:tc>
      </w:tr>
      <w:tr w:rsidR="00D70E6B" w:rsidRPr="00D70E6B" w:rsidTr="00D70E6B">
        <w:trPr>
          <w:trHeight w:val="255"/>
          <w:jc w:val="center"/>
        </w:trPr>
        <w:tc>
          <w:tcPr>
            <w:tcW w:w="1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Virovitica</w:t>
            </w:r>
          </w:p>
        </w:tc>
        <w:tc>
          <w:tcPr>
            <w:tcW w:w="9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279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9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B53EB">
            <w:pPr>
              <w:spacing w:before="20" w:after="20" w:line="240" w:lineRule="auto"/>
              <w:ind w:right="108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3.383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33</w:t>
            </w:r>
          </w:p>
        </w:tc>
        <w:tc>
          <w:tcPr>
            <w:tcW w:w="11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1.602.751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43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 w:themeColor="background1" w:themeShade="80"/>
            </w:tcBorders>
            <w:shd w:val="clear" w:color="000000" w:fill="FFFFFF"/>
            <w:vAlign w:val="center"/>
          </w:tcPr>
          <w:p w:rsidR="00D70E6B" w:rsidRPr="00D70E6B" w:rsidRDefault="00D70E6B" w:rsidP="00D70E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44.690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D70E6B" w:rsidRPr="00DB53EB" w:rsidRDefault="00D70E6B" w:rsidP="00D70E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 w:rsidRPr="00DB53EB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52</w:t>
            </w:r>
          </w:p>
        </w:tc>
      </w:tr>
      <w:tr w:rsidR="00D70E6B" w:rsidRPr="00D70E6B" w:rsidTr="00D70E6B">
        <w:trPr>
          <w:trHeight w:val="255"/>
          <w:jc w:val="center"/>
        </w:trPr>
        <w:tc>
          <w:tcPr>
            <w:tcW w:w="1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Pazin</w:t>
            </w:r>
          </w:p>
        </w:tc>
        <w:tc>
          <w:tcPr>
            <w:tcW w:w="9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303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51</w:t>
            </w:r>
          </w:p>
        </w:tc>
        <w:tc>
          <w:tcPr>
            <w:tcW w:w="9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19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B53EB">
            <w:pPr>
              <w:spacing w:before="20" w:after="20" w:line="240" w:lineRule="auto"/>
              <w:ind w:right="108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1.938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55</w:t>
            </w:r>
          </w:p>
        </w:tc>
        <w:tc>
          <w:tcPr>
            <w:tcW w:w="11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1.302.523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53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 w:themeColor="background1" w:themeShade="80"/>
            </w:tcBorders>
            <w:shd w:val="clear" w:color="000000" w:fill="FFFFFF"/>
            <w:vAlign w:val="center"/>
          </w:tcPr>
          <w:p w:rsidR="00D70E6B" w:rsidRPr="00D70E6B" w:rsidRDefault="00D70E6B" w:rsidP="00D70E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49.652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D70E6B" w:rsidRPr="00DB53EB" w:rsidRDefault="00D70E6B" w:rsidP="00D70E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 w:rsidRPr="00DB53EB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48</w:t>
            </w:r>
          </w:p>
        </w:tc>
      </w:tr>
      <w:tr w:rsidR="00D70E6B" w:rsidRPr="00D70E6B" w:rsidTr="00D70E6B">
        <w:trPr>
          <w:trHeight w:val="255"/>
          <w:jc w:val="center"/>
        </w:trPr>
        <w:tc>
          <w:tcPr>
            <w:tcW w:w="1752" w:type="dxa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Gospić</w:t>
            </w:r>
          </w:p>
        </w:tc>
        <w:tc>
          <w:tcPr>
            <w:tcW w:w="905" w:type="dxa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205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908" w:type="dxa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shd w:val="clear" w:color="auto" w:fill="auto"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21</w:t>
            </w:r>
          </w:p>
        </w:tc>
        <w:tc>
          <w:tcPr>
            <w:tcW w:w="1020" w:type="dxa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B53EB">
            <w:pPr>
              <w:spacing w:before="20" w:after="20" w:line="240" w:lineRule="auto"/>
              <w:ind w:right="108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1.158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90</w:t>
            </w:r>
          </w:p>
        </w:tc>
        <w:tc>
          <w:tcPr>
            <w:tcW w:w="1191" w:type="dxa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501.796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808080" w:themeColor="background1" w:themeShade="80"/>
            </w:tcBorders>
            <w:shd w:val="clear" w:color="000000" w:fill="FFFFFF"/>
            <w:vAlign w:val="center"/>
          </w:tcPr>
          <w:p w:rsidR="00D70E6B" w:rsidRPr="00D70E6B" w:rsidRDefault="00D70E6B" w:rsidP="00D70E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-21.651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808080" w:themeColor="background1" w:themeShade="80"/>
              <w:bottom w:val="single" w:sz="4" w:space="0" w:color="FFFFFF"/>
              <w:right w:val="single" w:sz="4" w:space="0" w:color="BFBFBF"/>
            </w:tcBorders>
            <w:shd w:val="clear" w:color="000000" w:fill="FFFFFF"/>
            <w:vAlign w:val="center"/>
          </w:tcPr>
          <w:p w:rsidR="00D70E6B" w:rsidRPr="00DB53EB" w:rsidRDefault="00D70E6B" w:rsidP="00D70E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 w:rsidRPr="00DB53EB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544</w:t>
            </w:r>
          </w:p>
        </w:tc>
      </w:tr>
      <w:tr w:rsidR="009B28CE" w:rsidRPr="00D70E6B" w:rsidTr="009568BD">
        <w:trPr>
          <w:trHeight w:val="255"/>
          <w:jc w:val="center"/>
        </w:trPr>
        <w:tc>
          <w:tcPr>
            <w:tcW w:w="1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noWrap/>
            <w:vAlign w:val="center"/>
            <w:hideMark/>
          </w:tcPr>
          <w:p w:rsidR="009B28CE" w:rsidRPr="009D096D" w:rsidRDefault="009B28CE" w:rsidP="00D70E6B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9D096D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9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noWrap/>
            <w:vAlign w:val="center"/>
          </w:tcPr>
          <w:p w:rsidR="009B28CE" w:rsidRPr="009D096D" w:rsidRDefault="009B28CE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9D096D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67.967</w:t>
            </w:r>
          </w:p>
        </w:tc>
        <w:tc>
          <w:tcPr>
            <w:tcW w:w="7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noWrap/>
            <w:vAlign w:val="center"/>
          </w:tcPr>
          <w:p w:rsidR="009B28CE" w:rsidRPr="009D096D" w:rsidRDefault="009B28CE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9D096D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noWrap/>
            <w:vAlign w:val="center"/>
          </w:tcPr>
          <w:p w:rsidR="009B28CE" w:rsidRPr="009D096D" w:rsidRDefault="009B28CE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9D096D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noWrap/>
            <w:vAlign w:val="center"/>
          </w:tcPr>
          <w:p w:rsidR="009B28CE" w:rsidRPr="009D096D" w:rsidRDefault="009B28CE" w:rsidP="00DB53EB">
            <w:pPr>
              <w:spacing w:before="20" w:after="20" w:line="240" w:lineRule="auto"/>
              <w:ind w:right="108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9D096D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546.375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noWrap/>
            <w:vAlign w:val="center"/>
          </w:tcPr>
          <w:p w:rsidR="009B28CE" w:rsidRPr="009D096D" w:rsidRDefault="009B28CE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9D096D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noWrap/>
            <w:vAlign w:val="center"/>
          </w:tcPr>
          <w:p w:rsidR="009B28CE" w:rsidRPr="009D096D" w:rsidRDefault="009B28CE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9D096D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449.690.151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noWrap/>
            <w:vAlign w:val="center"/>
          </w:tcPr>
          <w:p w:rsidR="009B28CE" w:rsidRPr="009D096D" w:rsidRDefault="009B28CE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9D096D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A6A6A6"/>
            <w:vAlign w:val="center"/>
          </w:tcPr>
          <w:p w:rsidR="009B28CE" w:rsidRPr="009D096D" w:rsidRDefault="009B28CE" w:rsidP="00D70E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9D096D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17.785.953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A6A6A6"/>
            <w:vAlign w:val="center"/>
          </w:tcPr>
          <w:p w:rsidR="009B28CE" w:rsidRPr="009D096D" w:rsidRDefault="009B28CE" w:rsidP="00067FDA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9D096D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-</w:t>
            </w:r>
          </w:p>
        </w:tc>
      </w:tr>
      <w:tr w:rsidR="009B28CE" w:rsidRPr="00D70E6B" w:rsidTr="009568BD">
        <w:trPr>
          <w:trHeight w:val="255"/>
          <w:jc w:val="center"/>
        </w:trPr>
        <w:tc>
          <w:tcPr>
            <w:tcW w:w="1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9B28CE" w:rsidRPr="009B28CE" w:rsidRDefault="009B28CE" w:rsidP="00D70E6B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9B28CE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RH</w:t>
            </w:r>
          </w:p>
        </w:tc>
        <w:tc>
          <w:tcPr>
            <w:tcW w:w="9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9B28CE" w:rsidRPr="00DB53EB" w:rsidRDefault="009B28CE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DB53EB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114.483</w:t>
            </w:r>
          </w:p>
        </w:tc>
        <w:tc>
          <w:tcPr>
            <w:tcW w:w="7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9B28CE" w:rsidRPr="00DB53EB" w:rsidRDefault="009B28CE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DB53EB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9B28CE" w:rsidRPr="00DB53EB" w:rsidRDefault="009B28CE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DB53EB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9B28CE" w:rsidRPr="00DB53EB" w:rsidRDefault="009B28CE" w:rsidP="00DB53EB">
            <w:pPr>
              <w:spacing w:before="20" w:after="20" w:line="240" w:lineRule="auto"/>
              <w:ind w:right="108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DB53EB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853.110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9B28CE" w:rsidRPr="00DB53EB" w:rsidRDefault="009B28CE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DB53EB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9B28CE" w:rsidRPr="00DB53EB" w:rsidRDefault="009B28CE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DB53EB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633.109.425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9B28CE" w:rsidRPr="00DB53EB" w:rsidRDefault="009B28CE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DB53EB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C6D9F1"/>
            <w:vAlign w:val="center"/>
          </w:tcPr>
          <w:p w:rsidR="009B28CE" w:rsidRPr="00DB53EB" w:rsidRDefault="009B28CE" w:rsidP="00D70E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DB53EB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24.035.256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C6D9F1"/>
            <w:vAlign w:val="center"/>
          </w:tcPr>
          <w:p w:rsidR="009B28CE" w:rsidRPr="00DB53EB" w:rsidRDefault="009B28CE" w:rsidP="00067FDA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DB53EB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-</w:t>
            </w:r>
          </w:p>
        </w:tc>
      </w:tr>
      <w:tr w:rsidR="009B28CE" w:rsidRPr="00D70E6B" w:rsidTr="009568BD">
        <w:trPr>
          <w:trHeight w:val="255"/>
          <w:jc w:val="center"/>
        </w:trPr>
        <w:tc>
          <w:tcPr>
            <w:tcW w:w="1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9B28CE" w:rsidRPr="009B28CE" w:rsidRDefault="009B28CE" w:rsidP="00D70E6B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9B28CE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Udjeli u %</w:t>
            </w:r>
          </w:p>
        </w:tc>
        <w:tc>
          <w:tcPr>
            <w:tcW w:w="9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9B28CE" w:rsidRPr="00DB53EB" w:rsidRDefault="009B28CE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DB53EB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59,4%</w:t>
            </w:r>
          </w:p>
        </w:tc>
        <w:tc>
          <w:tcPr>
            <w:tcW w:w="7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9B28CE" w:rsidRPr="00DB53EB" w:rsidRDefault="009B28CE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DB53EB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9B28CE" w:rsidRPr="00DB53EB" w:rsidRDefault="009B28CE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DB53EB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9B28CE" w:rsidRPr="00DB53EB" w:rsidRDefault="009B28CE" w:rsidP="00DB53EB">
            <w:pPr>
              <w:spacing w:before="20" w:after="20" w:line="240" w:lineRule="auto"/>
              <w:ind w:right="108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DB53EB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64,0%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9B28CE" w:rsidRPr="00DB53EB" w:rsidRDefault="009B28CE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DB53EB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9B28CE" w:rsidRPr="00DB53EB" w:rsidRDefault="009B28CE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DB53EB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71,0%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9B28CE" w:rsidRPr="00DB53EB" w:rsidRDefault="009B28CE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DB53EB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9B28CE" w:rsidRPr="00DB53EB" w:rsidRDefault="009B28CE" w:rsidP="00D70E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DB53EB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74,0%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DBE5F1"/>
            <w:vAlign w:val="center"/>
          </w:tcPr>
          <w:p w:rsidR="009B28CE" w:rsidRPr="00DB53EB" w:rsidRDefault="009B28CE" w:rsidP="00067FDA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DB53EB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-</w:t>
            </w:r>
          </w:p>
        </w:tc>
      </w:tr>
    </w:tbl>
    <w:p w:rsidR="00D70E6B" w:rsidRPr="00D70E6B" w:rsidRDefault="00D70E6B" w:rsidP="00D70E6B">
      <w:pPr>
        <w:spacing w:before="60" w:after="0" w:line="240" w:lineRule="auto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r w:rsidRPr="00D70E6B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Izvor: Fina, Registar godišnjih financijskih izvještaja</w:t>
      </w:r>
    </w:p>
    <w:p w:rsidR="00DB53EB" w:rsidRPr="00D70E6B" w:rsidRDefault="00DB53EB" w:rsidP="00831FD6">
      <w:pPr>
        <w:tabs>
          <w:tab w:val="left" w:pos="0"/>
        </w:tabs>
        <w:spacing w:before="180" w:after="0"/>
        <w:jc w:val="both"/>
        <w:rPr>
          <w:rFonts w:ascii="Arial" w:eastAsia="Times New Roman" w:hAnsi="Arial" w:cs="Arial"/>
          <w:color w:val="17365D"/>
          <w:sz w:val="20"/>
          <w:szCs w:val="20"/>
          <w:lang w:eastAsia="hr-HR"/>
        </w:rPr>
      </w:pPr>
      <w:r w:rsidRPr="00D70E6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Istarska županija je na trećem mjestu po neto dobiti i na trećem mjestu po broju poduzetnika, a njezino upravno sjedište, grad Pazin, na devetnaestom mjestu među gradovima – sjedištima županija, po broju poduzetnika (303 poduzetnika), dok je Pula na četvrtom mjestu (2684 poduzetnika) </w:t>
      </w:r>
      <w:r w:rsidR="009D096D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na razini</w:t>
      </w:r>
      <w:r w:rsidRPr="00D70E6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RH. Pazin je kao upravno središte županije na </w:t>
      </w:r>
      <w:r w:rsidR="009B28CE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55.-om</w:t>
      </w:r>
      <w:r w:rsidRPr="00D70E6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mjestu po broju zaposlenih (1938 zaposlenih) kod poduzetnika na razini </w:t>
      </w:r>
      <w:r w:rsidRPr="00D70E6B">
        <w:rPr>
          <w:rFonts w:ascii="Arial" w:eastAsia="Times New Roman" w:hAnsi="Arial" w:cs="Arial"/>
          <w:color w:val="17365D"/>
          <w:sz w:val="20"/>
          <w:szCs w:val="20"/>
          <w:lang w:eastAsia="hr-HR"/>
        </w:rPr>
        <w:lastRenderedPageBreak/>
        <w:t>RH</w:t>
      </w:r>
      <w:r w:rsidR="009B28CE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.</w:t>
      </w:r>
      <w:r w:rsidRPr="00D70E6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</w:t>
      </w:r>
      <w:r w:rsidR="009B28CE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U usporedbi sa drugim županijskim sjedištima manji je broj </w:t>
      </w:r>
      <w:r w:rsidR="00AF51D3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zaposlenih</w:t>
      </w:r>
      <w:r w:rsidR="009B28CE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jedino u Gospiću</w:t>
      </w:r>
      <w:r w:rsidR="00AF51D3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, </w:t>
      </w:r>
      <w:r w:rsidRPr="00D70E6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1158 zaposlenih</w:t>
      </w:r>
      <w:r w:rsidR="00AF51D3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.</w:t>
      </w:r>
    </w:p>
    <w:p w:rsidR="00DB53EB" w:rsidRPr="00D70E6B" w:rsidRDefault="00DB53EB" w:rsidP="00831FD6">
      <w:pPr>
        <w:widowControl w:val="0"/>
        <w:tabs>
          <w:tab w:val="left" w:pos="0"/>
        </w:tabs>
        <w:spacing w:before="120" w:after="0"/>
        <w:jc w:val="both"/>
        <w:rPr>
          <w:rFonts w:ascii="Arial" w:eastAsia="Times New Roman" w:hAnsi="Arial" w:cs="Arial"/>
          <w:color w:val="244061"/>
          <w:sz w:val="20"/>
          <w:szCs w:val="20"/>
          <w:lang w:eastAsia="hr-HR"/>
        </w:rPr>
      </w:pPr>
      <w:r w:rsidRPr="00D70E6B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Prema prosječnom broju zaposlenih po jednom poduzetniku, na prvom je mjestu, sa 13,1 zaposlenih, grad Koprivnica, sjedište Koprivničko-križevačka županija, a slijede </w:t>
      </w:r>
      <w:r w:rsidR="009D096D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županijska središta</w:t>
      </w:r>
      <w:r w:rsidRPr="00D70E6B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Požega (12,5), Krapina (12,1), Varaždin (10,6), Čakovec (10,2) i Slavonski Brod (10,2). Sva ostala županijska središta u prosjeku imaju manje od 10 zaposlenih po jednom poduzetniku s time da Zagreb ima prosjek od 8,5 zaposlenih po poduzetniku,</w:t>
      </w:r>
      <w:r w:rsidR="009D096D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</w:t>
      </w:r>
      <w:r w:rsidRPr="00D70E6B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Velika Gorica 7,2 zaposlena po poduzetniku dok je najmanji prosjek u Zadru (5,7), Gospiću (5,6), Splitu (5,5) i Dubrovniku (5,5).</w:t>
      </w:r>
    </w:p>
    <w:p w:rsidR="00DB53EB" w:rsidRPr="00D70E6B" w:rsidRDefault="00DB53EB" w:rsidP="00831FD6">
      <w:pPr>
        <w:widowControl w:val="0"/>
        <w:tabs>
          <w:tab w:val="left" w:pos="1276"/>
          <w:tab w:val="right" w:pos="9639"/>
        </w:tabs>
        <w:spacing w:before="120" w:after="0"/>
        <w:jc w:val="both"/>
        <w:rPr>
          <w:rFonts w:ascii="Arial" w:eastAsia="Times New Roman" w:hAnsi="Arial" w:cs="Arial"/>
          <w:color w:val="17365D"/>
          <w:sz w:val="20"/>
          <w:szCs w:val="20"/>
          <w:lang w:eastAsia="hr-HR"/>
        </w:rPr>
      </w:pPr>
      <w:r w:rsidRPr="00D70E6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Među prvih deset gradova po ukupnom prihodu poduzetnika u 2016. godini su i poduzetnici u gradovima koji nisu sjedišta županija</w:t>
      </w:r>
      <w:r w:rsidR="009D096D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, a to su</w:t>
      </w:r>
      <w:r w:rsidRPr="00D70E6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Sveta Nedjelja (8,8 milijardi kuna) i Pula (7,5 milijardi kuna), koji </w:t>
      </w:r>
      <w:r w:rsidR="009D096D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su na </w:t>
      </w:r>
      <w:r w:rsidRPr="00D70E6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sedmo</w:t>
      </w:r>
      <w:r w:rsidR="009D096D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m</w:t>
      </w:r>
      <w:r w:rsidRPr="00D70E6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i osmo</w:t>
      </w:r>
      <w:r w:rsidR="009D096D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m</w:t>
      </w:r>
      <w:r w:rsidRPr="00D70E6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mjesto </w:t>
      </w:r>
      <w:r w:rsidR="009D096D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na razini</w:t>
      </w:r>
      <w:r w:rsidRPr="00D70E6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RH. Po visini ukupnoga prihoda još se izdvajaju poduzetnici Rovinja sa 4,9 milijardi kuna</w:t>
      </w:r>
      <w:r w:rsidR="009D096D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</w:t>
      </w:r>
      <w:r w:rsidRPr="00D70E6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(rang 16), Poreč sa 4,7 milijardi kuna (rang 17),</w:t>
      </w:r>
      <w:r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</w:t>
      </w:r>
      <w:r w:rsidRPr="00D70E6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općin</w:t>
      </w:r>
      <w:r w:rsidR="009B28CE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e</w:t>
      </w:r>
      <w:r w:rsidRPr="00D70E6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Stupnik sa 4,6 milijardi kuna (rang 18)</w:t>
      </w:r>
      <w:r w:rsidR="009D096D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i</w:t>
      </w:r>
      <w:r w:rsidRPr="00D70E6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Samobor</w:t>
      </w:r>
      <w:r w:rsidR="009D096D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a</w:t>
      </w:r>
      <w:r w:rsidRPr="00D70E6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sa 4,5 milijarde kuna (rang 19).</w:t>
      </w:r>
    </w:p>
    <w:p w:rsidR="004F7F67" w:rsidRDefault="00D70E6B" w:rsidP="00831FD6">
      <w:pPr>
        <w:widowControl w:val="0"/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D70E6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Od 21 grada - sjedišta županija, poduzetnici u njih 19 ostvarili su neto dobit</w:t>
      </w:r>
      <w:r w:rsidRPr="00D70E6B">
        <w:rPr>
          <w:rFonts w:ascii="Arial" w:eastAsia="Times New Roman" w:hAnsi="Arial" w:cs="Times New Roman"/>
          <w:color w:val="17365D"/>
          <w:sz w:val="20"/>
          <w:szCs w:val="20"/>
          <w:vertAlign w:val="superscript"/>
          <w:lang w:eastAsia="hr-HR"/>
        </w:rPr>
        <w:footnoteReference w:id="2"/>
      </w:r>
      <w:r w:rsidRPr="00D70E6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dok su </w:t>
      </w:r>
      <w:r w:rsidR="00D96DD5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u </w:t>
      </w:r>
      <w:r w:rsidRPr="00D70E6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preostala </w:t>
      </w:r>
      <w:r w:rsidR="00DB53E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dva</w:t>
      </w:r>
      <w:r w:rsidR="00D96DD5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, </w:t>
      </w:r>
      <w:r w:rsidRPr="00D70E6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</w:t>
      </w:r>
      <w:r w:rsidR="00D96DD5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Šibeniku i Gospiću, </w:t>
      </w:r>
      <w:r w:rsidRPr="00D70E6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ostvaril</w:t>
      </w:r>
      <w:r w:rsidR="00D96DD5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i</w:t>
      </w:r>
      <w:r w:rsidRPr="00D70E6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negativan rezultat – gubitak i to u ukupnome iznosu od 179,6 milijuna kuna. Od toga iznosa veći je gubitak poduzetnika Šibenika</w:t>
      </w:r>
      <w:r w:rsidR="009D096D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koji je iznosio</w:t>
      </w:r>
      <w:r w:rsidRPr="00D70E6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158 milijuna kuna. </w:t>
      </w:r>
      <w:r w:rsidR="009B28CE" w:rsidRPr="00AF51D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Na negativan rezultat poduzetnika </w:t>
      </w:r>
      <w:r w:rsidR="00AF51D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na razini</w:t>
      </w:r>
      <w:r w:rsidR="009B28CE" w:rsidRPr="00AF51D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AF51D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Šibenika</w:t>
      </w:r>
      <w:r w:rsidR="009B28CE" w:rsidRPr="00AF51D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najviše su utjecala sljedeća društva: </w:t>
      </w:r>
      <w:hyperlink r:id="rId8" w:history="1">
        <w:r w:rsidR="009B28CE" w:rsidRPr="00C17800">
          <w:rPr>
            <w:rStyle w:val="Hyperlink"/>
            <w:rFonts w:ascii="Arial" w:eastAsia="Times New Roman" w:hAnsi="Arial" w:cs="Arial"/>
            <w:color w:val="0000FF"/>
            <w:sz w:val="20"/>
            <w:szCs w:val="20"/>
            <w:lang w:eastAsia="hr-HR"/>
          </w:rPr>
          <w:t>TLM Aluminium d.d. u stečaju</w:t>
        </w:r>
      </w:hyperlink>
      <w:r w:rsidR="009B28CE" w:rsidRPr="00AF51D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sa </w:t>
      </w:r>
      <w:r w:rsidR="00AF51D3" w:rsidRPr="00AF51D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68,7 </w:t>
      </w:r>
      <w:r w:rsidR="009B28CE" w:rsidRPr="00AF51D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milijuna kuna gubitka</w:t>
      </w:r>
      <w:r w:rsidR="00AF51D3" w:rsidRPr="00AF51D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(u 2015. godini </w:t>
      </w:r>
      <w:r w:rsidR="00AF51D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je gubitak bio veći i iznosio je 124,6 milijuna kuna)</w:t>
      </w:r>
      <w:r w:rsidR="009B28CE" w:rsidRPr="00AF51D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AF51D3" w:rsidRPr="00AF51D3">
        <w:t xml:space="preserve"> </w:t>
      </w:r>
      <w:hyperlink r:id="rId9" w:history="1">
        <w:r w:rsidR="00AF51D3" w:rsidRPr="00D606EA">
          <w:rPr>
            <w:rStyle w:val="Hyperlink"/>
            <w:rFonts w:ascii="Arial" w:eastAsia="Times New Roman" w:hAnsi="Arial" w:cs="Arial"/>
            <w:color w:val="0000FF"/>
            <w:sz w:val="20"/>
            <w:szCs w:val="20"/>
            <w:lang w:eastAsia="hr-HR"/>
          </w:rPr>
          <w:t>IMPOL-TLM d.o.o</w:t>
        </w:r>
      </w:hyperlink>
      <w:r w:rsidR="00AF51D3" w:rsidRPr="00D606EA">
        <w:rPr>
          <w:rFonts w:ascii="Arial" w:eastAsia="Times New Roman" w:hAnsi="Arial" w:cs="Arial"/>
          <w:color w:val="0000FF"/>
          <w:sz w:val="20"/>
          <w:szCs w:val="20"/>
          <w:lang w:eastAsia="hr-HR"/>
        </w:rPr>
        <w:t>.</w:t>
      </w:r>
      <w:r w:rsidR="00AF51D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sa 39,5 milijuna kuna (u 2015. godini gubitak je bio </w:t>
      </w:r>
      <w:r w:rsidR="004F7F6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bitno manji i iznosio je </w:t>
      </w:r>
      <w:r w:rsidR="00AF51D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nešto manj</w:t>
      </w:r>
      <w:r w:rsidR="004F7F6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AF51D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od 1,0 milijun kuna) i </w:t>
      </w:r>
      <w:hyperlink r:id="rId10" w:history="1">
        <w:r w:rsidR="00AF51D3" w:rsidRPr="00D606EA">
          <w:rPr>
            <w:rStyle w:val="Hyperlink"/>
            <w:rFonts w:ascii="Arial" w:eastAsia="Times New Roman" w:hAnsi="Arial" w:cs="Arial"/>
            <w:color w:val="0000FF"/>
            <w:sz w:val="20"/>
            <w:szCs w:val="20"/>
            <w:lang w:eastAsia="hr-HR"/>
          </w:rPr>
          <w:t>IMPOL ULAGANJA d.o.o</w:t>
        </w:r>
      </w:hyperlink>
      <w:r w:rsidR="00AF51D3" w:rsidRPr="00D606EA">
        <w:rPr>
          <w:rFonts w:ascii="Arial" w:eastAsia="Times New Roman" w:hAnsi="Arial" w:cs="Arial"/>
          <w:color w:val="0000FF"/>
          <w:sz w:val="20"/>
          <w:szCs w:val="20"/>
          <w:lang w:eastAsia="hr-HR"/>
        </w:rPr>
        <w:t>.</w:t>
      </w:r>
      <w:r w:rsidR="00AF51D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 sa 2</w:t>
      </w:r>
      <w:r w:rsidR="004F7F6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9,8 milijuna kuna (</w:t>
      </w:r>
      <w:r w:rsidR="004F7F67" w:rsidRPr="004F7F6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2015. godini je gubitak bio </w:t>
      </w:r>
      <w:r w:rsidR="004F7F6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manji i </w:t>
      </w:r>
      <w:r w:rsidR="004F7F67" w:rsidRPr="004F7F6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iznosio je</w:t>
      </w:r>
      <w:r w:rsidR="004F7F6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25,5 milijuna kuna). </w:t>
      </w:r>
      <w:r w:rsidR="004F7F67" w:rsidRPr="00AF51D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Na negativan rezultat poduzetnika </w:t>
      </w:r>
      <w:r w:rsidR="004F7F6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na razini</w:t>
      </w:r>
      <w:r w:rsidR="004F7F67" w:rsidRPr="00AF51D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4F7F6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Gospića</w:t>
      </w:r>
      <w:r w:rsidR="004F7F67" w:rsidRPr="00AF51D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najviše s</w:t>
      </w:r>
      <w:r w:rsidR="004F7F6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e odrazilo poslovanje društva </w:t>
      </w:r>
      <w:hyperlink r:id="rId11" w:history="1">
        <w:r w:rsidR="004F7F67" w:rsidRPr="00D606EA">
          <w:rPr>
            <w:rStyle w:val="Hyperlink"/>
            <w:rFonts w:ascii="Arial" w:eastAsia="Times New Roman" w:hAnsi="Arial" w:cs="Arial"/>
            <w:color w:val="0000FF"/>
            <w:sz w:val="20"/>
            <w:szCs w:val="20"/>
            <w:lang w:eastAsia="hr-HR"/>
          </w:rPr>
          <w:t>MILLEM d.o.o. u stečaju</w:t>
        </w:r>
      </w:hyperlink>
      <w:r w:rsidR="004F7F6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 sa 27,0 milijuna kuna</w:t>
      </w:r>
      <w:r w:rsidR="009D096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4F7F6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odnosu na 18,0 milijuna kuna, koliko je gubitak razdoblja toga društva iznosio u 2015. godini.</w:t>
      </w:r>
    </w:p>
    <w:p w:rsidR="00D70E6B" w:rsidRDefault="00D70E6B" w:rsidP="00831FD6">
      <w:pPr>
        <w:widowControl w:val="0"/>
        <w:spacing w:before="120" w:after="0"/>
        <w:jc w:val="both"/>
        <w:rPr>
          <w:rFonts w:ascii="Arial" w:eastAsia="Times New Roman" w:hAnsi="Arial" w:cs="Arial"/>
          <w:color w:val="17365D"/>
          <w:sz w:val="20"/>
          <w:szCs w:val="20"/>
          <w:lang w:eastAsia="hr-HR"/>
        </w:rPr>
      </w:pPr>
      <w:r w:rsidRPr="00D70E6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Prema kriteriju neto dobiti u 2016. godini, najuspješniji su poduzetnici Grada Zagreba u odnosu na poduzetnike drugih gradova – sjedišta županija, a također su prvorangirani i na razini RH. Iza njih slijede poduzetnici Rijeke i Velike Gorice.</w:t>
      </w:r>
    </w:p>
    <w:p w:rsidR="00AF51D3" w:rsidRPr="00D70E6B" w:rsidRDefault="00AF51D3" w:rsidP="00831FD6">
      <w:pPr>
        <w:widowControl w:val="0"/>
        <w:spacing w:before="120" w:after="0"/>
        <w:jc w:val="both"/>
        <w:rPr>
          <w:rFonts w:ascii="Arial" w:eastAsia="Times New Roman" w:hAnsi="Arial" w:cs="Arial"/>
          <w:color w:val="17365D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17365D"/>
          <w:sz w:val="20"/>
          <w:szCs w:val="20"/>
          <w:lang w:eastAsia="hr-HR"/>
        </w:rPr>
        <w:t>Najveći dobitaši u spomenutim županijskim središtima</w:t>
      </w:r>
      <w:r w:rsidR="004F7F67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su </w:t>
      </w:r>
      <w:hyperlink r:id="rId12" w:history="1">
        <w:r w:rsidR="000B311C" w:rsidRPr="00147852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HRVATSKA ELEKTROPRIVREDA d.d</w:t>
        </w:r>
      </w:hyperlink>
      <w:r w:rsidR="000B311C" w:rsidRPr="000B311C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.</w:t>
      </w:r>
      <w:r w:rsidR="000B311C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, sa 1,3 milijarde kuna dobiti razdoblja</w:t>
      </w:r>
      <w:r w:rsidR="00754C59" w:rsidRPr="00754C59">
        <w:t xml:space="preserve"> </w:t>
      </w:r>
      <w:r w:rsidR="00754C59">
        <w:t>(</w:t>
      </w:r>
      <w:r w:rsidR="00754C59" w:rsidRPr="00754C59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u 2015. godini je</w:t>
      </w:r>
      <w:r w:rsidR="00754C59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</w:t>
      </w:r>
      <w:r w:rsidR="00754C59" w:rsidRPr="00754C59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iznosi</w:t>
      </w:r>
      <w:r w:rsidR="00754C59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la 1,6 milijardi kuna), </w:t>
      </w:r>
      <w:hyperlink r:id="rId13" w:history="1">
        <w:r w:rsidR="00754C59" w:rsidRPr="00147852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HRVATSKI TELEKOM d.d</w:t>
        </w:r>
      </w:hyperlink>
      <w:r w:rsidR="00754C59" w:rsidRPr="00754C59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.</w:t>
      </w:r>
      <w:r w:rsidR="00754C59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, sa 908,8 milijuna </w:t>
      </w:r>
      <w:r w:rsidR="00754C59" w:rsidRPr="00754C59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kuna dobiti razdoblja</w:t>
      </w:r>
      <w:r w:rsidR="00754C59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</w:t>
      </w:r>
      <w:r w:rsidR="00754C59" w:rsidRPr="00754C59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(u 2015. godini je iznosila </w:t>
      </w:r>
      <w:r w:rsidR="00754C59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893,5 </w:t>
      </w:r>
      <w:r w:rsidR="00754C59" w:rsidRPr="00754C59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milij</w:t>
      </w:r>
      <w:r w:rsidR="00754C59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una</w:t>
      </w:r>
      <w:r w:rsidR="00754C59" w:rsidRPr="00754C59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kuna),</w:t>
      </w:r>
      <w:r w:rsidR="00754C59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</w:t>
      </w:r>
      <w:hyperlink r:id="rId14" w:history="1">
        <w:r w:rsidR="00754C59" w:rsidRPr="00147852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HEP - Operator distribucijskog sustava d.o.o.</w:t>
        </w:r>
      </w:hyperlink>
      <w:r w:rsidR="00754C59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, sa 667,1 milijun kuna (</w:t>
      </w:r>
      <w:r w:rsidR="00754C59" w:rsidRPr="00754C59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u 2015. godini je iznosila </w:t>
      </w:r>
      <w:r w:rsidR="00754C59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725</w:t>
      </w:r>
      <w:r w:rsidR="00754C59" w:rsidRPr="00754C59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,</w:t>
      </w:r>
      <w:r w:rsidR="00754C59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2</w:t>
      </w:r>
      <w:r w:rsidR="00754C59" w:rsidRPr="00754C59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milijuna kuna</w:t>
      </w:r>
      <w:r w:rsidR="00754C59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), </w:t>
      </w:r>
      <w:hyperlink r:id="rId15" w:history="1">
        <w:r w:rsidR="00754C59" w:rsidRPr="00C17800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AUTOCESTA RIJEKA ZAGREB d.d</w:t>
        </w:r>
      </w:hyperlink>
      <w:r w:rsidR="00754C59" w:rsidRPr="00754C59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.</w:t>
      </w:r>
      <w:r w:rsidR="00754C59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, sa </w:t>
      </w:r>
      <w:r w:rsidR="00754C59" w:rsidRPr="00754C59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589,7</w:t>
      </w:r>
      <w:r w:rsidR="00754C59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milijuna kuna (</w:t>
      </w:r>
      <w:r w:rsidR="00754C59" w:rsidRPr="00754C59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u 2015. godini je iznosila </w:t>
      </w:r>
      <w:r w:rsidR="00582901" w:rsidRPr="00582901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135,6 </w:t>
      </w:r>
      <w:r w:rsidR="00754C59" w:rsidRPr="00754C59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milijuna kuna</w:t>
      </w:r>
      <w:r w:rsidR="00582901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) te </w:t>
      </w:r>
      <w:hyperlink r:id="rId16" w:history="1">
        <w:r w:rsidR="00582901" w:rsidRPr="00C17800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PLIVA HRVATSKA d.o.o</w:t>
        </w:r>
      </w:hyperlink>
      <w:r w:rsidR="00582901" w:rsidRPr="00582901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.</w:t>
      </w:r>
      <w:r w:rsidR="00582901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, </w:t>
      </w:r>
      <w:hyperlink r:id="rId17" w:history="1">
        <w:r w:rsidR="00582901" w:rsidRPr="00C17800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HEP-Proizvodnja d.o.o</w:t>
        </w:r>
      </w:hyperlink>
      <w:r w:rsidR="00582901" w:rsidRPr="00582901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.</w:t>
      </w:r>
      <w:r w:rsidR="00582901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, </w:t>
      </w:r>
      <w:hyperlink r:id="rId18" w:history="1">
        <w:r w:rsidR="00582901" w:rsidRPr="00C17800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JADRANSKI NAFTOVOD d.d.,</w:t>
        </w:r>
      </w:hyperlink>
      <w:r w:rsidR="00582901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</w:t>
      </w:r>
      <w:hyperlink r:id="rId19" w:history="1">
        <w:r w:rsidR="00582901" w:rsidRPr="00C17800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Hrvatski operator prijenosnog sustava d.o.o.</w:t>
        </w:r>
      </w:hyperlink>
      <w:r w:rsidR="00582901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, </w:t>
      </w:r>
      <w:hyperlink r:id="rId20" w:history="1">
        <w:r w:rsidR="00582901" w:rsidRPr="00C17800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Alpe-Adria poslovodstvo d.o.o.</w:t>
        </w:r>
      </w:hyperlink>
      <w:r w:rsidR="007527C4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i </w:t>
      </w:r>
      <w:hyperlink r:id="rId21" w:history="1">
        <w:r w:rsidR="00582901" w:rsidRPr="00C17800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 xml:space="preserve">H-ABDUCO </w:t>
        </w:r>
        <w:r w:rsidR="007527C4" w:rsidRPr="00C17800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d.o.o</w:t>
        </w:r>
      </w:hyperlink>
      <w:r w:rsidR="007527C4" w:rsidRPr="00582901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.</w:t>
      </w:r>
      <w:r w:rsidR="007527C4">
        <w:rPr>
          <w:rStyle w:val="FootnoteReference"/>
          <w:rFonts w:ascii="Arial" w:eastAsia="Times New Roman" w:hAnsi="Arial"/>
          <w:color w:val="17365D"/>
          <w:sz w:val="20"/>
          <w:szCs w:val="20"/>
          <w:lang w:eastAsia="hr-HR"/>
        </w:rPr>
        <w:footnoteReference w:id="3"/>
      </w:r>
      <w:r w:rsidR="007527C4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, koji su ostvarili dobit razdoblja u iznosu većem od 200 milijuna kuna, a manjem od 430 milijuna kuna.</w:t>
      </w:r>
      <w:r w:rsidR="00147852" w:rsidRPr="00147852">
        <w:t xml:space="preserve"> </w:t>
      </w:r>
      <w:r w:rsidR="00147852" w:rsidRPr="00147852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Od poduzetnika sa sjedištem u Rijeci po ostvarenoj dobiti razdoblja izdvajaju se </w:t>
      </w:r>
      <w:hyperlink r:id="rId22" w:history="1">
        <w:r w:rsidR="00147852" w:rsidRPr="00D606EA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VOLOSKO PROJEKT d.o.o</w:t>
        </w:r>
      </w:hyperlink>
      <w:r w:rsidR="00147852" w:rsidRPr="00147852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., </w:t>
      </w:r>
      <w:hyperlink r:id="rId23" w:history="1">
        <w:r w:rsidR="00147852" w:rsidRPr="00D606EA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JGL d.d</w:t>
        </w:r>
      </w:hyperlink>
      <w:r w:rsidR="00147852" w:rsidRPr="00147852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. i </w:t>
      </w:r>
      <w:hyperlink r:id="rId24" w:history="1">
        <w:r w:rsidR="00147852" w:rsidRPr="00D606EA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PLODINE d.d</w:t>
        </w:r>
      </w:hyperlink>
      <w:r w:rsidR="00147852" w:rsidRPr="00147852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., a u Velikoj Gorici, </w:t>
      </w:r>
      <w:hyperlink r:id="rId25" w:history="1">
        <w:r w:rsidR="00147852" w:rsidRPr="00D606EA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LIDL HRVATSKA d.o.o. k.d</w:t>
        </w:r>
      </w:hyperlink>
      <w:r w:rsidR="00147852" w:rsidRPr="00147852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.</w:t>
      </w:r>
    </w:p>
    <w:p w:rsidR="00DB5805" w:rsidRDefault="00D70E6B" w:rsidP="00831FD6">
      <w:pPr>
        <w:widowControl w:val="0"/>
        <w:tabs>
          <w:tab w:val="left" w:pos="1276"/>
          <w:tab w:val="right" w:pos="9639"/>
        </w:tabs>
        <w:spacing w:before="120" w:after="0"/>
        <w:jc w:val="both"/>
        <w:rPr>
          <w:rFonts w:ascii="Arial" w:eastAsia="Times New Roman" w:hAnsi="Arial" w:cs="Arial"/>
          <w:color w:val="17365D"/>
          <w:sz w:val="20"/>
          <w:szCs w:val="20"/>
          <w:lang w:eastAsia="hr-HR"/>
        </w:rPr>
      </w:pPr>
      <w:r w:rsidRPr="00D70E6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Izneseni prikaz polarizacije hrvatskih poduzetnika i broja zaposlenih ublažava činjenica da se stvarna aktivnost poduzetnika ostvaruje na području širem od njihova administrativnog sjedišta. Poznato je da su sjedišta velikih</w:t>
      </w:r>
      <w:r w:rsidR="003C6158">
        <w:t xml:space="preserve">, </w:t>
      </w:r>
      <w:r w:rsidR="003C6158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a osobito velikih </w:t>
      </w:r>
      <w:r w:rsidRPr="00D70E6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tvrtki</w:t>
      </w:r>
      <w:r w:rsidR="003C6158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u državnom ili mješovitom vlasništvu</w:t>
      </w:r>
      <w:r w:rsidRPr="00D70E6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(</w:t>
      </w:r>
      <w:r w:rsidR="00C17800" w:rsidRPr="00C17800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HEP d.d., </w:t>
      </w:r>
      <w:r w:rsidR="003C6158" w:rsidRPr="003C6158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HT d.d., PLIVA HRVATSKA d.o.o., INA – Industrija nafte d.d., ZAGREBAČKI HOLDING d.o.o.</w:t>
      </w:r>
      <w:r w:rsidR="003C6158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, </w:t>
      </w:r>
      <w:r w:rsidRPr="00D70E6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HŽ</w:t>
      </w:r>
      <w:r w:rsidR="003C6158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d.o.o.</w:t>
      </w:r>
      <w:r w:rsidRPr="00D70E6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, </w:t>
      </w:r>
      <w:r w:rsidR="003C6158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HP - </w:t>
      </w:r>
      <w:r w:rsidRPr="00D70E6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Hrvatsk</w:t>
      </w:r>
      <w:r w:rsidR="003C6158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a</w:t>
      </w:r>
      <w:r w:rsidRPr="00D70E6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pošt</w:t>
      </w:r>
      <w:r w:rsidR="003C6158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a d.d.</w:t>
      </w:r>
      <w:r w:rsidRPr="00D70E6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, Hrvatske šume</w:t>
      </w:r>
      <w:r w:rsidR="003C6158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d.o.o.,</w:t>
      </w:r>
      <w:r w:rsidRPr="00D70E6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Hrvatske vode</w:t>
      </w:r>
      <w:r w:rsidR="003C6158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i dr.</w:t>
      </w:r>
      <w:r w:rsidRPr="00D70E6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)</w:t>
      </w:r>
      <w:r w:rsidR="00903DB4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,</w:t>
      </w:r>
      <w:r w:rsidRPr="00D70E6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kao i velikih trgovačkih lanaca</w:t>
      </w:r>
      <w:r w:rsidR="003C6158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</w:t>
      </w:r>
      <w:r w:rsidR="00A061D6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(</w:t>
      </w:r>
      <w:r w:rsidR="00A061D6" w:rsidRPr="00A061D6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KAUFLAND HRVATSKA k.d.</w:t>
      </w:r>
      <w:r w:rsidR="00A061D6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, </w:t>
      </w:r>
      <w:r w:rsidR="00A061D6" w:rsidRPr="00A061D6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SPAR HRVATSKA d.o.o.</w:t>
      </w:r>
      <w:r w:rsidR="00A061D6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) i drugih velikih i srednjih poduzetnika</w:t>
      </w:r>
      <w:r w:rsidR="00903DB4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,</w:t>
      </w:r>
      <w:r w:rsidR="00A061D6" w:rsidRPr="00D70E6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</w:t>
      </w:r>
      <w:r w:rsidRPr="00D70E6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redom u Gradu Zagrebu te se njihovi financijski rezultati i broj zaposlenih evidentiraju upravo u toj županiji, a ne i u drugim županijama</w:t>
      </w:r>
      <w:r w:rsidR="00903DB4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, gradovima ili općinama,</w:t>
      </w:r>
      <w:bookmarkStart w:id="2" w:name="_GoBack"/>
      <w:bookmarkEnd w:id="2"/>
      <w:r w:rsidRPr="00D70E6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u kojima se također obavlja manji ili veći dio njihovih poslovnih aktivnosti.</w:t>
      </w:r>
    </w:p>
    <w:p w:rsidR="00831FD6" w:rsidRDefault="00831FD6" w:rsidP="00831FD6">
      <w:pPr>
        <w:spacing w:before="120" w:after="0" w:line="240" w:lineRule="auto"/>
        <w:jc w:val="both"/>
        <w:rPr>
          <w:rFonts w:ascii="Arial" w:eastAsia="Times New Roman" w:hAnsi="Arial" w:cs="Arial"/>
          <w:color w:val="17365D"/>
          <w:sz w:val="20"/>
          <w:szCs w:val="20"/>
          <w:lang w:eastAsia="hr-HR"/>
        </w:rPr>
      </w:pPr>
      <w:r w:rsidRPr="00831FD6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 xml:space="preserve">Više o rezultatima poslovanja poduzetnika po područjima djelatnosti i po drugim kriterijima, prezentirano je u </w:t>
      </w:r>
      <w:hyperlink r:id="rId26" w:history="1">
        <w:r w:rsidRPr="00831FD6">
          <w:rPr>
            <w:rFonts w:ascii="Arial" w:eastAsia="Times New Roman" w:hAnsi="Arial" w:cs="Arial"/>
            <w:i/>
            <w:color w:val="0000FF"/>
            <w:sz w:val="18"/>
            <w:szCs w:val="18"/>
            <w:u w:val="single"/>
            <w:lang w:eastAsia="hr-HR"/>
          </w:rPr>
          <w:t>standardnim analizama</w:t>
        </w:r>
      </w:hyperlink>
      <w:r w:rsidRPr="00831FD6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 xml:space="preserve"> rezultata poslovanja poduzetnika RH, po županijama i po gradovima i općinama u 2015. godini. Pojedinačni podaci o rezultatima poslovanja poduzetnika dostupni su besplatno na</w:t>
      </w:r>
      <w:r w:rsidRPr="00831FD6">
        <w:rPr>
          <w:rFonts w:ascii="Arial" w:eastAsia="Calibri" w:hAnsi="Arial" w:cs="Arial"/>
          <w:i/>
          <w:color w:val="17365D"/>
          <w:sz w:val="18"/>
          <w:szCs w:val="18"/>
          <w:lang w:eastAsia="hr-HR"/>
        </w:rPr>
        <w:t xml:space="preserve"> </w:t>
      </w:r>
      <w:hyperlink r:id="rId27" w:history="1">
        <w:r w:rsidRPr="00831FD6">
          <w:rPr>
            <w:rFonts w:ascii="Arial" w:eastAsia="Calibri" w:hAnsi="Arial" w:cs="Arial"/>
            <w:i/>
            <w:color w:val="0000FF"/>
            <w:sz w:val="18"/>
            <w:szCs w:val="18"/>
            <w:u w:val="single"/>
            <w:lang w:eastAsia="hr-HR"/>
          </w:rPr>
          <w:t>RGFI – javna objava</w:t>
        </w:r>
      </w:hyperlink>
      <w:r w:rsidRPr="00831FD6">
        <w:rPr>
          <w:rFonts w:ascii="Arial" w:eastAsia="Calibri" w:hAnsi="Arial" w:cs="Arial"/>
          <w:i/>
          <w:color w:val="0F243E"/>
          <w:sz w:val="18"/>
          <w:szCs w:val="18"/>
          <w:lang w:eastAsia="hr-HR"/>
        </w:rPr>
        <w:t xml:space="preserve"> </w:t>
      </w:r>
      <w:r w:rsidRPr="00831FD6">
        <w:rPr>
          <w:rFonts w:ascii="Arial" w:eastAsia="Times New Roman" w:hAnsi="Arial" w:cs="Arial"/>
          <w:i/>
          <w:color w:val="17375E"/>
          <w:sz w:val="18"/>
          <w:szCs w:val="18"/>
          <w:lang w:eastAsia="hr-HR"/>
        </w:rPr>
        <w:t>i na</w:t>
      </w:r>
      <w:r w:rsidRPr="00831FD6">
        <w:rPr>
          <w:rFonts w:ascii="Arial" w:eastAsia="Calibri" w:hAnsi="Arial" w:cs="Arial"/>
          <w:i/>
          <w:color w:val="0F243E"/>
          <w:sz w:val="18"/>
          <w:szCs w:val="18"/>
          <w:lang w:eastAsia="hr-HR"/>
        </w:rPr>
        <w:t xml:space="preserve"> </w:t>
      </w:r>
      <w:hyperlink r:id="rId28" w:history="1">
        <w:r w:rsidRPr="00831FD6">
          <w:rPr>
            <w:rFonts w:ascii="Arial" w:eastAsia="Calibri" w:hAnsi="Arial" w:cs="Arial"/>
            <w:i/>
            <w:color w:val="0000FF"/>
            <w:sz w:val="18"/>
            <w:szCs w:val="18"/>
            <w:u w:val="single"/>
            <w:lang w:eastAsia="hr-HR"/>
          </w:rPr>
          <w:t>Transparentno.hr</w:t>
        </w:r>
      </w:hyperlink>
      <w:r w:rsidRPr="00831FD6">
        <w:rPr>
          <w:rFonts w:ascii="Arial" w:eastAsia="Calibri" w:hAnsi="Arial" w:cs="Arial"/>
          <w:i/>
          <w:color w:val="0000FF"/>
          <w:sz w:val="18"/>
          <w:szCs w:val="18"/>
          <w:u w:val="single"/>
          <w:lang w:eastAsia="hr-HR"/>
        </w:rPr>
        <w:t>,</w:t>
      </w:r>
      <w:r w:rsidRPr="00831FD6">
        <w:rPr>
          <w:rFonts w:ascii="Arial" w:eastAsia="Calibri" w:hAnsi="Arial" w:cs="Arial"/>
          <w:i/>
          <w:color w:val="0000FF"/>
          <w:sz w:val="18"/>
          <w:szCs w:val="18"/>
          <w:lang w:eastAsia="hr-HR"/>
        </w:rPr>
        <w:t xml:space="preserve"> </w:t>
      </w:r>
      <w:r w:rsidRPr="00831FD6">
        <w:rPr>
          <w:rFonts w:ascii="Arial" w:eastAsia="Calibri" w:hAnsi="Arial" w:cs="Arial"/>
          <w:i/>
          <w:color w:val="244061"/>
          <w:sz w:val="18"/>
          <w:szCs w:val="18"/>
          <w:lang w:eastAsia="hr-HR"/>
        </w:rPr>
        <w:t xml:space="preserve">a agregirani i pojedinačni podaci dostupni su uz naknadu na servisu </w:t>
      </w:r>
      <w:hyperlink r:id="rId29" w:history="1">
        <w:r w:rsidRPr="00831FD6">
          <w:rPr>
            <w:rFonts w:ascii="Arial" w:eastAsia="Calibri" w:hAnsi="Arial" w:cs="Arial"/>
            <w:i/>
            <w:color w:val="0000FF"/>
            <w:sz w:val="18"/>
            <w:szCs w:val="18"/>
            <w:u w:val="single"/>
            <w:lang w:eastAsia="hr-HR"/>
          </w:rPr>
          <w:t>info.BIZ</w:t>
        </w:r>
      </w:hyperlink>
    </w:p>
    <w:sectPr w:rsidR="00831FD6" w:rsidSect="00DB53EB">
      <w:headerReference w:type="first" r:id="rId30"/>
      <w:type w:val="continuous"/>
      <w:pgSz w:w="11906" w:h="16838" w:code="9"/>
      <w:pgMar w:top="1134" w:right="1021" w:bottom="1134" w:left="1134" w:header="709" w:footer="1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2B0" w:rsidRDefault="003262B0" w:rsidP="00D70E6B">
      <w:pPr>
        <w:spacing w:after="0" w:line="240" w:lineRule="auto"/>
      </w:pPr>
      <w:r>
        <w:separator/>
      </w:r>
    </w:p>
  </w:endnote>
  <w:endnote w:type="continuationSeparator" w:id="0">
    <w:p w:rsidR="003262B0" w:rsidRDefault="003262B0" w:rsidP="00D70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2B0" w:rsidRDefault="003262B0" w:rsidP="00D70E6B">
      <w:pPr>
        <w:spacing w:after="0" w:line="240" w:lineRule="auto"/>
      </w:pPr>
      <w:r>
        <w:separator/>
      </w:r>
    </w:p>
  </w:footnote>
  <w:footnote w:type="continuationSeparator" w:id="0">
    <w:p w:rsidR="003262B0" w:rsidRDefault="003262B0" w:rsidP="00D70E6B">
      <w:pPr>
        <w:spacing w:after="0" w:line="240" w:lineRule="auto"/>
      </w:pPr>
      <w:r>
        <w:continuationSeparator/>
      </w:r>
    </w:p>
  </w:footnote>
  <w:footnote w:id="1">
    <w:p w:rsidR="00AE3B26" w:rsidRPr="00AE3B26" w:rsidRDefault="00AE3B26" w:rsidP="004B5080">
      <w:pPr>
        <w:pStyle w:val="FootnoteText"/>
        <w:spacing w:before="0" w:line="240" w:lineRule="auto"/>
        <w:rPr>
          <w:rFonts w:eastAsia="Calibri" w:cs="Arial"/>
          <w:color w:val="244061"/>
          <w:sz w:val="17"/>
          <w:szCs w:val="17"/>
          <w:lang w:val="hr-HR" w:eastAsia="en-US"/>
        </w:rPr>
      </w:pPr>
      <w:r w:rsidRPr="00AE3B26">
        <w:rPr>
          <w:rStyle w:val="FootnoteReference"/>
          <w:sz w:val="17"/>
          <w:szCs w:val="17"/>
        </w:rPr>
        <w:footnoteRef/>
      </w:r>
      <w:r w:rsidRPr="00AE3B26">
        <w:rPr>
          <w:sz w:val="17"/>
          <w:szCs w:val="17"/>
        </w:rPr>
        <w:t xml:space="preserve"> </w:t>
      </w:r>
      <w:r w:rsidRPr="00AE3B26">
        <w:rPr>
          <w:rFonts w:eastAsia="Calibri" w:cs="Arial"/>
          <w:color w:val="244061"/>
          <w:sz w:val="17"/>
          <w:szCs w:val="17"/>
          <w:lang w:val="hr-HR" w:eastAsia="en-US"/>
        </w:rPr>
        <w:t>Sjedište Zagrebačke županije je u Zagrebu</w:t>
      </w:r>
      <w:r w:rsidR="009D096D">
        <w:rPr>
          <w:rFonts w:eastAsia="Calibri" w:cs="Arial"/>
          <w:color w:val="244061"/>
          <w:sz w:val="17"/>
          <w:szCs w:val="17"/>
          <w:lang w:val="hr-HR" w:eastAsia="en-US"/>
        </w:rPr>
        <w:t xml:space="preserve">, kao županije Grad Zagreb te je za </w:t>
      </w:r>
      <w:r w:rsidRPr="00AE3B26">
        <w:rPr>
          <w:rFonts w:eastAsia="Calibri" w:cs="Arial"/>
          <w:color w:val="244061"/>
          <w:sz w:val="17"/>
          <w:szCs w:val="17"/>
          <w:lang w:val="hr-HR" w:eastAsia="en-US"/>
        </w:rPr>
        <w:t xml:space="preserve">potrebe ove analize </w:t>
      </w:r>
      <w:r w:rsidR="009D096D">
        <w:rPr>
          <w:rFonts w:eastAsia="Calibri" w:cs="Arial"/>
          <w:color w:val="244061"/>
          <w:sz w:val="17"/>
          <w:szCs w:val="17"/>
          <w:lang w:val="hr-HR" w:eastAsia="en-US"/>
        </w:rPr>
        <w:t xml:space="preserve">među gradovima Zagrebačke županije </w:t>
      </w:r>
      <w:r w:rsidRPr="00AE3B26">
        <w:rPr>
          <w:rFonts w:eastAsia="Calibri" w:cs="Arial"/>
          <w:color w:val="244061"/>
          <w:sz w:val="17"/>
          <w:szCs w:val="17"/>
          <w:lang w:val="hr-HR" w:eastAsia="en-US"/>
        </w:rPr>
        <w:t>izdvojena Velika Gorica, grad sa najvećim brojem poduzetnika.</w:t>
      </w:r>
    </w:p>
  </w:footnote>
  <w:footnote w:id="2">
    <w:p w:rsidR="00D70E6B" w:rsidRPr="00973AA5" w:rsidRDefault="00D70E6B" w:rsidP="00973AA5">
      <w:pPr>
        <w:pStyle w:val="FootnoteText"/>
        <w:spacing w:before="20" w:line="240" w:lineRule="auto"/>
        <w:jc w:val="left"/>
        <w:rPr>
          <w:color w:val="244061" w:themeColor="accent1" w:themeShade="80"/>
          <w:sz w:val="17"/>
          <w:szCs w:val="17"/>
        </w:rPr>
      </w:pPr>
      <w:r w:rsidRPr="007527C4">
        <w:rPr>
          <w:rStyle w:val="FootnoteReference"/>
          <w:color w:val="244061" w:themeColor="accent1" w:themeShade="80"/>
          <w:sz w:val="17"/>
          <w:szCs w:val="17"/>
        </w:rPr>
        <w:footnoteRef/>
      </w:r>
      <w:r w:rsidRPr="007527C4">
        <w:rPr>
          <w:color w:val="244061" w:themeColor="accent1" w:themeShade="80"/>
          <w:sz w:val="17"/>
          <w:szCs w:val="17"/>
        </w:rPr>
        <w:t xml:space="preserve"> </w:t>
      </w:r>
      <w:r w:rsidRPr="00973AA5">
        <w:rPr>
          <w:color w:val="244061" w:themeColor="accent1" w:themeShade="80"/>
          <w:sz w:val="17"/>
          <w:szCs w:val="17"/>
        </w:rPr>
        <w:t>Konsolidirani financijski rezultat – dobit razdoblja umanjena za gubitak.</w:t>
      </w:r>
    </w:p>
  </w:footnote>
  <w:footnote w:id="3">
    <w:p w:rsidR="007527C4" w:rsidRPr="00973AA5" w:rsidRDefault="007527C4" w:rsidP="00973AA5">
      <w:pPr>
        <w:pStyle w:val="FootnoteText"/>
        <w:spacing w:before="20" w:line="240" w:lineRule="auto"/>
        <w:jc w:val="left"/>
        <w:rPr>
          <w:color w:val="244061" w:themeColor="accent1" w:themeShade="80"/>
          <w:sz w:val="17"/>
          <w:szCs w:val="17"/>
          <w:lang w:val="hr-HR"/>
        </w:rPr>
      </w:pPr>
      <w:r w:rsidRPr="00973AA5">
        <w:rPr>
          <w:rStyle w:val="FootnoteReference"/>
          <w:color w:val="244061" w:themeColor="accent1" w:themeShade="80"/>
          <w:sz w:val="17"/>
          <w:szCs w:val="17"/>
        </w:rPr>
        <w:footnoteRef/>
      </w:r>
      <w:r w:rsidRPr="00973AA5">
        <w:rPr>
          <w:color w:val="244061" w:themeColor="accent1" w:themeShade="80"/>
          <w:sz w:val="17"/>
          <w:szCs w:val="17"/>
        </w:rPr>
        <w:t xml:space="preserve"> </w:t>
      </w:r>
      <w:r w:rsidR="00973AA5" w:rsidRPr="00973AA5">
        <w:rPr>
          <w:color w:val="244061" w:themeColor="accent1" w:themeShade="80"/>
          <w:sz w:val="17"/>
          <w:szCs w:val="17"/>
          <w:lang w:val="hr-HR"/>
        </w:rPr>
        <w:t>Z</w:t>
      </w:r>
      <w:r w:rsidR="00973AA5" w:rsidRPr="00973AA5">
        <w:rPr>
          <w:color w:val="244061" w:themeColor="accent1" w:themeShade="80"/>
          <w:sz w:val="17"/>
          <w:szCs w:val="17"/>
        </w:rPr>
        <w:t xml:space="preserve">a </w:t>
      </w:r>
      <w:r w:rsidR="00973AA5" w:rsidRPr="00973AA5">
        <w:rPr>
          <w:color w:val="244061" w:themeColor="accent1" w:themeShade="80"/>
          <w:sz w:val="17"/>
          <w:szCs w:val="17"/>
          <w:lang w:val="hr-HR"/>
        </w:rPr>
        <w:t>2015. godinu društvo je iskazalo</w:t>
      </w:r>
      <w:r w:rsidR="00973AA5">
        <w:rPr>
          <w:color w:val="244061" w:themeColor="accent1" w:themeShade="80"/>
          <w:sz w:val="17"/>
          <w:szCs w:val="17"/>
          <w:lang w:val="hr-HR"/>
        </w:rPr>
        <w:t xml:space="preserve"> dobit razdoblja u iznosu od 42,2 milijuna kuna</w:t>
      </w:r>
      <w:r w:rsidR="00973AA5" w:rsidRPr="00973AA5">
        <w:rPr>
          <w:color w:val="244061" w:themeColor="accent1" w:themeShade="80"/>
          <w:sz w:val="17"/>
          <w:szCs w:val="17"/>
          <w:lang w:val="hr-HR"/>
        </w:rPr>
        <w:t xml:space="preserve">, za </w:t>
      </w:r>
      <w:r w:rsidR="00973AA5" w:rsidRPr="00973AA5">
        <w:rPr>
          <w:color w:val="244061" w:themeColor="accent1" w:themeShade="80"/>
          <w:sz w:val="17"/>
          <w:szCs w:val="17"/>
        </w:rPr>
        <w:t>2014. godinu gubitak razdoblja u iznosu od 4</w:t>
      </w:r>
      <w:r w:rsidR="003C6158">
        <w:rPr>
          <w:color w:val="244061" w:themeColor="accent1" w:themeShade="80"/>
          <w:sz w:val="17"/>
          <w:szCs w:val="17"/>
          <w:lang w:val="hr-HR"/>
        </w:rPr>
        <w:t>,0</w:t>
      </w:r>
      <w:r w:rsidR="00973AA5" w:rsidRPr="00973AA5">
        <w:rPr>
          <w:color w:val="244061" w:themeColor="accent1" w:themeShade="80"/>
          <w:sz w:val="17"/>
          <w:szCs w:val="17"/>
        </w:rPr>
        <w:t xml:space="preserve"> milijarde kuna</w:t>
      </w:r>
      <w:r w:rsidR="00973AA5" w:rsidRPr="00973AA5">
        <w:rPr>
          <w:color w:val="244061" w:themeColor="accent1" w:themeShade="80"/>
          <w:sz w:val="17"/>
          <w:szCs w:val="17"/>
          <w:lang w:val="hr-HR"/>
        </w:rPr>
        <w:t>, a u</w:t>
      </w:r>
      <w:r w:rsidR="00973AA5" w:rsidRPr="00973AA5">
        <w:rPr>
          <w:color w:val="244061" w:themeColor="accent1" w:themeShade="80"/>
          <w:sz w:val="17"/>
          <w:szCs w:val="17"/>
        </w:rPr>
        <w:t xml:space="preserve"> 2013. godin</w:t>
      </w:r>
      <w:r w:rsidR="00973AA5" w:rsidRPr="00973AA5">
        <w:rPr>
          <w:color w:val="244061" w:themeColor="accent1" w:themeShade="80"/>
          <w:sz w:val="17"/>
          <w:szCs w:val="17"/>
          <w:lang w:val="hr-HR"/>
        </w:rPr>
        <w:t>i</w:t>
      </w:r>
      <w:r w:rsidR="00973AA5" w:rsidRPr="00973AA5">
        <w:rPr>
          <w:color w:val="244061" w:themeColor="accent1" w:themeShade="80"/>
          <w:sz w:val="17"/>
          <w:szCs w:val="17"/>
        </w:rPr>
        <w:t xml:space="preserve"> gubitak je iznosio 243,7 milijuna 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3EB" w:rsidRDefault="00DB53EB">
    <w:pPr>
      <w:pStyle w:val="Header"/>
    </w:pPr>
    <w:r>
      <w:rPr>
        <w:noProof/>
        <w:lang w:eastAsia="hr-HR"/>
      </w:rPr>
      <w:drawing>
        <wp:inline distT="0" distB="0" distL="0" distR="0" wp14:anchorId="7CD1346A" wp14:editId="00D4CB82">
          <wp:extent cx="1085215" cy="21336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213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E6B"/>
    <w:rsid w:val="000B311C"/>
    <w:rsid w:val="00147852"/>
    <w:rsid w:val="00207396"/>
    <w:rsid w:val="003262B0"/>
    <w:rsid w:val="003C6158"/>
    <w:rsid w:val="004B5080"/>
    <w:rsid w:val="004F7F67"/>
    <w:rsid w:val="00582901"/>
    <w:rsid w:val="00611C87"/>
    <w:rsid w:val="007527C4"/>
    <w:rsid w:val="00754C59"/>
    <w:rsid w:val="00831FD6"/>
    <w:rsid w:val="008B2C7D"/>
    <w:rsid w:val="00903DB4"/>
    <w:rsid w:val="00917AE9"/>
    <w:rsid w:val="00973AA5"/>
    <w:rsid w:val="009B28CE"/>
    <w:rsid w:val="009D096D"/>
    <w:rsid w:val="00A061D6"/>
    <w:rsid w:val="00AE3B26"/>
    <w:rsid w:val="00AF51D3"/>
    <w:rsid w:val="00C17800"/>
    <w:rsid w:val="00D606EA"/>
    <w:rsid w:val="00D70E6B"/>
    <w:rsid w:val="00D822A8"/>
    <w:rsid w:val="00D96DD5"/>
    <w:rsid w:val="00DB53EB"/>
    <w:rsid w:val="00DB5805"/>
    <w:rsid w:val="00EC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D70E6B"/>
    <w:pPr>
      <w:spacing w:before="120" w:after="0" w:line="288" w:lineRule="auto"/>
      <w:jc w:val="both"/>
    </w:pPr>
    <w:rPr>
      <w:rFonts w:ascii="Arial" w:eastAsia="Times New Roman" w:hAnsi="Arial" w:cs="Times New Roman"/>
      <w:color w:val="003366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0E6B"/>
    <w:rPr>
      <w:rFonts w:ascii="Arial" w:eastAsia="Times New Roman" w:hAnsi="Arial" w:cs="Times New Roman"/>
      <w:color w:val="003366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rsid w:val="00D70E6B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3EB"/>
  </w:style>
  <w:style w:type="paragraph" w:styleId="Footer">
    <w:name w:val="footer"/>
    <w:basedOn w:val="Normal"/>
    <w:link w:val="FooterChar"/>
    <w:uiPriority w:val="99"/>
    <w:unhideWhenUsed/>
    <w:rsid w:val="00DB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3EB"/>
  </w:style>
  <w:style w:type="paragraph" w:styleId="BalloonText">
    <w:name w:val="Balloon Text"/>
    <w:basedOn w:val="Normal"/>
    <w:link w:val="BalloonTextChar"/>
    <w:uiPriority w:val="99"/>
    <w:semiHidden/>
    <w:unhideWhenUsed/>
    <w:rsid w:val="00DB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3E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E3B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3B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3B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B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B2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478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D70E6B"/>
    <w:pPr>
      <w:spacing w:before="120" w:after="0" w:line="288" w:lineRule="auto"/>
      <w:jc w:val="both"/>
    </w:pPr>
    <w:rPr>
      <w:rFonts w:ascii="Arial" w:eastAsia="Times New Roman" w:hAnsi="Arial" w:cs="Times New Roman"/>
      <w:color w:val="003366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0E6B"/>
    <w:rPr>
      <w:rFonts w:ascii="Arial" w:eastAsia="Times New Roman" w:hAnsi="Arial" w:cs="Times New Roman"/>
      <w:color w:val="003366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rsid w:val="00D70E6B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3EB"/>
  </w:style>
  <w:style w:type="paragraph" w:styleId="Footer">
    <w:name w:val="footer"/>
    <w:basedOn w:val="Normal"/>
    <w:link w:val="FooterChar"/>
    <w:uiPriority w:val="99"/>
    <w:unhideWhenUsed/>
    <w:rsid w:val="00DB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3EB"/>
  </w:style>
  <w:style w:type="paragraph" w:styleId="BalloonText">
    <w:name w:val="Balloon Text"/>
    <w:basedOn w:val="Normal"/>
    <w:link w:val="BalloonTextChar"/>
    <w:uiPriority w:val="99"/>
    <w:semiHidden/>
    <w:unhideWhenUsed/>
    <w:rsid w:val="00DB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3E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E3B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3B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3B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B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B2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478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tno.hr/pregled/82733440679/9a374e6dd43728fa6b7a7f31ddcd658b0f4f4993288e78fc0c3df2430ef269ce67b4efe101fe1f146800d3ce7020965d5f5e554f30163a872847b93059264487" TargetMode="External"/><Relationship Id="rId13" Type="http://schemas.openxmlformats.org/officeDocument/2006/relationships/hyperlink" Target="https://www.transparentno.hr/pregled/81793146560/bfe0263f9ec91aeec162ccdb106836d46c7a439fd3380e6b9d4a40afae5a59cbec465c90814fa7572c4c8d5f7ff9a65ff5212b5a28ce19400a59307fac82d923" TargetMode="External"/><Relationship Id="rId18" Type="http://schemas.openxmlformats.org/officeDocument/2006/relationships/hyperlink" Target="https://www.transparentno.hr/pregled/89018712265/7382ffd8475732a8ca9da38821594d613dcc105a4e3bd609176cfc8aa0937c8a5afb436ae89ff61b9c25f6fd94548ae789ef9dd5d6e6a0e36932f618df0d1c20" TargetMode="External"/><Relationship Id="rId26" Type="http://schemas.openxmlformats.org/officeDocument/2006/relationships/hyperlink" Target="http://www.fina.hr/Default.aspx?sec=127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transparentno.hr/pregled/13667298928/fbd15a3cc2a5eb3f8dcc6d7551eaa77c204cd082c2582bfb7a6a7423327f82401816651836b2236d096f6ba60bda92dd7cd1df20096cffdb58116edef7e27cfc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transparentno.hr/pregled/28921978587/8be0e3e3e6e114cde6b6db0e48785e7af8144a59ede283e5af029af69c0b24620e9f3b6f05a2a4b62cfb13b042b45cf99a721a56e66c77d6cfa419eddea5239d" TargetMode="External"/><Relationship Id="rId17" Type="http://schemas.openxmlformats.org/officeDocument/2006/relationships/hyperlink" Target="https://www.transparentno.hr/pregled/09518585079/e79823de6b65c086671ba630e9ed50d24d88caec31a42714411006830442a25ade1dde57f9945ad84c017e49a98cb28e474001dfd8cd95a8772acee74bbbb276" TargetMode="External"/><Relationship Id="rId25" Type="http://schemas.openxmlformats.org/officeDocument/2006/relationships/hyperlink" Target="https://www.transparentno.hr/pregled/66089976432/c60d23a0cbb75c20012aca4e6a2c78131b158a913c4b6bdee855af5cd7a29450477f41e31e40a0371756d2ffb239473810dd1cf6ac23f4c60176235ca720e3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ransparentno.hr/pregled/44205501677/811b86e088aa79b6770e8b60d653a865734d1e700a44fc4b1eb7f918b14cff3d4785c79ed024c0ac1c5d592225765910c2ea5e86cd19ba534ba8e81268dbb72d" TargetMode="External"/><Relationship Id="rId20" Type="http://schemas.openxmlformats.org/officeDocument/2006/relationships/hyperlink" Target="https://www.transparentno.hr/pregled/99488126785/1dba12071168c5d0668ed6ba8cce6bf024f81ed6be8d28452e56526c87686fa4fec275c8f1e0b208d4f6eb075eccb9249407efa329e5ac28802562003df690e6" TargetMode="External"/><Relationship Id="rId29" Type="http://schemas.openxmlformats.org/officeDocument/2006/relationships/hyperlink" Target="http://www.fina.hr/Default.aspx?art=8958&amp;sec=127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tno.hr/pregled/00477558188/a21438fb29b7ff990543ba8cc2619ef736381fb86c9895bcdd6bec43eab312879f7d8631e73a919cf4401a420674ac30a7450aeaa98ca9c2ad2c5ea179857d5c" TargetMode="External"/><Relationship Id="rId24" Type="http://schemas.openxmlformats.org/officeDocument/2006/relationships/hyperlink" Target="https://www.transparentno.hr/pregled/92510683607/c6d84b98be4ec55981bb2ff0b1efdbbc2afc969933360d056a5fb219d0ff6ca5f5db3d3757a1e575617438b42cfa516a2b448a37b7d6aed3d00a216cccb8c8c3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transparentno.hr/pregled/96330310281/26041c0703eb8043c9c0c107883b262754e52ee6c355f03010da9b3b63e1910abc7376428ffb4788d5ac26c10a87352c1d99123dc93c9418e10030d74634666d" TargetMode="External"/><Relationship Id="rId23" Type="http://schemas.openxmlformats.org/officeDocument/2006/relationships/hyperlink" Target="https://www.transparentno.hr/pregled/20950636972/aba61c701c1a906608f1e1e07f314a8ca4cfdb6574a63a8144d9591ac4b1f58439558a05e0f3654d03217acc8cda294449dc966d57b4a6271c5a102d67e4059e" TargetMode="External"/><Relationship Id="rId28" Type="http://schemas.openxmlformats.org/officeDocument/2006/relationships/hyperlink" Target="https://www.transparentno.hr/" TargetMode="External"/><Relationship Id="rId10" Type="http://schemas.openxmlformats.org/officeDocument/2006/relationships/hyperlink" Target="https://www.transparentno.hr/pregled/46721185366/baf1fe6debdb71338f2328656b696e3271ba78c1ad3b7217e166410f8ba6fccb99d71cfac585e0ce7a5980f8e72daabac2f2187dd1919fb20a633c94b8d5c129" TargetMode="External"/><Relationship Id="rId19" Type="http://schemas.openxmlformats.org/officeDocument/2006/relationships/hyperlink" Target="https://www.transparentno.hr/pregled/13148821633/3a063f87c53d3c71e7ff73ff8b14021132d1c18caa35f9ddd6666dfa940c3b0bad452ae0b5aa56ec9081d631cfc1dc70ab3dd9cb5efd41a3a88c2f0221a5fffd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ransparentno.hr/pregled/92847338730/48598d082ecb64bc8353bf26bc8f2f48230980edf6f49131fcba1c291e6815f677ba0851366b1300430fe82e9ed7668f0aecb66d96a4208ec813c6cc44a57307" TargetMode="External"/><Relationship Id="rId14" Type="http://schemas.openxmlformats.org/officeDocument/2006/relationships/hyperlink" Target="https://www.transparentno.hr/pregled/46830600751/ca44734359e447f2f891a817bfb1e378535cdd01aa31ecf15437e326d214ef2158d1a02cc160228879a407dfae3fb29669d77cd81b10aa1cc37bcabcb6292352" TargetMode="External"/><Relationship Id="rId22" Type="http://schemas.openxmlformats.org/officeDocument/2006/relationships/hyperlink" Target="https://www.transparentno.hr/pregled/46665607676/15556b8935b63aa8117e141ac2d25e2d82408fe5f72365b4cd32ca0d8fe78748cdc92c8014064abd8756fb48412dc6f8b594c2fc0c1e0fbb1b68d8a1196d1143" TargetMode="External"/><Relationship Id="rId27" Type="http://schemas.openxmlformats.org/officeDocument/2006/relationships/hyperlink" Target="http://rgfi.fina.hr/JavnaObjava-web/jsp/prijavaKorisnika.jsp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5F0E7-6CD0-456F-B023-28BDF5885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1792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2017-07-28T06:52:00Z</dcterms:created>
  <dcterms:modified xsi:type="dcterms:W3CDTF">2017-07-28T06:52:00Z</dcterms:modified>
</cp:coreProperties>
</file>