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75" w:rsidRPr="00592E7F" w:rsidRDefault="00CE57DB" w:rsidP="0049325D">
      <w:pPr>
        <w:widowControl w:val="0"/>
        <w:spacing w:after="0" w:line="240" w:lineRule="auto"/>
        <w:contextualSpacing/>
        <w:jc w:val="center"/>
        <w:outlineLvl w:val="0"/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</w:pPr>
      <w:r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  <w:t xml:space="preserve">Na razini </w:t>
      </w:r>
      <w:r w:rsidRPr="00592E7F"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  <w:t>otočni</w:t>
      </w:r>
      <w:r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  <w:t>h</w:t>
      </w:r>
      <w:r w:rsidRPr="00592E7F"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  <w:t xml:space="preserve"> gradova i općina u 2016. Godini</w:t>
      </w:r>
      <w:r>
        <w:rPr>
          <w:rFonts w:ascii="Arial" w:eastAsia="Times New Roman" w:hAnsi="Arial" w:cs="Times New Roman"/>
          <w:b/>
          <w:color w:val="17365D"/>
          <w:sz w:val="20"/>
          <w:szCs w:val="20"/>
          <w:lang w:eastAsia="hr-HR"/>
        </w:rPr>
        <w:t xml:space="preserve"> dobit poduzetnika porasla za 143 %</w:t>
      </w:r>
    </w:p>
    <w:p w:rsidR="0093546F" w:rsidRDefault="00367E75" w:rsidP="00E52D91">
      <w:pPr>
        <w:widowControl w:val="0"/>
        <w:spacing w:before="120" w:after="0"/>
        <w:jc w:val="both"/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</w:pP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Republika Hrvatska ima 1.244 otoka koji se geografski dijele na 78 otoka (</w:t>
      </w:r>
      <w:r w:rsidR="001F20D8"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 xml:space="preserve">kojima je </w:t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površina veća od 1 km</w:t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vertAlign w:val="superscript"/>
          <w:lang w:eastAsia="hr-HR"/>
        </w:rPr>
        <w:t>2</w:t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), 524 otočića i 642 hridi i grebena.</w:t>
      </w:r>
      <w:r w:rsidRPr="004425B1">
        <w:rPr>
          <w:rFonts w:ascii="Arial" w:eastAsia="Arial Unicode MS" w:hAnsi="Arial" w:cs="Arial"/>
          <w:noProof/>
          <w:color w:val="17365D"/>
          <w:sz w:val="18"/>
          <w:szCs w:val="20"/>
          <w:vertAlign w:val="superscript"/>
          <w:lang w:eastAsia="hr-HR"/>
        </w:rPr>
        <w:footnoteReference w:id="1"/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 xml:space="preserve"> Stalno je naseljeno 47 otoka i poluotok Pelješac, a prema posljednjem popisu stanovništva iz 2011. godine zabilježen je rast broja stanovnika na otocima na kojima</w:t>
      </w:r>
      <w:r w:rsidR="001F20D8"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,</w:t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 xml:space="preserve"> u 344 naselja</w:t>
      </w:r>
      <w:r w:rsidR="001F20D8"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,</w:t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 xml:space="preserve"> živi 132</w:t>
      </w:r>
      <w:r w:rsidR="00CE57DB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 756 stanovnika, što je za 7</w:t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886 više u odnosu na rezultate popisa iz 2001. godine.</w:t>
      </w:r>
      <w:r w:rsidR="0093546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 xml:space="preserve"> </w:t>
      </w:r>
    </w:p>
    <w:p w:rsidR="00D27686" w:rsidRPr="00592E7F" w:rsidRDefault="00D27686" w:rsidP="00E52D91">
      <w:pPr>
        <w:widowControl w:val="0"/>
        <w:spacing w:before="120" w:after="0"/>
        <w:jc w:val="both"/>
        <w:rPr>
          <w:rFonts w:ascii="Arial" w:eastAsia="Arial Unicode MS" w:hAnsi="Arial" w:cs="Arial"/>
          <w:color w:val="17365D"/>
          <w:sz w:val="20"/>
          <w:szCs w:val="20"/>
          <w:lang w:eastAsia="hr-HR"/>
        </w:rPr>
      </w:pP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Najviše otočnih gradova i općina 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je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 u Splitsko-dalmatinskoj županiji (16)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, a s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lijede Dubrovačko-neretvanska i Primorsko-goranska županija sa po 11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 i 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Zadarska županija sa 10 otočnih gradova i općina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. Š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ibensko-kninska 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županija ima dvije 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otočne opći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ne, a Ličko-senjska jedan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 otočni grad (tablica 1)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.</w:t>
      </w:r>
    </w:p>
    <w:p w:rsidR="00367E75" w:rsidRPr="00367E75" w:rsidRDefault="00367E75" w:rsidP="00D35419">
      <w:pPr>
        <w:widowControl w:val="0"/>
        <w:tabs>
          <w:tab w:val="left" w:pos="1134"/>
        </w:tabs>
        <w:spacing w:before="180" w:after="0" w:line="288" w:lineRule="auto"/>
        <w:jc w:val="both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Tablica </w:t>
      </w:r>
      <w:r w:rsidR="00D35419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1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Popis 51 grada/općine - otočna područja</w:t>
      </w:r>
      <w:r w:rsidRPr="00367E75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</w:t>
      </w:r>
    </w:p>
    <w:tbl>
      <w:tblPr>
        <w:tblW w:w="9808" w:type="dxa"/>
        <w:jc w:val="center"/>
        <w:tblInd w:w="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2"/>
        <w:gridCol w:w="2439"/>
        <w:gridCol w:w="2438"/>
        <w:gridCol w:w="2379"/>
        <w:gridCol w:w="60"/>
      </w:tblGrid>
      <w:tr w:rsidR="00367E75" w:rsidRPr="00367E75" w:rsidTr="000E41F5">
        <w:trPr>
          <w:trHeight w:val="227"/>
          <w:jc w:val="center"/>
        </w:trPr>
        <w:tc>
          <w:tcPr>
            <w:tcW w:w="980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5B3D7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b/>
                <w:bCs/>
                <w:color w:val="17365D"/>
                <w:sz w:val="17"/>
                <w:szCs w:val="17"/>
                <w:lang w:eastAsia="hr-HR"/>
              </w:rPr>
              <w:t>Otočna Hrvatska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49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center"/>
          </w:tcPr>
          <w:p w:rsidR="00367E75" w:rsidRPr="00367E75" w:rsidRDefault="00367E75" w:rsidP="00587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  <w:t>Primorsko-goranska županija</w:t>
            </w:r>
          </w:p>
        </w:tc>
        <w:tc>
          <w:tcPr>
            <w:tcW w:w="487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center"/>
          </w:tcPr>
          <w:p w:rsidR="00367E75" w:rsidRPr="00367E75" w:rsidRDefault="00367E75" w:rsidP="00587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  <w:t>Splitsko-dalmatinska županija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Cres/otok Cres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Punat/otok Krk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Bol/otok Brač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Okrug/otok Čiovo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Baška/otok Krk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Vrbnik/otok Krk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Milna/otok Brač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Hvar/otok Hvar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Dobrinj/otok Krk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proofErr w:type="spellStart"/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Lopar</w:t>
            </w:r>
            <w:proofErr w:type="spellEnd"/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/otok Rab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Nerežišća/otok Brač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Jelsa/otok Hvar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Krk/otok Krk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Rab/otok Rab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Postira/otok Brač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Sućuraj/otok Hvar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Malinska-Dubašnica/otok Krk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Mali Lošinj/otok Mali Lošinj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Pučišća/otok Brač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Stari Grad/otok Hvar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Omišalj/otok Krk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Selca/otok Brač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Šolta/otok Šolta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49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center"/>
          </w:tcPr>
          <w:p w:rsidR="00367E75" w:rsidRPr="00367E75" w:rsidRDefault="00367E75" w:rsidP="00587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  <w:t>Ličko-senjska županija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Supetar/otok Brač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Komiža/otok Vis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Novalja/otok Pag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Sutivan/otok Brač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Vis/otok Vis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49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center"/>
          </w:tcPr>
          <w:p w:rsidR="00367E75" w:rsidRPr="00367E75" w:rsidRDefault="00367E75" w:rsidP="00587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  <w:t>Šibenska županija</w:t>
            </w:r>
          </w:p>
        </w:tc>
        <w:tc>
          <w:tcPr>
            <w:tcW w:w="487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</w:tcPr>
          <w:p w:rsidR="00367E75" w:rsidRPr="00367E75" w:rsidRDefault="00367E75" w:rsidP="00587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  <w:t>Dubrovačko-neretvanska županija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Murter/otok Murter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Tisno/otok Murter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Blato/otok Korčula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Mljet/otok Mljet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493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8CCE4"/>
            <w:vAlign w:val="center"/>
          </w:tcPr>
          <w:p w:rsidR="00367E75" w:rsidRPr="00367E75" w:rsidRDefault="00367E75" w:rsidP="00587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b/>
                <w:color w:val="17365D"/>
                <w:sz w:val="17"/>
                <w:szCs w:val="17"/>
                <w:lang w:eastAsia="hr-HR"/>
              </w:rPr>
              <w:t>Zadarska županija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Korčula/otok Korčula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Janjina/poluotok Pelješac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Sali/Dugi otok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Tkon/otok Pašman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Lumbarda/otok Korčula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Orebić/poluotok Pelješac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Kolan/otok Pag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Vir/otok Vir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Smokvica/otok Korčula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Ston/poluotok Pelješac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Pag/otok Pag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Kali/otok Ugljan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Vela Luka/otok Korčula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proofErr w:type="spellStart"/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Trpanj</w:t>
            </w:r>
            <w:proofErr w:type="spellEnd"/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/poluotok Pelješac</w:t>
            </w: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Povljana/otok Pag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Kukljica/otok Ugljan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Lastovo/otok Lastovo</w:t>
            </w: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</w:p>
        </w:tc>
      </w:tr>
      <w:tr w:rsidR="00367E75" w:rsidRPr="00367E75" w:rsidTr="00587347">
        <w:trPr>
          <w:trHeight w:val="227"/>
          <w:jc w:val="center"/>
        </w:trPr>
        <w:tc>
          <w:tcPr>
            <w:tcW w:w="2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vAlign w:val="center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Pašman/otok Pašman</w:t>
            </w:r>
          </w:p>
        </w:tc>
        <w:tc>
          <w:tcPr>
            <w:tcW w:w="2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  <w:r w:rsidRPr="00367E75"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  <w:t>Preko/otok Ugljan</w:t>
            </w:r>
          </w:p>
        </w:tc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</w:tcPr>
          <w:p w:rsidR="00367E75" w:rsidRPr="00367E75" w:rsidRDefault="00367E75" w:rsidP="00367E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7365D"/>
                <w:sz w:val="17"/>
                <w:szCs w:val="17"/>
                <w:lang w:eastAsia="hr-HR"/>
              </w:rPr>
            </w:pPr>
          </w:p>
        </w:tc>
      </w:tr>
      <w:tr w:rsidR="00367E75" w:rsidRPr="00592E7F" w:rsidTr="00587347">
        <w:trPr>
          <w:gridAfter w:val="1"/>
          <w:wAfter w:w="60" w:type="dxa"/>
          <w:jc w:val="center"/>
        </w:trPr>
        <w:tc>
          <w:tcPr>
            <w:tcW w:w="974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367E75" w:rsidRPr="00592E7F" w:rsidRDefault="00367E75" w:rsidP="00587347">
            <w:pPr>
              <w:spacing w:before="40" w:after="0" w:line="240" w:lineRule="auto"/>
              <w:jc w:val="both"/>
              <w:rPr>
                <w:rFonts w:ascii="Arial" w:eastAsia="Times New Roman" w:hAnsi="Arial" w:cs="Times New Roman"/>
                <w:bCs/>
                <w:i/>
                <w:color w:val="17365D"/>
                <w:sz w:val="16"/>
                <w:szCs w:val="18"/>
                <w:lang w:eastAsia="hr-HR"/>
              </w:rPr>
            </w:pPr>
            <w:r w:rsidRPr="00592E7F">
              <w:rPr>
                <w:rFonts w:ascii="Arial" w:eastAsia="Times New Roman" w:hAnsi="Arial" w:cs="Times New Roman"/>
                <w:bCs/>
                <w:i/>
                <w:color w:val="17365D"/>
                <w:sz w:val="16"/>
                <w:szCs w:val="18"/>
                <w:lang w:eastAsia="hr-HR"/>
              </w:rPr>
              <w:t>Izvor: Fina, Registar godišnjih financijskih izvještaja, obrada GFI-a za 201</w:t>
            </w:r>
            <w:r w:rsidR="00587347" w:rsidRPr="00592E7F">
              <w:rPr>
                <w:rFonts w:ascii="Arial" w:eastAsia="Times New Roman" w:hAnsi="Arial" w:cs="Times New Roman"/>
                <w:bCs/>
                <w:i/>
                <w:color w:val="17365D"/>
                <w:sz w:val="16"/>
                <w:szCs w:val="18"/>
                <w:lang w:eastAsia="hr-HR"/>
              </w:rPr>
              <w:t>6</w:t>
            </w:r>
            <w:r w:rsidRPr="00592E7F">
              <w:rPr>
                <w:rFonts w:ascii="Arial" w:eastAsia="Times New Roman" w:hAnsi="Arial" w:cs="Times New Roman"/>
                <w:bCs/>
                <w:i/>
                <w:color w:val="17365D"/>
                <w:sz w:val="16"/>
                <w:szCs w:val="18"/>
                <w:lang w:eastAsia="hr-HR"/>
              </w:rPr>
              <w:t>. godinu</w:t>
            </w:r>
          </w:p>
        </w:tc>
      </w:tr>
    </w:tbl>
    <w:p w:rsidR="00AF5E09" w:rsidRPr="00592E7F" w:rsidRDefault="00AF5E09" w:rsidP="000E41F5">
      <w:pPr>
        <w:widowControl w:val="0"/>
        <w:spacing w:before="180" w:after="0"/>
        <w:jc w:val="both"/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</w:pP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 xml:space="preserve">Prema analizi podataka iz godišnjih financijskih izvještaja poduzetnika sa područja otočnih gradova i općina u 2016. godini, koja je obuhvatila 51 grad/općinu, poslovalo je 4201 poduzetnik </w:t>
      </w:r>
      <w:r w:rsidR="000E41F5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 xml:space="preserve">(u 2015. godini bilo je 3933 poduzetnika), </w:t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koji su ukupno zapošljavali 20</w:t>
      </w:r>
      <w:r w:rsidR="000E41F5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 </w:t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844 radnika, što je u odnosu na prethodno poslovno razdoblje povećanje broja zaposlenih za 4,6</w:t>
      </w:r>
      <w:r w:rsidR="000E41F5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Arial Unicode MS" w:hAnsi="Arial" w:cs="Arial"/>
          <w:noProof/>
          <w:color w:val="17365D"/>
          <w:sz w:val="20"/>
          <w:szCs w:val="20"/>
          <w:lang w:eastAsia="hr-HR"/>
        </w:rPr>
        <w:t>%.</w:t>
      </w:r>
    </w:p>
    <w:p w:rsidR="00367E75" w:rsidRPr="00592E7F" w:rsidRDefault="00367E75" w:rsidP="0049325D">
      <w:pPr>
        <w:spacing w:before="180" w:after="0" w:line="240" w:lineRule="auto"/>
        <w:ind w:left="992" w:hanging="992"/>
        <w:jc w:val="both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Tablica 2.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Osnovni financijski podaci poslovanja poduzetnika otočnih područja i svih poduzetnika RH u 201</w:t>
      </w:r>
      <w:r w:rsidR="00A25981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6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. g. </w:t>
      </w:r>
    </w:p>
    <w:p w:rsidR="00367E75" w:rsidRDefault="00367E75" w:rsidP="00367E75">
      <w:pPr>
        <w:tabs>
          <w:tab w:val="left" w:pos="1134"/>
          <w:tab w:val="right" w:pos="9639"/>
        </w:tabs>
        <w:spacing w:before="60" w:after="0" w:line="288" w:lineRule="auto"/>
        <w:jc w:val="both"/>
        <w:rPr>
          <w:rFonts w:ascii="Arial" w:eastAsia="Times New Roman" w:hAnsi="Arial" w:cs="Arial"/>
          <w:color w:val="17365D"/>
          <w:sz w:val="16"/>
          <w:szCs w:val="18"/>
          <w:lang w:eastAsia="hr-HR"/>
        </w:rPr>
      </w:pPr>
      <w:r w:rsidRPr="00592E7F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Pr="00592E7F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Pr="00592E7F">
        <w:rPr>
          <w:rFonts w:ascii="Arial" w:eastAsia="Times New Roman" w:hAnsi="Arial" w:cs="Arial"/>
          <w:color w:val="17365D"/>
          <w:sz w:val="16"/>
          <w:szCs w:val="18"/>
          <w:lang w:eastAsia="hr-HR"/>
        </w:rPr>
        <w:t>(iznosi u tisućama kuna, prosječne plaće u kunama)</w:t>
      </w:r>
    </w:p>
    <w:tbl>
      <w:tblPr>
        <w:tblW w:w="9752" w:type="dxa"/>
        <w:jc w:val="center"/>
        <w:tblLook w:val="04A0" w:firstRow="1" w:lastRow="0" w:firstColumn="1" w:lastColumn="0" w:noHBand="0" w:noVBand="1"/>
      </w:tblPr>
      <w:tblGrid>
        <w:gridCol w:w="3086"/>
        <w:gridCol w:w="1273"/>
        <w:gridCol w:w="1136"/>
        <w:gridCol w:w="850"/>
        <w:gridCol w:w="1276"/>
        <w:gridCol w:w="1306"/>
        <w:gridCol w:w="825"/>
      </w:tblGrid>
      <w:tr w:rsidR="00A25981" w:rsidRPr="00A25981" w:rsidTr="000E41F5">
        <w:trPr>
          <w:trHeight w:val="283"/>
          <w:tblHeader/>
          <w:jc w:val="center"/>
        </w:trPr>
        <w:tc>
          <w:tcPr>
            <w:tcW w:w="308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25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Otočna Hrvatska</w:t>
            </w:r>
          </w:p>
        </w:tc>
        <w:tc>
          <w:tcPr>
            <w:tcW w:w="340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 RH</w:t>
            </w:r>
          </w:p>
        </w:tc>
      </w:tr>
      <w:tr w:rsidR="00A25981" w:rsidRPr="00A25981" w:rsidTr="003006D2">
        <w:trPr>
          <w:trHeight w:val="267"/>
          <w:tblHeader/>
          <w:jc w:val="center"/>
        </w:trPr>
        <w:tc>
          <w:tcPr>
            <w:tcW w:w="308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2015.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2016.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2015. 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2016.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12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1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4.201</w:t>
            </w:r>
          </w:p>
        </w:tc>
        <w:tc>
          <w:tcPr>
            <w:tcW w:w="8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259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114.483</w:t>
            </w:r>
          </w:p>
        </w:tc>
        <w:tc>
          <w:tcPr>
            <w:tcW w:w="8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-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19.934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20.844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811.607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853.110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105,1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9.396.475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9.900.833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602.185.147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633.109.425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105,1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9.219.189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9.508.862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579.471.489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602.063.828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103,9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682.559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712.951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40.125.222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45.702.437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113,9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505.274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320.980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17.411.564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14.656.840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84,2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625.924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612.421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34.416.661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38.695.898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112,4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505.080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318.391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17.033.958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14.660.642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86,1</w:t>
            </w:r>
          </w:p>
        </w:tc>
      </w:tr>
      <w:tr w:rsidR="00A25981" w:rsidRPr="00A25981" w:rsidTr="003006D2">
        <w:trPr>
          <w:trHeight w:val="450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A25981" w:rsidRPr="00A25981" w:rsidRDefault="00A25981" w:rsidP="008C1CF9">
            <w:pPr>
              <w:spacing w:after="0" w:line="240" w:lineRule="auto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120.845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294.030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243,3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17.382.703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24.035.256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b/>
                <w:color w:val="003366"/>
                <w:sz w:val="17"/>
                <w:szCs w:val="17"/>
                <w:lang w:eastAsia="hr-HR"/>
              </w:rPr>
              <w:t>138,3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1.508.242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1.601.530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112.453.659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119.433.879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106,2</w:t>
            </w:r>
          </w:p>
        </w:tc>
      </w:tr>
      <w:tr w:rsidR="00A25981" w:rsidRPr="00A25981" w:rsidTr="000E41F5">
        <w:trPr>
          <w:trHeight w:val="283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437.234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421.585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92.327.857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100.350.185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108,7</w:t>
            </w:r>
          </w:p>
        </w:tc>
      </w:tr>
      <w:tr w:rsidR="00A25981" w:rsidRPr="00A25981" w:rsidTr="000E41F5">
        <w:trPr>
          <w:trHeight w:val="397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8C1CF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lastRenderedPageBreak/>
              <w:t>Bruto investicije samo u novu dugotrajnu imovinu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782.793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717.439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24.669.987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25.225.962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102,3</w:t>
            </w:r>
          </w:p>
        </w:tc>
      </w:tr>
      <w:tr w:rsidR="00A25981" w:rsidRPr="00A25981" w:rsidTr="000E41F5">
        <w:trPr>
          <w:trHeight w:val="397"/>
          <w:jc w:val="center"/>
        </w:trPr>
        <w:tc>
          <w:tcPr>
            <w:tcW w:w="30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8C1CF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Prosječna mjesečna neto plaća po zaposlenom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4.650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4.791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5.049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5.140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A25981" w:rsidRPr="00A25981" w:rsidRDefault="00A25981" w:rsidP="00A259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A25981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101,8</w:t>
            </w:r>
          </w:p>
        </w:tc>
      </w:tr>
    </w:tbl>
    <w:p w:rsidR="00367E75" w:rsidRPr="00592E7F" w:rsidRDefault="00367E75" w:rsidP="00367E75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367E7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Izvor: Fina, Registar godišnjih </w:t>
      </w:r>
      <w:r w:rsidRPr="00592E7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financijskih izvještaja, obrada GFI-a za 201</w:t>
      </w:r>
      <w:r w:rsidR="00A25981" w:rsidRPr="00592E7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592E7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DB5FC0" w:rsidRPr="00592E7F" w:rsidRDefault="00DB5FC0" w:rsidP="000E41F5">
      <w:pPr>
        <w:widowControl w:val="0"/>
        <w:spacing w:before="18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Prema podacima </w:t>
      </w:r>
      <w:r w:rsidR="00592E7F"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iz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financijskih izvještaja za 2016. godinu, poduzetnici otočnih područja iskazali su pozitivan konsolidirani financijski rezultat u iznosu od 294,0 milijuna kuna te tako ostvarili povećanje za 143,3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 u odnosu na prethodnu poslovnu godinu. Od ukupnog broja poduzetnika promatranog područja s dobitkom je poslovalo njih 60,7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 (2548 poduzetnika). Ukupan prihod navedene skupine poduzetnika koji je ostvaren u 2016. godini iznosio je 9,</w:t>
      </w:r>
      <w:proofErr w:type="spellStart"/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9</w:t>
      </w:r>
      <w:proofErr w:type="spellEnd"/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milijardi kuna, što je povećanje od 5,4% u odnosu na prethodnu 2015. godinu. Najveći doprinos rezultatu dali su poduzetnici grada Krka sa 1,2 milijarde kuna (12,1% udjela u ukupnim prihodima otočnih područja) te poduzetnici gradova Mali Lošinj (9,7%) i Cres (6,6%).</w:t>
      </w:r>
    </w:p>
    <w:p w:rsidR="00DB5FC0" w:rsidRPr="00592E7F" w:rsidRDefault="00DB5FC0" w:rsidP="000E41F5">
      <w:pPr>
        <w:spacing w:before="12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Prosječna mjesečna neto plaća obračunata kod poduzetnika otočnih općina i gradova u 2016. godini iznosila je 4.791 kunu, odnosno 3,0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 više u odnosu na prethodnu godinu te 6,8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% manje od iznosa prosječne mjesečne neto plaće zaposlenih kod poduzetnika na razini RH (5.140 kuna). Najveća prosječna mjesečna neto plaća obračunata je kod poduzetnika 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sa sjedištem u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Hvaru (5.882 kune), a slijede poduzetnici 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sa sjedištem u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općin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i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proofErr w:type="spellStart"/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Sutivan</w:t>
      </w:r>
      <w:proofErr w:type="spellEnd"/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(5.854 kune), općin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i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Punat (5.446 kuna), grad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u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Krk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u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(5.435 kuna) te općin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i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proofErr w:type="spellStart"/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Nerežišća</w:t>
      </w:r>
      <w:proofErr w:type="spellEnd"/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(5.404 kune). Ukoliko se promatraju prosječne mjesečne neto plaće na razini otoka/poluotoka, najvišu plaću isplatili su poduzetnici otoka Cresa, u iznosu od 5.369 kuna, a najmanju poduzetnici otoka Korčule (4.503 kune) (grafikon 1.).</w:t>
      </w:r>
    </w:p>
    <w:p w:rsidR="00367E75" w:rsidRPr="00367E75" w:rsidRDefault="00367E75" w:rsidP="0049325D">
      <w:pPr>
        <w:tabs>
          <w:tab w:val="left" w:pos="1134"/>
        </w:tabs>
        <w:spacing w:before="180" w:after="0" w:line="240" w:lineRule="auto"/>
        <w:jc w:val="both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Grafikon 1.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Prosječna mjesečna neto plaća po zaposlenom u 201</w:t>
      </w:r>
      <w:r w:rsidR="006772D6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6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 g. na razini otoka/poluotoka</w:t>
      </w:r>
      <w:r w:rsidRPr="00367E75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</w:t>
      </w:r>
    </w:p>
    <w:p w:rsidR="00367E75" w:rsidRPr="00367E75" w:rsidRDefault="00367E75" w:rsidP="00E8202D">
      <w:pPr>
        <w:tabs>
          <w:tab w:val="left" w:pos="1134"/>
        </w:tabs>
        <w:spacing w:after="0" w:line="240" w:lineRule="auto"/>
        <w:jc w:val="right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367E75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367E75" w:rsidRPr="00367E75" w:rsidRDefault="006772D6" w:rsidP="0049325D">
      <w:pPr>
        <w:tabs>
          <w:tab w:val="left" w:pos="1134"/>
        </w:tabs>
        <w:spacing w:after="0" w:line="288" w:lineRule="auto"/>
        <w:jc w:val="center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7906B1C8" wp14:editId="10DF4710">
            <wp:extent cx="6191250" cy="18192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819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7E75" w:rsidRPr="00367E75" w:rsidRDefault="00367E75" w:rsidP="00367E75">
      <w:pPr>
        <w:spacing w:before="60" w:after="0" w:line="288" w:lineRule="auto"/>
        <w:ind w:left="992" w:hanging="992"/>
        <w:jc w:val="both"/>
        <w:rPr>
          <w:rFonts w:ascii="Arial" w:eastAsia="Times New Roman" w:hAnsi="Arial" w:cs="Arial"/>
          <w:b/>
          <w:color w:val="17365D"/>
          <w:sz w:val="16"/>
          <w:szCs w:val="16"/>
          <w:lang w:eastAsia="hr-HR"/>
        </w:rPr>
      </w:pPr>
      <w:r w:rsidRPr="00367E7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  <w:r w:rsidRPr="00367E75">
        <w:rPr>
          <w:rFonts w:ascii="Arial" w:eastAsia="Times New Roman" w:hAnsi="Arial" w:cs="Arial"/>
          <w:b/>
          <w:color w:val="17365D"/>
          <w:sz w:val="16"/>
          <w:szCs w:val="16"/>
          <w:lang w:eastAsia="hr-HR"/>
        </w:rPr>
        <w:t xml:space="preserve"> </w:t>
      </w:r>
    </w:p>
    <w:p w:rsidR="00367E75" w:rsidRPr="00592E7F" w:rsidRDefault="00DB5FC0" w:rsidP="000E41F5">
      <w:pPr>
        <w:tabs>
          <w:tab w:val="left" w:pos="1134"/>
        </w:tabs>
        <w:spacing w:before="180" w:after="0"/>
        <w:jc w:val="both"/>
        <w:rPr>
          <w:rFonts w:ascii="Arial" w:eastAsia="Arial Unicode MS" w:hAnsi="Arial" w:cs="Arial"/>
          <w:color w:val="17365D"/>
          <w:sz w:val="20"/>
          <w:szCs w:val="20"/>
          <w:lang w:eastAsia="hr-HR"/>
        </w:rPr>
      </w:pP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U odnosu na prethodnu godinu</w:t>
      </w:r>
      <w:r w:rsidR="00592E7F"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,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 zabilježeno je povećanje prihoda od izvoza za 6,2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%, a smanjenje uvoza za 3,6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% te su poduzetnici otočnih područja u 2016. godini ostvarili trgovinski saldo od 1,2 milijarde kuna. Bruto investicije samo u novu dugotrajnu imovinu bilježe smanjenje od 8,3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% u odnosu na 2015. godinu.</w:t>
      </w:r>
    </w:p>
    <w:p w:rsidR="00367E75" w:rsidRPr="00367E75" w:rsidRDefault="00367E75" w:rsidP="0049325D">
      <w:pPr>
        <w:tabs>
          <w:tab w:val="left" w:pos="993"/>
        </w:tabs>
        <w:spacing w:before="180" w:after="0" w:line="240" w:lineRule="auto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Tablica </w:t>
      </w:r>
      <w:r w:rsidR="00E8202D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3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Osnovni financijski podaci poslovanja poduzetnika otočnih područja u 201</w:t>
      </w:r>
      <w:r w:rsidR="008C1CF9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6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 godini prema veličini</w:t>
      </w:r>
      <w:r w:rsidRPr="00367E75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</w:t>
      </w:r>
    </w:p>
    <w:p w:rsidR="00367E75" w:rsidRDefault="00367E75" w:rsidP="00367E75">
      <w:pPr>
        <w:tabs>
          <w:tab w:val="left" w:pos="993"/>
          <w:tab w:val="left" w:pos="5812"/>
          <w:tab w:val="left" w:pos="6946"/>
          <w:tab w:val="right" w:pos="9498"/>
        </w:tabs>
        <w:spacing w:after="0" w:line="288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367E75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Pr="00367E75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Pr="00367E75">
        <w:rPr>
          <w:rFonts w:ascii="Arial" w:eastAsia="Times New Roman" w:hAnsi="Arial" w:cs="Arial"/>
          <w:color w:val="17365D"/>
          <w:sz w:val="18"/>
          <w:szCs w:val="18"/>
          <w:lang w:eastAsia="hr-HR"/>
        </w:rPr>
        <w:tab/>
      </w:r>
      <w:r w:rsidRPr="00367E75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kuna, udjeli u %)</w:t>
      </w:r>
    </w:p>
    <w:tbl>
      <w:tblPr>
        <w:tblW w:w="97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1"/>
        <w:gridCol w:w="1026"/>
        <w:gridCol w:w="964"/>
        <w:gridCol w:w="624"/>
        <w:gridCol w:w="999"/>
        <w:gridCol w:w="699"/>
        <w:gridCol w:w="972"/>
        <w:gridCol w:w="641"/>
        <w:gridCol w:w="972"/>
        <w:gridCol w:w="641"/>
      </w:tblGrid>
      <w:tr w:rsidR="008C1CF9" w:rsidRPr="008C1CF9" w:rsidTr="000E41F5">
        <w:trPr>
          <w:trHeight w:val="269"/>
          <w:tblHeader/>
          <w:jc w:val="center"/>
        </w:trPr>
        <w:tc>
          <w:tcPr>
            <w:tcW w:w="2171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1026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8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Mikro</w:t>
            </w:r>
          </w:p>
        </w:tc>
        <w:tc>
          <w:tcPr>
            <w:tcW w:w="169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Mali</w:t>
            </w:r>
          </w:p>
        </w:tc>
        <w:tc>
          <w:tcPr>
            <w:tcW w:w="161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Srednje veliki</w:t>
            </w:r>
          </w:p>
        </w:tc>
        <w:tc>
          <w:tcPr>
            <w:tcW w:w="161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Veliki</w:t>
            </w:r>
          </w:p>
        </w:tc>
      </w:tr>
      <w:tr w:rsidR="008C1CF9" w:rsidRPr="008C1CF9" w:rsidTr="000E41F5">
        <w:trPr>
          <w:trHeight w:val="450"/>
          <w:tblHeader/>
          <w:jc w:val="center"/>
        </w:trPr>
        <w:tc>
          <w:tcPr>
            <w:tcW w:w="2171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26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Udio u </w:t>
            </w:r>
            <w:proofErr w:type="spellStart"/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uk</w:t>
            </w:r>
            <w:proofErr w:type="spellEnd"/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. (%)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Udio u </w:t>
            </w:r>
            <w:proofErr w:type="spellStart"/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uk</w:t>
            </w:r>
            <w:proofErr w:type="spellEnd"/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. (%)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Udio u </w:t>
            </w:r>
            <w:proofErr w:type="spellStart"/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uk</w:t>
            </w:r>
            <w:proofErr w:type="spellEnd"/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. (%)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Iznos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 xml:space="preserve">Udio u </w:t>
            </w:r>
            <w:proofErr w:type="spellStart"/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uk</w:t>
            </w:r>
            <w:proofErr w:type="spellEnd"/>
            <w:r w:rsidRPr="008C1CF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. (%)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102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4.201</w:t>
            </w:r>
          </w:p>
        </w:tc>
        <w:tc>
          <w:tcPr>
            <w:tcW w:w="9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3.870</w:t>
            </w:r>
          </w:p>
        </w:tc>
        <w:tc>
          <w:tcPr>
            <w:tcW w:w="62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92,1</w:t>
            </w:r>
          </w:p>
        </w:tc>
        <w:tc>
          <w:tcPr>
            <w:tcW w:w="9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287</w:t>
            </w:r>
          </w:p>
        </w:tc>
        <w:tc>
          <w:tcPr>
            <w:tcW w:w="6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6,8</w:t>
            </w:r>
          </w:p>
        </w:tc>
        <w:tc>
          <w:tcPr>
            <w:tcW w:w="9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37</w:t>
            </w:r>
          </w:p>
        </w:tc>
        <w:tc>
          <w:tcPr>
            <w:tcW w:w="64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0,9</w:t>
            </w:r>
          </w:p>
        </w:tc>
        <w:tc>
          <w:tcPr>
            <w:tcW w:w="97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</w:t>
            </w:r>
          </w:p>
        </w:tc>
        <w:tc>
          <w:tcPr>
            <w:tcW w:w="64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0,2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20.844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7.137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34,2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6.062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4.477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3.168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15,2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Ukupan prihod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9.900.833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2.608.238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26,3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3.041.716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2.587.116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1.663.763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16,8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9.508.862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2.547.374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26,8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2.906.495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2.422.600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25,5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1.632.393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17,2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712.951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253.965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35,6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193.894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179.093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85.999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12,1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6"/>
                <w:szCs w:val="17"/>
                <w:lang w:eastAsia="hr-HR"/>
              </w:rPr>
              <w:t>Gubitak prije oporezivanja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320.980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193.102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60,2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58.673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14.577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54.628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17,0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Porez na dobit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97.941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41.781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42,7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24.226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24,7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18.454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16365C"/>
                <w:sz w:val="17"/>
                <w:szCs w:val="17"/>
                <w:lang w:eastAsia="hr-HR"/>
              </w:rPr>
              <w:t>13.480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13,8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612.421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212.394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34,7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166.869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27,2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160.639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72.519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11,8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318.391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193.311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60,7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55.874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14.577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54.628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17,2</w:t>
            </w:r>
          </w:p>
        </w:tc>
      </w:tr>
      <w:tr w:rsidR="008C1CF9" w:rsidRPr="008C1CF9" w:rsidTr="000E41F5">
        <w:trPr>
          <w:trHeight w:val="450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lastRenderedPageBreak/>
              <w:t xml:space="preserve">Konsolidirani financijski rezultat – dobit (+) ili gubitak (-) razdoblja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294.030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19.083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6,5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110.995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37,7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146.062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49,7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17.891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  <w:lang w:eastAsia="hr-HR"/>
              </w:rPr>
              <w:t>6,1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1.601.530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70.649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4,</w:t>
            </w:r>
            <w:proofErr w:type="spellStart"/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353.707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644.414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532.761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33,3</w:t>
            </w:r>
          </w:p>
        </w:tc>
      </w:tr>
      <w:tr w:rsidR="008C1CF9" w:rsidRPr="008C1CF9" w:rsidTr="000E41F5">
        <w:trPr>
          <w:trHeight w:val="283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421.585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51.774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12,3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75.446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127.508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166.857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39,6</w:t>
            </w:r>
          </w:p>
        </w:tc>
      </w:tr>
      <w:tr w:rsidR="008C1CF9" w:rsidRPr="008C1CF9" w:rsidTr="000E41F5">
        <w:trPr>
          <w:trHeight w:val="450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Bruto investicije samo u novu dugotrajnu imovinu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717.439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129.972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18,1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283.866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139.151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164.450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22,9</w:t>
            </w:r>
          </w:p>
        </w:tc>
      </w:tr>
      <w:tr w:rsidR="008C1CF9" w:rsidRPr="008C1CF9" w:rsidTr="000E41F5">
        <w:trPr>
          <w:trHeight w:val="450"/>
          <w:jc w:val="center"/>
        </w:trPr>
        <w:tc>
          <w:tcPr>
            <w:tcW w:w="217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Prosječna mjesečna neto plaća po zaposlenom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4.791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3.830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79,9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5.021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5.155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107,6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5.999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8C1CF9" w:rsidRPr="008C1CF9" w:rsidRDefault="008C1CF9" w:rsidP="008C1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</w:pPr>
            <w:r w:rsidRPr="008C1CF9">
              <w:rPr>
                <w:rFonts w:ascii="Arial" w:eastAsia="Times New Roman" w:hAnsi="Arial" w:cs="Arial"/>
                <w:color w:val="002060"/>
                <w:sz w:val="17"/>
                <w:szCs w:val="17"/>
                <w:lang w:eastAsia="hr-HR"/>
              </w:rPr>
              <w:t>125,2</w:t>
            </w:r>
          </w:p>
        </w:tc>
      </w:tr>
    </w:tbl>
    <w:p w:rsidR="00367E75" w:rsidRPr="00367E75" w:rsidRDefault="00367E75" w:rsidP="00367E75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367E7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C032FB" w:rsidRPr="00592E7F" w:rsidRDefault="00C032FB" w:rsidP="000E41F5">
      <w:pPr>
        <w:widowControl w:val="0"/>
        <w:spacing w:before="18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Analiza poduzetnika Otočne Hrvatske prema veličini poduzetnika, pokazala je kako su najbrojniji mikro poduzetnici sa 92,1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 udjela u ukupnom broju poduzetnika registriranih na promatranom području. Osim navedenog, isti sudjeluju s najvećim udjelom u dobiti razdoblja (34,7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%) te zapošljavaju i najveći broj radnika, odnosno 34,2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 od ukupnog broja zaposlenih na području otočnih gradova i općina. Kategorija malih poduzetnika najviše doprinosi ukupno ostvarenim prihodima (30,7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%), rashodima (30,6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%) te bruto investicijama samo u novu dugotrajnu imovinu (39,6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%) Otočne Hrvatske. Svojim poslovanjem u 2016. godini, srednje veliki poduzetnici najviše pridonose ukupnom financijskom rezultatu sa ostvarenih 146,1 milijun kuna neto dobiti, što je 49,7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 ukupnog rezultata. Sve navedene skupine poduzetnika iskazale su pozitivan konsolidirani financijski rezultat te time utjecale na ukupan rezultat promatranog područja.</w:t>
      </w:r>
    </w:p>
    <w:p w:rsidR="00CE57DB" w:rsidRDefault="00C032FB" w:rsidP="00CE57DB">
      <w:pPr>
        <w:widowControl w:val="0"/>
        <w:spacing w:before="120" w:after="0"/>
        <w:jc w:val="both"/>
        <w:rPr>
          <w:rFonts w:ascii="Arial" w:eastAsia="Times New Roman" w:hAnsi="Arial" w:cs="Arial"/>
          <w:color w:val="17365D"/>
          <w:sz w:val="20"/>
          <w:szCs w:val="20"/>
          <w:lang w:eastAsia="hr-HR"/>
        </w:rPr>
      </w:pP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Prema djelatnosti poduzetnika, u 2016. godini djelatnost I – Djelatnost pružanja smještaja te pripreme i usluživanja hrane bilježi najveći ukupan prihod (2,5 milijarde kuna), što predstavlja 25,3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 ukupnih prihoda svih otočnih područja. Slijede poduzetnici djelatnosti G - Trgovina na veliko i malo sa 2,1 milijardi kuna ili 21,5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 ukupnih prihoda te poduzetnici djelatnosti C - prerađivačka industrija sa 1,3 milijardi kuna, odnosno 12,6</w:t>
      </w:r>
      <w:r w:rsidR="000E41F5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% ukupnih prihoda svih gradova/općina otočnih područja.</w:t>
      </w:r>
      <w:r w:rsidR="00CE57DB" w:rsidRP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CE57DB" w:rsidRPr="000E713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Među poduzetnicima u 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području </w:t>
      </w:r>
      <w:r w:rsidR="00CE57DB" w:rsidRPr="000E713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djelatnosti </w:t>
      </w:r>
      <w:r w:rsidR="00CE57DB"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pružanja smještaja te pripreme i usluživanja hrane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(I)</w:t>
      </w:r>
      <w:r w:rsidR="00CE57DB" w:rsidRPr="000E713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, po visini ostvarenih prihoda 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prvo je 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društvo </w:t>
      </w:r>
      <w:hyperlink r:id="rId9" w:history="1">
        <w:r w:rsidR="00CE57DB" w:rsidRPr="00FF52B3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JADRANKA HOTELI d.o.o.</w:t>
        </w:r>
      </w:hyperlink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(</w:t>
      </w:r>
      <w:r w:rsidR="00CE57DB" w:rsidRPr="000E713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Mali Lošinj)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. U djelatnosti </w:t>
      </w:r>
      <w:r w:rsidR="00CE57DB" w:rsidRPr="000E713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t</w:t>
      </w:r>
      <w:r w:rsidR="00CE57DB"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rgovina na veliko i malo 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(G) 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najveći ukupni prihod ostvarilo je društvo </w:t>
      </w:r>
      <w:hyperlink r:id="rId10" w:history="1">
        <w:r w:rsidR="00CE57DB" w:rsidRPr="00FF52B3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TRGOVINA KRK d.d.</w:t>
        </w:r>
      </w:hyperlink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(Malinska), a u </w:t>
      </w:r>
      <w:r w:rsidR="00CE57DB"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prerađivačk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oj</w:t>
      </w:r>
      <w:r w:rsidR="00CE57DB" w:rsidRPr="00592E7F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industrij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i (C), 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društvo </w:t>
      </w:r>
      <w:hyperlink r:id="rId11" w:history="1">
        <w:r w:rsidR="00CE57DB" w:rsidRPr="00FF52B3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SARDINA d.o.o.</w:t>
        </w:r>
      </w:hyperlink>
      <w:r w:rsidR="00CE57DB" w:rsidRPr="000E713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 xml:space="preserve"> 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(</w:t>
      </w:r>
      <w:r w:rsidR="00CE57DB" w:rsidRPr="000E7138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Postira</w:t>
      </w:r>
      <w:r w:rsidR="00CE57DB">
        <w:rPr>
          <w:rFonts w:ascii="Arial" w:eastAsia="Times New Roman" w:hAnsi="Arial" w:cs="Arial"/>
          <w:color w:val="17365D"/>
          <w:sz w:val="20"/>
          <w:szCs w:val="20"/>
          <w:lang w:eastAsia="hr-HR"/>
        </w:rPr>
        <w:t>).</w:t>
      </w:r>
    </w:p>
    <w:p w:rsidR="00367E75" w:rsidRDefault="00367E75" w:rsidP="00CE57DB">
      <w:pPr>
        <w:widowControl w:val="0"/>
        <w:tabs>
          <w:tab w:val="left" w:pos="5670"/>
        </w:tabs>
        <w:spacing w:before="180" w:after="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8"/>
          <w:lang w:eastAsia="hr-HR"/>
        </w:rPr>
      </w:pP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Tablica </w:t>
      </w:r>
      <w:r w:rsidR="00E8202D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4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Osnovni financijski podaci poslovanja poduzetnika otočnih područja u 201</w:t>
      </w:r>
      <w:r w:rsidR="00C37E2A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6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. </w:t>
      </w:r>
      <w:r w:rsidR="00E8202D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g.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prema djelatnostima</w:t>
      </w:r>
      <w:r w:rsidR="00E8202D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Pr="00367E75">
        <w:rPr>
          <w:rFonts w:ascii="Arial" w:eastAsia="Times New Roman" w:hAnsi="Arial" w:cs="Arial"/>
          <w:color w:val="17365D"/>
          <w:sz w:val="16"/>
          <w:szCs w:val="18"/>
          <w:lang w:eastAsia="hr-HR"/>
        </w:rPr>
        <w:t>(iznosi u tisućama kuna, prosječne plaće u kunama)</w:t>
      </w:r>
    </w:p>
    <w:tbl>
      <w:tblPr>
        <w:tblW w:w="9707" w:type="dxa"/>
        <w:jc w:val="center"/>
        <w:tblInd w:w="260" w:type="dxa"/>
        <w:tblLook w:val="04A0" w:firstRow="1" w:lastRow="0" w:firstColumn="1" w:lastColumn="0" w:noHBand="0" w:noVBand="1"/>
      </w:tblPr>
      <w:tblGrid>
        <w:gridCol w:w="3500"/>
        <w:gridCol w:w="1150"/>
        <w:gridCol w:w="1140"/>
        <w:gridCol w:w="1134"/>
        <w:gridCol w:w="1418"/>
        <w:gridCol w:w="1365"/>
      </w:tblGrid>
      <w:tr w:rsidR="00C37E2A" w:rsidRPr="00C37E2A" w:rsidTr="00483A2D">
        <w:trPr>
          <w:trHeight w:val="890"/>
          <w:jc w:val="center"/>
        </w:trPr>
        <w:tc>
          <w:tcPr>
            <w:tcW w:w="35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Područje djelatnosti</w:t>
            </w:r>
          </w:p>
        </w:tc>
        <w:tc>
          <w:tcPr>
            <w:tcW w:w="115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Ukupan prihod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37E2A" w:rsidRPr="00C37E2A" w:rsidRDefault="00C37E2A" w:rsidP="000E4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Konsolidirani financijski rezul</w:t>
            </w:r>
            <w:r w:rsidR="000E41F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  <w:r w:rsidRPr="00C37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 – dobit (+) ili gubitak (-) razdoblja</w:t>
            </w:r>
          </w:p>
        </w:tc>
        <w:tc>
          <w:tcPr>
            <w:tcW w:w="136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Prosječna mjesečna neto plaća po zaposlenom</w:t>
            </w:r>
          </w:p>
        </w:tc>
      </w:tr>
      <w:tr w:rsidR="00C37E2A" w:rsidRPr="00C37E2A" w:rsidTr="000E41F5">
        <w:trPr>
          <w:trHeight w:val="283"/>
          <w:jc w:val="center"/>
        </w:trPr>
        <w:tc>
          <w:tcPr>
            <w:tcW w:w="3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A)</w:t>
            </w: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Poljoprivreda, šumarstvo i ribarstvo </w:t>
            </w:r>
          </w:p>
        </w:tc>
        <w:tc>
          <w:tcPr>
            <w:tcW w:w="11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219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1.254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758.025</w:t>
            </w:r>
          </w:p>
        </w:tc>
        <w:tc>
          <w:tcPr>
            <w:tcW w:w="141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  <w:t>39.673</w:t>
            </w:r>
          </w:p>
        </w:tc>
        <w:tc>
          <w:tcPr>
            <w:tcW w:w="13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4.708</w:t>
            </w:r>
          </w:p>
        </w:tc>
      </w:tr>
      <w:tr w:rsidR="00C37E2A" w:rsidRPr="00C37E2A" w:rsidTr="000E41F5">
        <w:trPr>
          <w:trHeight w:val="283"/>
          <w:jc w:val="center"/>
        </w:trPr>
        <w:tc>
          <w:tcPr>
            <w:tcW w:w="3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 xml:space="preserve">C) </w:t>
            </w: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Prerađivačka industrija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1.251.239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  <w:t>49.034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4.639</w:t>
            </w:r>
          </w:p>
        </w:tc>
      </w:tr>
      <w:tr w:rsidR="00C37E2A" w:rsidRPr="00C37E2A" w:rsidTr="000E41F5">
        <w:trPr>
          <w:trHeight w:val="283"/>
          <w:jc w:val="center"/>
        </w:trPr>
        <w:tc>
          <w:tcPr>
            <w:tcW w:w="3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F)</w:t>
            </w: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Građevinarstvo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1.178.961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  <w:t>10.821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4.551</w:t>
            </w:r>
          </w:p>
        </w:tc>
      </w:tr>
      <w:tr w:rsidR="00C37E2A" w:rsidRPr="00C37E2A" w:rsidTr="000E41F5">
        <w:trPr>
          <w:trHeight w:val="283"/>
          <w:jc w:val="center"/>
        </w:trPr>
        <w:tc>
          <w:tcPr>
            <w:tcW w:w="3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G)</w:t>
            </w: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Trgovina na veliko i malo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2.128.201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  <w:t>75.784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4.336</w:t>
            </w:r>
          </w:p>
        </w:tc>
      </w:tr>
      <w:tr w:rsidR="00C37E2A" w:rsidRPr="00C37E2A" w:rsidTr="000E41F5">
        <w:trPr>
          <w:trHeight w:val="454"/>
          <w:jc w:val="center"/>
        </w:trPr>
        <w:tc>
          <w:tcPr>
            <w:tcW w:w="3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I) Djelatnost pružanja smještaja te pripreme i usluživanja hrane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2.500.816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  <w:t>60.321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 w:themeFill="accent1" w:themeFillTint="33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5.003</w:t>
            </w:r>
          </w:p>
        </w:tc>
      </w:tr>
      <w:tr w:rsidR="00C37E2A" w:rsidRPr="00C37E2A" w:rsidTr="000E41F5">
        <w:trPr>
          <w:trHeight w:val="283"/>
          <w:jc w:val="center"/>
        </w:trPr>
        <w:tc>
          <w:tcPr>
            <w:tcW w:w="3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Ostale djelatnosti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1.681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2.083.591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  <w:t>58.397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4.979</w:t>
            </w:r>
          </w:p>
        </w:tc>
      </w:tr>
      <w:tr w:rsidR="00C37E2A" w:rsidRPr="00C37E2A" w:rsidTr="000E41F5">
        <w:trPr>
          <w:trHeight w:val="283"/>
          <w:jc w:val="center"/>
        </w:trPr>
        <w:tc>
          <w:tcPr>
            <w:tcW w:w="3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003366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4.201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20.844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9.900.833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294.030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:rsidR="00C37E2A" w:rsidRPr="00C37E2A" w:rsidRDefault="00C37E2A" w:rsidP="00C37E2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C37E2A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4.791</w:t>
            </w:r>
          </w:p>
        </w:tc>
      </w:tr>
    </w:tbl>
    <w:p w:rsidR="00367E75" w:rsidRPr="00367E75" w:rsidRDefault="00367E75" w:rsidP="00367E75">
      <w:pPr>
        <w:spacing w:before="60" w:after="0"/>
        <w:jc w:val="both"/>
        <w:rPr>
          <w:rFonts w:ascii="Arial" w:eastAsia="Times New Roman" w:hAnsi="Arial" w:cs="Times New Roman"/>
          <w:bCs/>
          <w:i/>
          <w:color w:val="17365D"/>
          <w:sz w:val="17"/>
          <w:szCs w:val="17"/>
          <w:lang w:eastAsia="hr-HR"/>
        </w:rPr>
      </w:pPr>
      <w:r w:rsidRPr="00367E75">
        <w:rPr>
          <w:rFonts w:ascii="Arial" w:eastAsia="Times New Roman" w:hAnsi="Arial" w:cs="Times New Roman"/>
          <w:bCs/>
          <w:i/>
          <w:color w:val="17365D"/>
          <w:sz w:val="17"/>
          <w:szCs w:val="17"/>
          <w:lang w:eastAsia="hr-HR"/>
        </w:rPr>
        <w:t>Izvor: Fina, Registar godišnjih financijskih izvještaja</w:t>
      </w:r>
    </w:p>
    <w:p w:rsidR="00C032FB" w:rsidRPr="00592E7F" w:rsidRDefault="00C032FB" w:rsidP="000E41F5">
      <w:pPr>
        <w:widowControl w:val="0"/>
        <w:spacing w:before="180" w:after="0"/>
        <w:jc w:val="both"/>
        <w:rPr>
          <w:rFonts w:ascii="Arial" w:eastAsia="Arial Unicode MS" w:hAnsi="Arial" w:cs="Arial"/>
          <w:color w:val="17365D"/>
          <w:sz w:val="20"/>
          <w:szCs w:val="20"/>
          <w:lang w:eastAsia="hr-HR"/>
        </w:rPr>
      </w:pP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Unutar spomenutih djelatnosti najveći je broj poduzetnika u djelatnosti I – Djelatnost pružanja smještaja te pripreme i usluživanja hrane (851 poduzetnik), što je i očekivano s obzirom na geografski položaj poslovanja poduzetnika te sam status Republike Hrvatske kao popularne turističke destinacije. U istoj djelatnosti zaposlen je i najveći broj radnika (6.285), odnosno 30,2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>% od ukupnog broja zaposlenih u svim djelatnostima promatranog uzorka. U djelatnosti G - Trgovina na veliko i malo poslovalo je 662 poduzetnika koji su zapošljavali 13,4</w:t>
      </w:r>
      <w:r w:rsidR="000E41F5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% od ukupnog broja zaposlenih u svim djelatnostima otočnih gradova/općina te su ostvarili najveći konsolidirani financijski rezultat – neto dobit u iznosu od 75,8 milijuna kuna. </w:t>
      </w:r>
    </w:p>
    <w:p w:rsidR="00C032FB" w:rsidRPr="00592E7F" w:rsidRDefault="00C032FB" w:rsidP="000E41F5">
      <w:pPr>
        <w:widowControl w:val="0"/>
        <w:spacing w:before="120" w:after="0"/>
        <w:jc w:val="both"/>
        <w:rPr>
          <w:rFonts w:ascii="Arial" w:eastAsia="Arial Unicode MS" w:hAnsi="Arial" w:cs="Arial"/>
          <w:color w:val="17365D"/>
          <w:sz w:val="20"/>
          <w:szCs w:val="20"/>
          <w:lang w:eastAsia="hr-HR"/>
        </w:rPr>
      </w:pP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t xml:space="preserve">Unutar istaknutih djelatnosti najveća prosječna mjesečna neto plaća u 2016. godini, u iznosu od 5.003 kune, obračunata je u djelatnosti I – Djelatnost pružanja smještaja te pripreme i usluživanja hrane. Slijede </w:t>
      </w:r>
      <w:r w:rsidRPr="00592E7F">
        <w:rPr>
          <w:rFonts w:ascii="Arial" w:eastAsia="Arial Unicode MS" w:hAnsi="Arial" w:cs="Arial"/>
          <w:color w:val="17365D"/>
          <w:sz w:val="20"/>
          <w:szCs w:val="20"/>
          <w:lang w:eastAsia="hr-HR"/>
        </w:rPr>
        <w:lastRenderedPageBreak/>
        <w:t xml:space="preserve">poduzetnici djelatnosti A - poljoprivreda, šumarstvo i ribarstvo sa obračunatom prosječnom mjesečnom neto plaćom od 4.708 kuna te poduzetnici djelatnosti C - Prerađivačka djelatnost sa iznosom plaće od 4.639 kuna (tablica 4.). </w:t>
      </w:r>
    </w:p>
    <w:p w:rsidR="00367E75" w:rsidRPr="0049325D" w:rsidRDefault="00367E75" w:rsidP="00471367">
      <w:pPr>
        <w:widowControl w:val="0"/>
        <w:spacing w:before="180" w:after="0" w:line="240" w:lineRule="auto"/>
        <w:ind w:left="1418" w:hanging="1418"/>
        <w:jc w:val="both"/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</w:pPr>
      <w:bookmarkStart w:id="0" w:name="_GoBack"/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G</w:t>
      </w:r>
      <w:bookmarkEnd w:id="0"/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rafikon </w:t>
      </w:r>
      <w:r w:rsidR="00A706AA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2</w:t>
      </w:r>
      <w:r w:rsidR="00B473CB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</w:t>
      </w:r>
      <w:r w:rsidR="00543CB2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 i 3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. 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</w:r>
      <w:r w:rsidR="00543CB2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Udio rezultata u ukupnim prihodima otočnih područja prema djelatnosti i vlasništvu poduzetnika u 2016. godini</w:t>
      </w:r>
    </w:p>
    <w:p w:rsidR="00367E75" w:rsidRPr="00367E75" w:rsidRDefault="00CF3969" w:rsidP="00CF3969">
      <w:pPr>
        <w:widowControl w:val="0"/>
        <w:tabs>
          <w:tab w:val="left" w:pos="1701"/>
        </w:tabs>
        <w:spacing w:after="60" w:line="288" w:lineRule="auto"/>
        <w:jc w:val="center"/>
        <w:rPr>
          <w:rFonts w:ascii="Arial" w:eastAsia="Times New Roman" w:hAnsi="Arial" w:cs="Arial"/>
          <w:b/>
          <w:color w:val="17365D"/>
          <w:sz w:val="19"/>
          <w:szCs w:val="19"/>
          <w:lang w:eastAsia="hr-HR"/>
        </w:rPr>
      </w:pPr>
      <w:r>
        <w:rPr>
          <w:rFonts w:ascii="Arial" w:eastAsia="Times New Roman" w:hAnsi="Arial" w:cs="Arial"/>
          <w:b/>
          <w:noProof/>
          <w:color w:val="17365D"/>
          <w:sz w:val="19"/>
          <w:szCs w:val="19"/>
          <w:lang w:eastAsia="hr-HR"/>
        </w:rPr>
        <w:drawing>
          <wp:inline distT="0" distB="0" distL="0" distR="0" wp14:anchorId="1FEA176D" wp14:editId="729179BA">
            <wp:extent cx="6188400" cy="1944000"/>
            <wp:effectExtent l="0" t="0" r="3175" b="0"/>
            <wp:docPr id="11" name="Slika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0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7E75" w:rsidRPr="00367E75" w:rsidRDefault="00367E75" w:rsidP="00367E75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</w:pPr>
      <w:r w:rsidRPr="00367E7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C032FB" w:rsidRPr="00592E7F" w:rsidRDefault="00C032FB" w:rsidP="000E41F5">
      <w:pPr>
        <w:spacing w:before="180" w:after="0"/>
        <w:jc w:val="both"/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</w:pPr>
      <w:r w:rsidRPr="00592E7F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Promatrano na razini pojedinoga otoka/poluotoka, najveći broj poduzetnika i zaposlenih registriran je na najnaseljenijem otoku, na otoku Krku. U gradu Krku te u 6 općina otoka Krka, u 2016. godini, ukupno je 766 poduzetnika koji su </w:t>
      </w:r>
      <w:r w:rsidR="00CE57D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imali</w:t>
      </w:r>
      <w:r w:rsidRPr="00592E7F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4587 </w:t>
      </w:r>
      <w:r w:rsidR="00CE57D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zaposlenih</w:t>
      </w:r>
      <w:r w:rsidRPr="00592E7F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. Iza otoka Krka prema broju poduzetnika slijedi najviši hrvatski otok – Brač sa 608 poduzetnika u </w:t>
      </w:r>
      <w:r w:rsidR="00CE57DB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>osam</w:t>
      </w:r>
      <w:r w:rsidRPr="00592E7F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općina kod kojih je u promatranom razdoblju bilo zaposleno 2621 radnik. Na trećem mjestu slijedi najsunčaniji hrvatski otok – Hvar, sa 384 poduzetnika i 1579 zaposlenih u dvije općine (Jelsa i Sućuraj) i dva grada (Hvar i Stari Grad). Otok Korčula sa 343 poduzetnika zauzima četvrto mjesto promatrane rang ljestvice. Poduzetnici su registrirani u gradu Korčuli i 4 općine (Blato, Vela Luka, Lumbarda i Smokvica), a u 2016. godini zapošljavali su 1775 radnika.</w:t>
      </w:r>
      <w:r w:rsidR="008A08ED" w:rsidRPr="00592E7F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 </w:t>
      </w:r>
      <w:r w:rsidRPr="00592E7F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Na najvećem otoku, otoku Cresu najviše je zaposlenih u odnosu na broj poduzetnika. Kod 97 poduzetnika zaposleno je 1509 radnika, što je u prosjeku 15,6 radnika po poduzetniku. Društvo s najvećim brojem zaposlenih na otoku Cresu je </w:t>
      </w:r>
      <w:hyperlink r:id="rId13" w:history="1">
        <w:r w:rsidRPr="00D85854">
          <w:rPr>
            <w:rStyle w:val="Hyperlink"/>
            <w:rFonts w:ascii="Arial" w:eastAsia="Times New Roman" w:hAnsi="Arial" w:cs="Times New Roman"/>
            <w:bCs/>
            <w:sz w:val="20"/>
            <w:szCs w:val="20"/>
            <w:lang w:eastAsia="hr-HR"/>
          </w:rPr>
          <w:t>AUTOTRANS d.o.o.</w:t>
        </w:r>
      </w:hyperlink>
      <w:r w:rsidRPr="00592E7F">
        <w:rPr>
          <w:rFonts w:ascii="Arial" w:eastAsia="Times New Roman" w:hAnsi="Arial" w:cs="Times New Roman"/>
          <w:bCs/>
          <w:color w:val="17365D"/>
          <w:sz w:val="20"/>
          <w:szCs w:val="20"/>
          <w:lang w:eastAsia="hr-HR"/>
        </w:rPr>
        <w:t xml:space="preserve">, koje je u 2016. godini zapošljavalo je 670 radnika. </w:t>
      </w:r>
    </w:p>
    <w:p w:rsidR="00F66DF1" w:rsidRPr="00CE57DB" w:rsidRDefault="00C032FB" w:rsidP="00CE57DB">
      <w:pPr>
        <w:spacing w:before="120" w:after="0"/>
        <w:jc w:val="both"/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</w:pPr>
      <w:r w:rsidRPr="00CE57DB">
        <w:rPr>
          <w:rFonts w:ascii="Arial" w:eastAsia="Times New Roman" w:hAnsi="Arial" w:cs="Times New Roman"/>
          <w:bCs/>
          <w:color w:val="244061" w:themeColor="accent1" w:themeShade="80"/>
          <w:sz w:val="20"/>
          <w:szCs w:val="20"/>
          <w:lang w:eastAsia="hr-HR"/>
        </w:rPr>
        <w:t>Prema produktivnosti rada (ukupni prihod po zaposlenom), na prvom su mjestu poduzetnici otoka Paga (gradovi Novalja i Pag, općine Kolan i Povljana) s ukupnim prihodom po zaposlenom od 610,9 tisuća kuna, a najviše zahvaljujući prihodu po zaposlenom kod poduzetnika u gradu Novalji koji iznosi 686,3 tisuće kuna.</w:t>
      </w:r>
    </w:p>
    <w:p w:rsidR="00E8202D" w:rsidRPr="00367E75" w:rsidRDefault="00E8202D" w:rsidP="0049325D">
      <w:pPr>
        <w:widowControl w:val="0"/>
        <w:tabs>
          <w:tab w:val="left" w:pos="1134"/>
        </w:tabs>
        <w:spacing w:before="180" w:after="0" w:line="240" w:lineRule="auto"/>
        <w:jc w:val="both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Grafikon </w:t>
      </w:r>
      <w:r w:rsidR="00F6176E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4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 xml:space="preserve">. 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Prihod po zaposlenom u 201</w:t>
      </w:r>
      <w:r w:rsidR="007A1CB9"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6</w:t>
      </w:r>
      <w:r w:rsidRPr="00592E7F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. godini na ukupnoj razini otočnih gradova/općina</w:t>
      </w:r>
      <w:r w:rsidRPr="00592E7F">
        <w:rPr>
          <w:rFonts w:ascii="Arial" w:eastAsia="Times New Roman" w:hAnsi="Arial" w:cs="Arial"/>
          <w:color w:val="17365D"/>
          <w:sz w:val="18"/>
          <w:szCs w:val="18"/>
          <w:lang w:eastAsia="hr-HR"/>
        </w:rPr>
        <w:t xml:space="preserve">  </w:t>
      </w:r>
      <w:r w:rsidRPr="00592E7F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kuna)</w:t>
      </w:r>
    </w:p>
    <w:p w:rsidR="00E8202D" w:rsidRPr="00367E75" w:rsidRDefault="007A1CB9" w:rsidP="007A1CB9">
      <w:pPr>
        <w:spacing w:before="60" w:after="0" w:line="288" w:lineRule="auto"/>
        <w:jc w:val="center"/>
        <w:rPr>
          <w:rFonts w:ascii="Arial" w:eastAsia="Times New Roman" w:hAnsi="Arial" w:cs="Arial"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noProof/>
          <w:color w:val="17365D"/>
          <w:sz w:val="18"/>
          <w:szCs w:val="18"/>
          <w:lang w:eastAsia="hr-HR"/>
        </w:rPr>
        <w:drawing>
          <wp:inline distT="0" distB="0" distL="0" distR="0" wp14:anchorId="79291B71">
            <wp:extent cx="6184800" cy="2160000"/>
            <wp:effectExtent l="0" t="0" r="6985" b="0"/>
            <wp:docPr id="12" name="Slika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805" w:rsidRDefault="00E8202D" w:rsidP="00130477">
      <w:pPr>
        <w:spacing w:before="60" w:after="0" w:line="288" w:lineRule="auto"/>
        <w:ind w:left="992" w:hanging="992"/>
        <w:jc w:val="both"/>
        <w:rPr>
          <w:rFonts w:ascii="Arial" w:eastAsia="Times New Roman" w:hAnsi="Arial" w:cs="Arial"/>
          <w:b/>
          <w:color w:val="17365D"/>
          <w:sz w:val="16"/>
          <w:szCs w:val="16"/>
          <w:lang w:eastAsia="hr-HR"/>
        </w:rPr>
      </w:pPr>
      <w:r w:rsidRPr="00367E75">
        <w:rPr>
          <w:rFonts w:ascii="Arial" w:eastAsia="Times New Roman" w:hAnsi="Arial" w:cs="Times New Roman"/>
          <w:bCs/>
          <w:i/>
          <w:color w:val="17365D"/>
          <w:sz w:val="16"/>
          <w:szCs w:val="16"/>
          <w:lang w:eastAsia="hr-HR"/>
        </w:rPr>
        <w:t>Izvor: Fina, Registar godišnjih financijskih izvještaja</w:t>
      </w:r>
      <w:r w:rsidRPr="00367E75">
        <w:rPr>
          <w:rFonts w:ascii="Arial" w:eastAsia="Times New Roman" w:hAnsi="Arial" w:cs="Arial"/>
          <w:b/>
          <w:color w:val="17365D"/>
          <w:sz w:val="16"/>
          <w:szCs w:val="16"/>
          <w:lang w:eastAsia="hr-HR"/>
        </w:rPr>
        <w:t xml:space="preserve"> </w:t>
      </w:r>
    </w:p>
    <w:p w:rsidR="003B6C2D" w:rsidRPr="00CE57DB" w:rsidRDefault="003B6C2D" w:rsidP="00F309AE">
      <w:pPr>
        <w:pBdr>
          <w:top w:val="single" w:sz="12" w:space="1" w:color="auto"/>
        </w:pBdr>
        <w:spacing w:before="240" w:after="0" w:line="288" w:lineRule="auto"/>
        <w:ind w:left="992" w:hanging="992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CE57DB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Više informacija dostupno u Analizi financijskih rezultata poslovanja poduzetnika po svim gradovima i općinama RH.</w:t>
      </w:r>
    </w:p>
    <w:p w:rsidR="003B6C2D" w:rsidRPr="00CE57DB" w:rsidRDefault="003B6C2D" w:rsidP="00F309AE">
      <w:pPr>
        <w:pBdr>
          <w:top w:val="single" w:sz="12" w:space="1" w:color="auto"/>
        </w:pBdr>
        <w:spacing w:after="0" w:line="240" w:lineRule="auto"/>
        <w:ind w:left="992" w:hanging="992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CE57DB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Kontakt</w:t>
      </w:r>
      <w:r w:rsidR="000E41F5" w:rsidRPr="00CE57DB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i narudžbe</w:t>
      </w:r>
      <w:r w:rsidRPr="00CE57DB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: </w:t>
      </w:r>
      <w:hyperlink r:id="rId15" w:history="1">
        <w:r w:rsidRPr="00CE57DB">
          <w:rPr>
            <w:rStyle w:val="Hyperlink"/>
            <w:rFonts w:ascii="Arial" w:eastAsia="Times New Roman" w:hAnsi="Arial" w:cs="Arial"/>
            <w:i/>
            <w:sz w:val="18"/>
            <w:szCs w:val="18"/>
            <w:lang w:eastAsia="hr-HR"/>
          </w:rPr>
          <w:t>analize@fina.hr</w:t>
        </w:r>
      </w:hyperlink>
      <w:r w:rsidRPr="00CE57DB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</w:t>
      </w:r>
    </w:p>
    <w:sectPr w:rsidR="003B6C2D" w:rsidRPr="00CE57DB" w:rsidSect="000E41F5">
      <w:headerReference w:type="first" r:id="rId16"/>
      <w:type w:val="continuous"/>
      <w:pgSz w:w="11906" w:h="16838" w:code="9"/>
      <w:pgMar w:top="1134" w:right="1021" w:bottom="1021" w:left="1134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E2" w:rsidRDefault="00851AE2" w:rsidP="00367E75">
      <w:pPr>
        <w:spacing w:after="0" w:line="240" w:lineRule="auto"/>
      </w:pPr>
      <w:r>
        <w:separator/>
      </w:r>
    </w:p>
  </w:endnote>
  <w:endnote w:type="continuationSeparator" w:id="0">
    <w:p w:rsidR="00851AE2" w:rsidRDefault="00851AE2" w:rsidP="0036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E2" w:rsidRDefault="00851AE2" w:rsidP="00367E75">
      <w:pPr>
        <w:spacing w:after="0" w:line="240" w:lineRule="auto"/>
      </w:pPr>
      <w:r>
        <w:separator/>
      </w:r>
    </w:p>
  </w:footnote>
  <w:footnote w:type="continuationSeparator" w:id="0">
    <w:p w:rsidR="00851AE2" w:rsidRDefault="00851AE2" w:rsidP="00367E75">
      <w:pPr>
        <w:spacing w:after="0" w:line="240" w:lineRule="auto"/>
      </w:pPr>
      <w:r>
        <w:continuationSeparator/>
      </w:r>
    </w:p>
  </w:footnote>
  <w:footnote w:id="1">
    <w:p w:rsidR="00130477" w:rsidRPr="00E8202D" w:rsidRDefault="00130477" w:rsidP="00367E75">
      <w:pPr>
        <w:pStyle w:val="FootnoteText"/>
        <w:rPr>
          <w:rFonts w:ascii="Arial" w:hAnsi="Arial" w:cs="Arial"/>
          <w:color w:val="244061"/>
          <w:sz w:val="17"/>
          <w:szCs w:val="17"/>
        </w:rPr>
      </w:pPr>
      <w:r w:rsidRPr="00E8202D">
        <w:rPr>
          <w:rStyle w:val="FootnoteReference"/>
          <w:rFonts w:ascii="Arial" w:hAnsi="Arial" w:cs="Arial"/>
          <w:sz w:val="17"/>
          <w:szCs w:val="17"/>
        </w:rPr>
        <w:footnoteRef/>
      </w:r>
      <w:r w:rsidRPr="00E8202D">
        <w:rPr>
          <w:rFonts w:ascii="Arial" w:hAnsi="Arial" w:cs="Arial"/>
          <w:color w:val="244061"/>
          <w:sz w:val="17"/>
          <w:szCs w:val="17"/>
        </w:rPr>
        <w:t xml:space="preserve"> </w:t>
      </w:r>
      <w:r w:rsidRPr="00592E7F">
        <w:rPr>
          <w:rFonts w:ascii="Arial" w:hAnsi="Arial" w:cs="Arial"/>
          <w:color w:val="244061"/>
          <w:sz w:val="17"/>
          <w:szCs w:val="17"/>
        </w:rPr>
        <w:t>Izvor: Hrvatski hidrografski institut, listopad 2013.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477" w:rsidRDefault="00130477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323E217F" wp14:editId="1497E559">
          <wp:simplePos x="0" y="0"/>
          <wp:positionH relativeFrom="column">
            <wp:posOffset>-42468</wp:posOffset>
          </wp:positionH>
          <wp:positionV relativeFrom="paragraph">
            <wp:posOffset>-92454</wp:posOffset>
          </wp:positionV>
          <wp:extent cx="1085215" cy="215900"/>
          <wp:effectExtent l="0" t="0" r="635" b="0"/>
          <wp:wrapNone/>
          <wp:docPr id="5" name="Picture 5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1AFD"/>
    <w:multiLevelType w:val="hybridMultilevel"/>
    <w:tmpl w:val="C7127EFA"/>
    <w:lvl w:ilvl="0" w:tplc="266AF25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75"/>
    <w:rsid w:val="000C442C"/>
    <w:rsid w:val="000E3B06"/>
    <w:rsid w:val="000E41F5"/>
    <w:rsid w:val="000F1757"/>
    <w:rsid w:val="00130477"/>
    <w:rsid w:val="001F20D8"/>
    <w:rsid w:val="00207396"/>
    <w:rsid w:val="0021263D"/>
    <w:rsid w:val="002240FB"/>
    <w:rsid w:val="003006D2"/>
    <w:rsid w:val="00367E75"/>
    <w:rsid w:val="003B6C2D"/>
    <w:rsid w:val="004425B1"/>
    <w:rsid w:val="00463D25"/>
    <w:rsid w:val="00470C20"/>
    <w:rsid w:val="00471367"/>
    <w:rsid w:val="00483A2D"/>
    <w:rsid w:val="0049325D"/>
    <w:rsid w:val="00503D6F"/>
    <w:rsid w:val="005271BF"/>
    <w:rsid w:val="00543CB2"/>
    <w:rsid w:val="00587347"/>
    <w:rsid w:val="00592E7F"/>
    <w:rsid w:val="0064566D"/>
    <w:rsid w:val="006606CE"/>
    <w:rsid w:val="006772D6"/>
    <w:rsid w:val="00705847"/>
    <w:rsid w:val="007A1CB9"/>
    <w:rsid w:val="00822886"/>
    <w:rsid w:val="00851AE2"/>
    <w:rsid w:val="008A08ED"/>
    <w:rsid w:val="008B3DDE"/>
    <w:rsid w:val="008C1CF9"/>
    <w:rsid w:val="0093546F"/>
    <w:rsid w:val="009F2128"/>
    <w:rsid w:val="00A25981"/>
    <w:rsid w:val="00A706AA"/>
    <w:rsid w:val="00AF5E09"/>
    <w:rsid w:val="00B42CDE"/>
    <w:rsid w:val="00B473CB"/>
    <w:rsid w:val="00B7371E"/>
    <w:rsid w:val="00C032FB"/>
    <w:rsid w:val="00C362CC"/>
    <w:rsid w:val="00C37E2A"/>
    <w:rsid w:val="00CE57DB"/>
    <w:rsid w:val="00CF3969"/>
    <w:rsid w:val="00D27686"/>
    <w:rsid w:val="00D35419"/>
    <w:rsid w:val="00D35BB6"/>
    <w:rsid w:val="00D47143"/>
    <w:rsid w:val="00D85854"/>
    <w:rsid w:val="00DB5805"/>
    <w:rsid w:val="00DB5FC0"/>
    <w:rsid w:val="00E52D91"/>
    <w:rsid w:val="00E70766"/>
    <w:rsid w:val="00E8202D"/>
    <w:rsid w:val="00F309AE"/>
    <w:rsid w:val="00F6176E"/>
    <w:rsid w:val="00F6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7E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E75"/>
    <w:rPr>
      <w:sz w:val="20"/>
      <w:szCs w:val="20"/>
    </w:rPr>
  </w:style>
  <w:style w:type="character" w:styleId="FootnoteReference">
    <w:name w:val="footnote reference"/>
    <w:uiPriority w:val="99"/>
    <w:semiHidden/>
    <w:rsid w:val="00367E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E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19"/>
  </w:style>
  <w:style w:type="paragraph" w:styleId="Footer">
    <w:name w:val="footer"/>
    <w:basedOn w:val="Normal"/>
    <w:link w:val="FooterChar"/>
    <w:uiPriority w:val="99"/>
    <w:unhideWhenUsed/>
    <w:rsid w:val="00D3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19"/>
  </w:style>
  <w:style w:type="character" w:styleId="Hyperlink">
    <w:name w:val="Hyperlink"/>
    <w:basedOn w:val="DefaultParagraphFont"/>
    <w:uiPriority w:val="99"/>
    <w:unhideWhenUsed/>
    <w:rsid w:val="003B6C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8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3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7E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E75"/>
    <w:rPr>
      <w:sz w:val="20"/>
      <w:szCs w:val="20"/>
    </w:rPr>
  </w:style>
  <w:style w:type="character" w:styleId="FootnoteReference">
    <w:name w:val="footnote reference"/>
    <w:uiPriority w:val="99"/>
    <w:semiHidden/>
    <w:rsid w:val="00367E7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E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19"/>
  </w:style>
  <w:style w:type="paragraph" w:styleId="Footer">
    <w:name w:val="footer"/>
    <w:basedOn w:val="Normal"/>
    <w:link w:val="FooterChar"/>
    <w:uiPriority w:val="99"/>
    <w:unhideWhenUsed/>
    <w:rsid w:val="00D3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19"/>
  </w:style>
  <w:style w:type="character" w:styleId="Hyperlink">
    <w:name w:val="Hyperlink"/>
    <w:basedOn w:val="DefaultParagraphFont"/>
    <w:uiPriority w:val="99"/>
    <w:unhideWhenUsed/>
    <w:rsid w:val="003B6C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58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ransparentno.hr/pregled/19819724166/829dfaae2335d4b68474d1408f152667f6ac98b4266bd028a3634a4262815d04a0fae7453aded9c101246dc9d2bd285a2f33235c41a991188576e39deae8f23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91062886911/6f1f951be9fcb62249135beda5a49e6d2ebf172817233cdff6f0341b6d16e148c492120966a56b614b00e0f570db96c2d527a35b0634afb3d281a0e3aef2c8e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alize@fina.hr" TargetMode="External"/><Relationship Id="rId10" Type="http://schemas.openxmlformats.org/officeDocument/2006/relationships/hyperlink" Target="https://www.transparentno.hr/pregled/66548420466/702a5133248a7c87c7735b29f6663a3b473301013467671ac94a50fbcbb86c0facf24dfef438cc991154a3e08516e72c6bc6c35e546deaf6d47186f9cac562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25295166877/107c7324249dd4e9f24b01c8408f6336e45778109aef119bb87726e31a3b679056512ed4036412bb1b7500e5b5da1e4d1f143bb4160f7729a36e48499bbb2410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2044</Words>
  <Characters>11651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2017-08-21T12:03:00Z</dcterms:created>
  <dcterms:modified xsi:type="dcterms:W3CDTF">2017-08-21T13:09:00Z</dcterms:modified>
</cp:coreProperties>
</file>