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5" w:rsidRPr="00592E7F" w:rsidRDefault="00CE57DB" w:rsidP="0049325D">
      <w:pPr>
        <w:widowControl w:val="0"/>
        <w:spacing w:after="0" w:line="240" w:lineRule="auto"/>
        <w:contextualSpacing/>
        <w:jc w:val="center"/>
        <w:outlineLvl w:val="0"/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 xml:space="preserve">Na razini </w:t>
      </w:r>
      <w:r w:rsidRPr="00592E7F"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>otočni</w:t>
      </w:r>
      <w:r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>h</w:t>
      </w:r>
      <w:r w:rsidRPr="00592E7F"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 xml:space="preserve"> gradova i općina u 2016. Godini</w:t>
      </w:r>
      <w:r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 xml:space="preserve"> dobit poduzetnika porasla za 143 %</w:t>
      </w:r>
    </w:p>
    <w:p w:rsidR="0093546F" w:rsidRDefault="00367E75" w:rsidP="00E52D91">
      <w:pPr>
        <w:widowControl w:val="0"/>
        <w:spacing w:before="120" w:after="0"/>
        <w:jc w:val="both"/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</w:pP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Republika Hrvatska ima 1.244 otoka koji se geografski dijele na 78 otoka (</w:t>
      </w:r>
      <w:r w:rsidR="001F20D8"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kojima je 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površina veća od 1 km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vertAlign w:val="superscript"/>
          <w:lang w:eastAsia="hr-HR"/>
        </w:rPr>
        <w:t>2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), 524 otočića i 642 hridi i grebena.</w:t>
      </w:r>
      <w:r w:rsidRPr="004425B1">
        <w:rPr>
          <w:rFonts w:ascii="Arial" w:eastAsia="Arial Unicode MS" w:hAnsi="Arial" w:cs="Arial"/>
          <w:noProof/>
          <w:color w:val="17365D"/>
          <w:sz w:val="18"/>
          <w:szCs w:val="20"/>
          <w:vertAlign w:val="superscript"/>
          <w:lang w:eastAsia="hr-HR"/>
        </w:rPr>
        <w:footnoteReference w:id="1"/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 Stalno je naseljeno 47 otoka i poluotok Pelješac, a prema posljednjem popisu stanovništva iz 2011. godine zabilježen je rast broja stanovnika na otocima na kojima</w:t>
      </w:r>
      <w:r w:rsidR="001F20D8"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,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 u 344 naselja</w:t>
      </w:r>
      <w:r w:rsidR="001F20D8"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,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 živi 132</w:t>
      </w:r>
      <w:r w:rsidR="00CE57DB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 756 stanovnika, što je za 7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886 više u odnosu na rezultate popisa iz 2001. godine.</w:t>
      </w:r>
      <w:r w:rsidR="0093546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 </w:t>
      </w:r>
    </w:p>
    <w:p w:rsidR="00D27686" w:rsidRPr="00592E7F" w:rsidRDefault="00D27686" w:rsidP="00E52D91">
      <w:pPr>
        <w:widowControl w:val="0"/>
        <w:spacing w:before="120" w:after="0"/>
        <w:jc w:val="both"/>
        <w:rPr>
          <w:rFonts w:ascii="Arial" w:eastAsia="Arial Unicode MS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Najviše otočnih gradova i općina 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je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u Splitsko-dalmatinskoj županiji (16)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, a s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lijede Dubrovačko-neretvanska i Primorsko-goranska županija sa po 11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i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Zadarska županija sa 10 otočnih gradova i općina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. Š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ibensko-kninska 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županija ima dvije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otočne opći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ne, a Ličko-senjska jedan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otočni grad (tablica 1)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.</w:t>
      </w:r>
    </w:p>
    <w:p w:rsidR="00367E75" w:rsidRPr="00367E75" w:rsidRDefault="00367E75" w:rsidP="00D35419">
      <w:pPr>
        <w:widowControl w:val="0"/>
        <w:tabs>
          <w:tab w:val="left" w:pos="1134"/>
        </w:tabs>
        <w:spacing w:before="180" w:after="0" w:line="288" w:lineRule="auto"/>
        <w:jc w:val="both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Tablica </w:t>
      </w:r>
      <w:r w:rsidR="00D35419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1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Popis 51 grada/općine - otočna područja</w:t>
      </w:r>
      <w:r w:rsidRPr="00367E7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</w:t>
      </w:r>
    </w:p>
    <w:tbl>
      <w:tblPr>
        <w:tblW w:w="9808" w:type="dxa"/>
        <w:jc w:val="center"/>
        <w:tblInd w:w="5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2"/>
        <w:gridCol w:w="2439"/>
        <w:gridCol w:w="2438"/>
        <w:gridCol w:w="2379"/>
        <w:gridCol w:w="60"/>
      </w:tblGrid>
      <w:tr w:rsidR="00367E75" w:rsidRPr="00367E75" w:rsidTr="000E41F5">
        <w:trPr>
          <w:trHeight w:val="227"/>
          <w:jc w:val="center"/>
        </w:trPr>
        <w:tc>
          <w:tcPr>
            <w:tcW w:w="98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Otočna Hrvatska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4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367E75" w:rsidRPr="00367E75" w:rsidRDefault="00367E75" w:rsidP="0058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>Primorsko-goranska županija</w:t>
            </w:r>
          </w:p>
        </w:tc>
        <w:tc>
          <w:tcPr>
            <w:tcW w:w="4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367E75" w:rsidRPr="00367E75" w:rsidRDefault="00367E75" w:rsidP="0058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>Splitsko-dalmatinska županija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Cres/otok Cres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Punat/otok Krk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Bol/otok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Okrug/otok Čiovo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Baška/otok Krk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Vrbnik/otok Krk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Milna/otok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Hvar/otok Hvar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Dobrinj/otok Krk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proofErr w:type="spellStart"/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Lopar</w:t>
            </w:r>
            <w:proofErr w:type="spellEnd"/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/otok Rab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Nerežišća/otok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Jelsa/otok Hvar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Krk/otok Krk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Rab/otok Rab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Postira/otok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Sućuraj/otok Hvar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Malinska-Dubašnica/otok Krk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Mali Lošinj/otok Mali Lošinj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Pučišća/otok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Stari Grad/otok Hvar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Omišalj/otok Krk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Selca/otok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Šolta/otok Šolta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4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367E75" w:rsidRPr="00367E75" w:rsidRDefault="00367E75" w:rsidP="0058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>Ličko-senjska županija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Supetar/otok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Komiža/otok Vis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Novalja/otok Pag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Sutivan/otok Brač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Vis/otok Vis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4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367E75" w:rsidRPr="00367E75" w:rsidRDefault="00367E75" w:rsidP="00587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>Šibenska županija</w:t>
            </w:r>
          </w:p>
        </w:tc>
        <w:tc>
          <w:tcPr>
            <w:tcW w:w="4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367E75" w:rsidRPr="00367E75" w:rsidRDefault="00367E75" w:rsidP="00587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>Dubrovačko-neretvanska županija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Murter/otok Murter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Tisno/otok Murter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Blato/otok Korčula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Mljet/otok Mljet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4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367E75" w:rsidRPr="00367E75" w:rsidRDefault="00367E75" w:rsidP="00587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>Zadarska županija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Korčula/otok Korčula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Janjina/poluotok Pelješac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Sali/Dugi otok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Tkon/otok Pašman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Lumbarda/otok Korčula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Orebić/poluotok Pelješac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Kolan/otok Pag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Vir/otok Vir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Smokvica/otok Korčula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Ston/poluotok Pelješac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Pag/otok Pag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Kali/otok Ugljan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Vela Luka/otok Korčula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proofErr w:type="spellStart"/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Trpanj</w:t>
            </w:r>
            <w:proofErr w:type="spellEnd"/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/poluotok Pelješac</w:t>
            </w: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Povljana/otok Pag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Kukljica/otok Ugljan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Lastovo/otok Lastovo</w:t>
            </w: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</w:p>
        </w:tc>
      </w:tr>
      <w:tr w:rsidR="00367E75" w:rsidRPr="00367E75" w:rsidTr="00587347">
        <w:trPr>
          <w:trHeight w:val="227"/>
          <w:jc w:val="center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Pašman/otok Pašman</w:t>
            </w: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367E7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Preko/otok Ugljan</w:t>
            </w:r>
          </w:p>
        </w:tc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367E75" w:rsidRPr="00367E75" w:rsidRDefault="00367E75" w:rsidP="00367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</w:p>
        </w:tc>
      </w:tr>
      <w:tr w:rsidR="00367E75" w:rsidRPr="00592E7F" w:rsidTr="00587347">
        <w:trPr>
          <w:gridAfter w:val="1"/>
          <w:wAfter w:w="60" w:type="dxa"/>
          <w:jc w:val="center"/>
        </w:trPr>
        <w:tc>
          <w:tcPr>
            <w:tcW w:w="97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7E75" w:rsidRPr="00592E7F" w:rsidRDefault="00367E75" w:rsidP="00587347">
            <w:pPr>
              <w:spacing w:before="40" w:after="0" w:line="240" w:lineRule="auto"/>
              <w:jc w:val="both"/>
              <w:rPr>
                <w:rFonts w:ascii="Arial" w:eastAsia="Times New Roman" w:hAnsi="Arial" w:cs="Times New Roman"/>
                <w:bCs/>
                <w:i/>
                <w:color w:val="17365D"/>
                <w:sz w:val="16"/>
                <w:szCs w:val="18"/>
                <w:lang w:eastAsia="hr-HR"/>
              </w:rPr>
            </w:pPr>
            <w:r w:rsidRPr="00592E7F">
              <w:rPr>
                <w:rFonts w:ascii="Arial" w:eastAsia="Times New Roman" w:hAnsi="Arial" w:cs="Times New Roman"/>
                <w:bCs/>
                <w:i/>
                <w:color w:val="17365D"/>
                <w:sz w:val="16"/>
                <w:szCs w:val="18"/>
                <w:lang w:eastAsia="hr-HR"/>
              </w:rPr>
              <w:t>Izvor: Fina, Registar godišnjih financijskih izvještaja, obrada GFI-a za 201</w:t>
            </w:r>
            <w:r w:rsidR="00587347" w:rsidRPr="00592E7F">
              <w:rPr>
                <w:rFonts w:ascii="Arial" w:eastAsia="Times New Roman" w:hAnsi="Arial" w:cs="Times New Roman"/>
                <w:bCs/>
                <w:i/>
                <w:color w:val="17365D"/>
                <w:sz w:val="16"/>
                <w:szCs w:val="18"/>
                <w:lang w:eastAsia="hr-HR"/>
              </w:rPr>
              <w:t>6</w:t>
            </w:r>
            <w:r w:rsidRPr="00592E7F">
              <w:rPr>
                <w:rFonts w:ascii="Arial" w:eastAsia="Times New Roman" w:hAnsi="Arial" w:cs="Times New Roman"/>
                <w:bCs/>
                <w:i/>
                <w:color w:val="17365D"/>
                <w:sz w:val="16"/>
                <w:szCs w:val="18"/>
                <w:lang w:eastAsia="hr-HR"/>
              </w:rPr>
              <w:t>. godinu</w:t>
            </w:r>
          </w:p>
        </w:tc>
      </w:tr>
    </w:tbl>
    <w:p w:rsidR="00AF5E09" w:rsidRPr="00592E7F" w:rsidRDefault="00AF5E09" w:rsidP="000E41F5">
      <w:pPr>
        <w:widowControl w:val="0"/>
        <w:spacing w:before="180" w:after="0"/>
        <w:jc w:val="both"/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</w:pP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Prema analizi podataka iz godišnjih financijskih izvještaja poduzetnika sa područja otočnih gradova i općina u 2016. godini, koja je obuhvatila 51 grad/općinu, poslovalo je 4201 poduzetnik </w:t>
      </w:r>
      <w:r w:rsidR="000E41F5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(u 2015. godini bilo je 3933 poduzetnika), 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koji su ukupno zapošljavali 20</w:t>
      </w:r>
      <w:r w:rsidR="000E41F5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 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844 radnika, što je u odnosu na prethodno poslovno razdoblje povećanje broja zaposlenih za 4,6</w:t>
      </w:r>
      <w:r w:rsidR="000E41F5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Arial Unicode MS" w:hAnsi="Arial" w:cs="Arial"/>
          <w:noProof/>
          <w:color w:val="17365D"/>
          <w:sz w:val="20"/>
          <w:szCs w:val="20"/>
          <w:lang w:eastAsia="hr-HR"/>
        </w:rPr>
        <w:t>%.</w:t>
      </w:r>
    </w:p>
    <w:p w:rsidR="00367E75" w:rsidRPr="00592E7F" w:rsidRDefault="00367E75" w:rsidP="0049325D">
      <w:pPr>
        <w:spacing w:before="180" w:after="0" w:line="240" w:lineRule="auto"/>
        <w:ind w:left="992" w:hanging="992"/>
        <w:jc w:val="both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Tablica 2.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Osnovni financijski podaci poslovanja poduzetnika otočnih područja i svih poduzetnika RH u 201</w:t>
      </w:r>
      <w:r w:rsidR="00A25981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6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. g. </w:t>
      </w:r>
    </w:p>
    <w:p w:rsidR="00367E75" w:rsidRDefault="00367E75" w:rsidP="00367E75">
      <w:pPr>
        <w:tabs>
          <w:tab w:val="left" w:pos="1134"/>
          <w:tab w:val="right" w:pos="9639"/>
        </w:tabs>
        <w:spacing w:before="60" w:after="0" w:line="288" w:lineRule="auto"/>
        <w:jc w:val="both"/>
        <w:rPr>
          <w:rFonts w:ascii="Arial" w:eastAsia="Times New Roman" w:hAnsi="Arial" w:cs="Arial"/>
          <w:color w:val="17365D"/>
          <w:sz w:val="16"/>
          <w:szCs w:val="18"/>
          <w:lang w:eastAsia="hr-HR"/>
        </w:rPr>
      </w:pPr>
      <w:r w:rsidRPr="00592E7F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592E7F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592E7F">
        <w:rPr>
          <w:rFonts w:ascii="Arial" w:eastAsia="Times New Roman" w:hAnsi="Arial" w:cs="Arial"/>
          <w:color w:val="17365D"/>
          <w:sz w:val="16"/>
          <w:szCs w:val="18"/>
          <w:lang w:eastAsia="hr-HR"/>
        </w:rPr>
        <w:t>(iznosi u tisućama kuna, prosječne plaće u kunama)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3086"/>
        <w:gridCol w:w="1273"/>
        <w:gridCol w:w="1136"/>
        <w:gridCol w:w="850"/>
        <w:gridCol w:w="1276"/>
        <w:gridCol w:w="1306"/>
        <w:gridCol w:w="825"/>
      </w:tblGrid>
      <w:tr w:rsidR="00A25981" w:rsidRPr="00A25981" w:rsidTr="000E41F5">
        <w:trPr>
          <w:trHeight w:val="283"/>
          <w:tblHeader/>
          <w:jc w:val="center"/>
        </w:trPr>
        <w:tc>
          <w:tcPr>
            <w:tcW w:w="308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25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Otočna Hrvatska</w:t>
            </w:r>
          </w:p>
        </w:tc>
        <w:tc>
          <w:tcPr>
            <w:tcW w:w="340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RH</w:t>
            </w:r>
          </w:p>
        </w:tc>
      </w:tr>
      <w:tr w:rsidR="00A25981" w:rsidRPr="00A25981" w:rsidTr="003006D2">
        <w:trPr>
          <w:trHeight w:val="267"/>
          <w:tblHeader/>
          <w:jc w:val="center"/>
        </w:trPr>
        <w:tc>
          <w:tcPr>
            <w:tcW w:w="30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2015.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2016.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2015.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2016.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4.201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5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114.483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-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19.934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20.844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811.607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853.110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105,1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9.396.475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9.900.833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602.185.147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633.109.425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105,1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9.219.189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9.508.862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579.471.489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602.063.828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103,9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682.559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712.951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40.125.222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45.702.437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113,9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505.274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320.980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17.411.564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14.656.840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84,2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625.924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612.421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34.416.661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38.695.898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112,4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505.080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318.391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17.033.958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14.660.642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86,1</w:t>
            </w:r>
          </w:p>
        </w:tc>
      </w:tr>
      <w:tr w:rsidR="00A25981" w:rsidRPr="00A25981" w:rsidTr="003006D2">
        <w:trPr>
          <w:trHeight w:val="450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25981" w:rsidRPr="00A25981" w:rsidRDefault="00A25981" w:rsidP="008C1CF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120.845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294.030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17.382.703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24.035.256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b/>
                <w:color w:val="003366"/>
                <w:sz w:val="17"/>
                <w:szCs w:val="17"/>
                <w:lang w:eastAsia="hr-HR"/>
              </w:rPr>
              <w:t>138,3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1.508.242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1.601.530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112.453.659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119.433.879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106,2</w:t>
            </w:r>
          </w:p>
        </w:tc>
      </w:tr>
      <w:tr w:rsidR="00A25981" w:rsidRPr="00A25981" w:rsidTr="000E41F5">
        <w:trPr>
          <w:trHeight w:val="283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437.234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421.585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92.327.857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100.350.185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108,7</w:t>
            </w:r>
          </w:p>
        </w:tc>
      </w:tr>
      <w:tr w:rsidR="00A25981" w:rsidRPr="00A25981" w:rsidTr="000E41F5">
        <w:trPr>
          <w:trHeight w:val="397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8C1C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lastRenderedPageBreak/>
              <w:t>Bruto investicije samo u novu dugotrajnu imovinu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782.793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717.439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24.669.987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25.225.962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102,3</w:t>
            </w:r>
          </w:p>
        </w:tc>
      </w:tr>
      <w:tr w:rsidR="00A25981" w:rsidRPr="00A25981" w:rsidTr="000E41F5">
        <w:trPr>
          <w:trHeight w:val="397"/>
          <w:jc w:val="center"/>
        </w:trPr>
        <w:tc>
          <w:tcPr>
            <w:tcW w:w="3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8C1C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Prosječna mjesečna neto plaća po zaposlenom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4.650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5F1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5.049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25981" w:rsidRPr="00A25981" w:rsidRDefault="00A25981" w:rsidP="00A259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A25981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101,8</w:t>
            </w:r>
          </w:p>
        </w:tc>
      </w:tr>
    </w:tbl>
    <w:p w:rsidR="00367E75" w:rsidRPr="00592E7F" w:rsidRDefault="00367E75" w:rsidP="00367E75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</w:t>
      </w:r>
      <w:r w:rsidRPr="00592E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financijskih izvještaja, obrada GFI-a za 201</w:t>
      </w:r>
      <w:r w:rsidR="00A25981" w:rsidRPr="00592E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592E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DB5FC0" w:rsidRPr="00592E7F" w:rsidRDefault="00DB5FC0" w:rsidP="000E41F5">
      <w:pPr>
        <w:widowControl w:val="0"/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Prema podacima </w:t>
      </w:r>
      <w:r w:rsidR="00592E7F"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iz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financijskih izvještaja za 2016. godinu, poduzetnici otočnih područja iskazali su pozitivan konsolidirani financijski rezultat u iznosu od 294,0 milijuna kuna te tako ostvarili povećanje za 143,3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 odnosu na prethodnu poslovnu godinu. Od ukupnog broja poduzetnika promatranog područja s dobitkom je poslovalo njih 60,7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(2548 poduzetnika). Ukupan prihod navedene skupine poduzetnika koji je ostvaren u 2016. godini iznosio je 9,</w:t>
      </w:r>
      <w:proofErr w:type="spellStart"/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9</w:t>
      </w:r>
      <w:proofErr w:type="spellEnd"/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milijardi kuna, što je povećanje od 5,4% u odnosu na prethodnu 2015. godinu. Najveći doprinos rezultatu dali su poduzetnici grada Krka sa 1,2 milijarde kuna (12,1% udjela u ukupnim prihodima otočnih područja) te poduzetnici gradova Mali Lošinj (9,7%) i Cres (6,6%).</w:t>
      </w:r>
    </w:p>
    <w:p w:rsidR="00DB5FC0" w:rsidRPr="00592E7F" w:rsidRDefault="00DB5FC0" w:rsidP="000E41F5">
      <w:pPr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Prosječna mjesečna neto plaća obračunata kod poduzetnika otočnih općina i gradova u 2016. godini iznosila je 4.791 kunu, odnosno 3,0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više u odnosu na prethodnu godinu te 6,8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% manje od iznosa prosječne mjesečne neto plaće zaposlenih kod poduzetnika na razini RH (5.140 kuna). Najveća prosječna mjesečna neto plaća obračunata je kod poduzetnika 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sa sjedištem u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Hvaru (5.882 kune), a slijede poduzetnici 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sa sjedištem u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općin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proofErr w:type="spellStart"/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Sutivan</w:t>
      </w:r>
      <w:proofErr w:type="spellEnd"/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(5.854 kune), općin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Punat (5.446 kuna), grad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u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Krk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u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(5.435 kuna) te općin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proofErr w:type="spellStart"/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Nerežišća</w:t>
      </w:r>
      <w:proofErr w:type="spellEnd"/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(5.404 kune). Ukoliko se promatraju prosječne mjesečne neto plaće na razini otoka/poluotoka, najvišu plaću isplatili su poduzetnici otoka Cresa, u iznosu od 5.369 kuna, a najmanju poduzetnici otoka Korčule (4.503 kune) (grafikon 1.).</w:t>
      </w:r>
    </w:p>
    <w:p w:rsidR="00367E75" w:rsidRPr="00367E75" w:rsidRDefault="00367E75" w:rsidP="0049325D">
      <w:pPr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Prosječna mjesečna neto plaća po zaposlenom u 201</w:t>
      </w:r>
      <w:r w:rsidR="006772D6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6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 g. na razini otoka/poluotoka</w:t>
      </w:r>
      <w:r w:rsidRPr="00367E7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</w:t>
      </w:r>
    </w:p>
    <w:p w:rsidR="00367E75" w:rsidRPr="00367E75" w:rsidRDefault="00367E75" w:rsidP="00E8202D">
      <w:pPr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367E75" w:rsidRPr="00367E75" w:rsidRDefault="006772D6" w:rsidP="0049325D">
      <w:pPr>
        <w:tabs>
          <w:tab w:val="left" w:pos="1134"/>
        </w:tabs>
        <w:spacing w:after="0" w:line="288" w:lineRule="auto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7906B1C8" wp14:editId="10DF4710">
            <wp:extent cx="6191250" cy="1819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81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E75" w:rsidRPr="00367E75" w:rsidRDefault="00367E75" w:rsidP="00367E75">
      <w:pPr>
        <w:spacing w:before="60" w:after="0" w:line="288" w:lineRule="auto"/>
        <w:ind w:left="992" w:hanging="992"/>
        <w:jc w:val="both"/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367E75"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  <w:t xml:space="preserve"> </w:t>
      </w:r>
    </w:p>
    <w:p w:rsidR="00367E75" w:rsidRPr="00592E7F" w:rsidRDefault="00DB5FC0" w:rsidP="000E41F5">
      <w:pPr>
        <w:tabs>
          <w:tab w:val="left" w:pos="1134"/>
        </w:tabs>
        <w:spacing w:before="180" w:after="0"/>
        <w:jc w:val="both"/>
        <w:rPr>
          <w:rFonts w:ascii="Arial" w:eastAsia="Arial Unicode MS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U odnosu na prethodnu godinu</w:t>
      </w:r>
      <w:r w:rsidR="00592E7F"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,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zabilježeno je povećanje prihoda od izvoza za 6,2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%, a smanjenje uvoza za 3,6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% te su poduzetnici otočnih područja u 2016. godini ostvarili trgovinski saldo od 1,2 milijarde kuna. Bruto investicije samo u novu dugotrajnu imovinu bilježe smanjenje od 8,3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% u odnosu na 2015. godinu.</w:t>
      </w:r>
    </w:p>
    <w:p w:rsidR="00367E75" w:rsidRPr="00367E75" w:rsidRDefault="00367E75" w:rsidP="0049325D">
      <w:pPr>
        <w:tabs>
          <w:tab w:val="left" w:pos="993"/>
        </w:tabs>
        <w:spacing w:before="180" w:after="0" w:line="240" w:lineRule="auto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Tablica </w:t>
      </w:r>
      <w:r w:rsidR="00E8202D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3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Osnovni financijski podaci poslovanja poduzetnika otočnih područja u 201</w:t>
      </w:r>
      <w:r w:rsidR="008C1CF9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6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 godini prema veličini</w:t>
      </w:r>
      <w:r w:rsidRPr="00367E7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</w:t>
      </w:r>
    </w:p>
    <w:p w:rsidR="00367E75" w:rsidRDefault="00367E75" w:rsidP="00367E75">
      <w:pPr>
        <w:tabs>
          <w:tab w:val="left" w:pos="993"/>
          <w:tab w:val="left" w:pos="5812"/>
          <w:tab w:val="left" w:pos="6946"/>
          <w:tab w:val="right" w:pos="9498"/>
        </w:tabs>
        <w:spacing w:after="0" w:line="288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367E75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367E75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367E75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kuna, udjeli u %)</w:t>
      </w:r>
    </w:p>
    <w:tbl>
      <w:tblPr>
        <w:tblW w:w="97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1"/>
        <w:gridCol w:w="1026"/>
        <w:gridCol w:w="964"/>
        <w:gridCol w:w="624"/>
        <w:gridCol w:w="999"/>
        <w:gridCol w:w="699"/>
        <w:gridCol w:w="972"/>
        <w:gridCol w:w="641"/>
        <w:gridCol w:w="972"/>
        <w:gridCol w:w="641"/>
      </w:tblGrid>
      <w:tr w:rsidR="008C1CF9" w:rsidRPr="008C1CF9" w:rsidTr="000E41F5">
        <w:trPr>
          <w:trHeight w:val="269"/>
          <w:tblHeader/>
          <w:jc w:val="center"/>
        </w:trPr>
        <w:tc>
          <w:tcPr>
            <w:tcW w:w="217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02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58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Mikro</w:t>
            </w:r>
          </w:p>
        </w:tc>
        <w:tc>
          <w:tcPr>
            <w:tcW w:w="169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Mali</w:t>
            </w:r>
          </w:p>
        </w:tc>
        <w:tc>
          <w:tcPr>
            <w:tcW w:w="16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Srednje veliki</w:t>
            </w:r>
          </w:p>
        </w:tc>
        <w:tc>
          <w:tcPr>
            <w:tcW w:w="16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Veliki</w:t>
            </w:r>
          </w:p>
        </w:tc>
      </w:tr>
      <w:tr w:rsidR="008C1CF9" w:rsidRPr="008C1CF9" w:rsidTr="000E41F5">
        <w:trPr>
          <w:trHeight w:val="450"/>
          <w:tblHeader/>
          <w:jc w:val="center"/>
        </w:trPr>
        <w:tc>
          <w:tcPr>
            <w:tcW w:w="217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Udio u </w:t>
            </w:r>
            <w:proofErr w:type="spellStart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uk</w:t>
            </w:r>
            <w:proofErr w:type="spellEnd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. (%)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Udio u </w:t>
            </w:r>
            <w:proofErr w:type="spellStart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uk</w:t>
            </w:r>
            <w:proofErr w:type="spellEnd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.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Udio u </w:t>
            </w:r>
            <w:proofErr w:type="spellStart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uk</w:t>
            </w:r>
            <w:proofErr w:type="spellEnd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.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Udio u </w:t>
            </w:r>
            <w:proofErr w:type="spellStart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uk</w:t>
            </w:r>
            <w:proofErr w:type="spellEnd"/>
            <w:r w:rsidRPr="008C1CF9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. (%)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0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4.201</w:t>
            </w:r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3.870</w:t>
            </w:r>
          </w:p>
        </w:tc>
        <w:tc>
          <w:tcPr>
            <w:tcW w:w="6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92,1</w:t>
            </w:r>
          </w:p>
        </w:tc>
        <w:tc>
          <w:tcPr>
            <w:tcW w:w="9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287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6,8</w:t>
            </w:r>
          </w:p>
        </w:tc>
        <w:tc>
          <w:tcPr>
            <w:tcW w:w="9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0,9</w:t>
            </w:r>
          </w:p>
        </w:tc>
        <w:tc>
          <w:tcPr>
            <w:tcW w:w="9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6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0,2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20.844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7.137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6.062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4.477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3.168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15,2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9.900.833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2.608.238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3.041.716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2.587.116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1.663.763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16,8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9.508.862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2.547.374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2.906.495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2.422.600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1.632.393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17,2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712.951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253.965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193.894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179.093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85.999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12,1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6"/>
                <w:szCs w:val="17"/>
                <w:lang w:eastAsia="hr-HR"/>
              </w:rPr>
              <w:t>Gubitak prije oporezivanja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320.980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193.102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60,2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58.673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14.577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54.628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17,0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97.941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41.781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24.226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18.454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13.480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13,8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612.421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212.394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166.869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160.639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72.519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11,8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318.391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193.311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60,7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55.874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14.577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54.628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17,2</w:t>
            </w:r>
          </w:p>
        </w:tc>
      </w:tr>
      <w:tr w:rsidR="008C1CF9" w:rsidRPr="008C1CF9" w:rsidTr="000E41F5">
        <w:trPr>
          <w:trHeight w:val="450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lastRenderedPageBreak/>
              <w:t xml:space="preserve">Konsolidirani financijski rezultat – dobit (+) ili gubitak (-) razdoblja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294.030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19.083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110.995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146.062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49,7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17.891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6,1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1.601.530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70.649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4,</w:t>
            </w:r>
            <w:proofErr w:type="spellStart"/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353.707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644.414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532.761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33,3</w:t>
            </w:r>
          </w:p>
        </w:tc>
      </w:tr>
      <w:tr w:rsidR="008C1CF9" w:rsidRPr="008C1CF9" w:rsidTr="000E41F5">
        <w:trPr>
          <w:trHeight w:val="283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421.585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51.774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75.446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127.508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166.857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39,6</w:t>
            </w:r>
          </w:p>
        </w:tc>
      </w:tr>
      <w:tr w:rsidR="008C1CF9" w:rsidRPr="008C1CF9" w:rsidTr="000E41F5">
        <w:trPr>
          <w:trHeight w:val="450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Bruto investicije samo u novu dugotrajnu imovinu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717.439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129.972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283.866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139.151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164.450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22,9</w:t>
            </w:r>
          </w:p>
        </w:tc>
      </w:tr>
      <w:tr w:rsidR="008C1CF9" w:rsidRPr="008C1CF9" w:rsidTr="000E41F5">
        <w:trPr>
          <w:trHeight w:val="450"/>
          <w:jc w:val="center"/>
        </w:trPr>
        <w:tc>
          <w:tcPr>
            <w:tcW w:w="21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Prosječna mjesečna neto plaća po zaposlenom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4.791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3.830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5.021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5.155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5.999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C1CF9" w:rsidRPr="008C1CF9" w:rsidRDefault="008C1CF9" w:rsidP="008C1C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C1CF9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125,2</w:t>
            </w:r>
          </w:p>
        </w:tc>
      </w:tr>
    </w:tbl>
    <w:p w:rsidR="00367E75" w:rsidRPr="00367E75" w:rsidRDefault="00367E75" w:rsidP="00367E75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C032FB" w:rsidRPr="00592E7F" w:rsidRDefault="00C032FB" w:rsidP="000E41F5">
      <w:pPr>
        <w:widowControl w:val="0"/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Analiza poduzetnika Otočne Hrvatske prema veličini poduzetnika, pokazala je kako su najbrojniji mikro poduzetnici sa 92,1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udjela u ukupnom broju poduzetnika registriranih na promatranom području. Osim navedenog, isti sudjeluju s najvećim udjelom u dobiti razdoblja (34,7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%) te zapošljavaju i najveći broj radnika, odnosno 34,2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od ukupnog broja zaposlenih na području otočnih gradova i općina. Kategorija malih poduzetnika najviše doprinosi ukupno ostvarenim prihodima (30,7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%), rashodima (30,6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%) te bruto investicijama samo u novu dugotrajnu imovinu (39,6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%) Otočne Hrvatske. Svojim poslovanjem u 2016. godini, srednje veliki poduzetnici najviše pridonose ukupnom financijskom rezultatu sa ostvarenih 146,1 milijun kuna neto dobiti, što je 49,7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ukupnog rezultata. Sve navedene skupine poduzetnika iskazale su pozitivan konsolidirani financijski rezultat te time utjecale na ukupan rezultat promatranog područja.</w:t>
      </w:r>
    </w:p>
    <w:p w:rsidR="00CE57DB" w:rsidRDefault="00C032FB" w:rsidP="00CE57DB">
      <w:pPr>
        <w:widowControl w:val="0"/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Prema djelatnosti poduzetnika, u 2016. godini djelatnost I – Djelatnost pružanja smještaja te pripreme i usluživanja hrane bilježi najveći ukupan prihod (2,5 milijarde kuna), što predstavlja 25,3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ukupnih prihoda svih otočnih područja. Slijede poduzetnici djelatnosti G - Trgovina na veliko i malo sa 2,1 milijardi kuna ili 21,5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ukupnih prihoda te poduzetnici djelatnosti C - prerađivačka industrija sa 1,3 milijardi kuna, odnosno 12,6</w:t>
      </w:r>
      <w:r w:rsidR="000E41F5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ukupnih prihoda svih gradova/općina otočnih područja.</w:t>
      </w:r>
      <w:r w:rsidR="00CE57DB" w:rsidRP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Među poduzetnicima u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području </w:t>
      </w:r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djelatnosti </w:t>
      </w:r>
      <w:r w:rsidR="00CE57DB"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pružanja smještaja te pripreme i usluživanja hrane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(I)</w:t>
      </w:r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po visini ostvarenih prihoda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prvo je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društvo </w:t>
      </w:r>
      <w:hyperlink r:id="rId9" w:history="1">
        <w:r w:rsidR="00CE57DB" w:rsidRPr="00FF52B3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JADRANKA HOTELI d.o.o.</w:t>
        </w:r>
      </w:hyperlink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</w:t>
      </w:r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Mali Lošinj)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. U djelatnosti </w:t>
      </w:r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t</w:t>
      </w:r>
      <w:r w:rsidR="00CE57DB"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rgovina na veliko i malo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(G)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najveći ukupni prihod ostvarilo je društvo </w:t>
      </w:r>
      <w:hyperlink r:id="rId10" w:history="1">
        <w:r w:rsidR="00CE57DB" w:rsidRPr="00FF52B3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TRGOVINA KRK d.d.</w:t>
        </w:r>
      </w:hyperlink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(Malinska), a u </w:t>
      </w:r>
      <w:r w:rsidR="00CE57DB"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prerađivačk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oj</w:t>
      </w:r>
      <w:r w:rsidR="00CE57DB" w:rsidRPr="00592E7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industrij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i (C),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društvo </w:t>
      </w:r>
      <w:hyperlink r:id="rId11" w:history="1">
        <w:r w:rsidR="00CE57DB" w:rsidRPr="00FF52B3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SARDINA d.o.o.</w:t>
        </w:r>
      </w:hyperlink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(</w:t>
      </w:r>
      <w:r w:rsidR="00CE57DB" w:rsidRPr="000E7138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Postira</w:t>
      </w:r>
      <w:r w:rsidR="00CE57D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).</w:t>
      </w:r>
    </w:p>
    <w:p w:rsidR="00367E75" w:rsidRDefault="00367E75" w:rsidP="00CE57DB">
      <w:pPr>
        <w:widowControl w:val="0"/>
        <w:tabs>
          <w:tab w:val="left" w:pos="5670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8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Tablica </w:t>
      </w:r>
      <w:r w:rsidR="00E8202D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4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Osnovni financijski podaci poslovanja poduzetnika otočnih područja u 201</w:t>
      </w:r>
      <w:r w:rsidR="00C37E2A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6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. </w:t>
      </w:r>
      <w:r w:rsidR="00E8202D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g.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prema djelatnostima</w:t>
      </w:r>
      <w:r w:rsidR="00E8202D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367E75">
        <w:rPr>
          <w:rFonts w:ascii="Arial" w:eastAsia="Times New Roman" w:hAnsi="Arial" w:cs="Arial"/>
          <w:color w:val="17365D"/>
          <w:sz w:val="16"/>
          <w:szCs w:val="18"/>
          <w:lang w:eastAsia="hr-HR"/>
        </w:rPr>
        <w:t>(iznosi u tisućama kuna, prosječne plaće u kunama)</w:t>
      </w:r>
    </w:p>
    <w:tbl>
      <w:tblPr>
        <w:tblW w:w="9707" w:type="dxa"/>
        <w:jc w:val="center"/>
        <w:tblInd w:w="260" w:type="dxa"/>
        <w:tblLook w:val="04A0" w:firstRow="1" w:lastRow="0" w:firstColumn="1" w:lastColumn="0" w:noHBand="0" w:noVBand="1"/>
      </w:tblPr>
      <w:tblGrid>
        <w:gridCol w:w="3500"/>
        <w:gridCol w:w="1150"/>
        <w:gridCol w:w="1140"/>
        <w:gridCol w:w="1134"/>
        <w:gridCol w:w="1418"/>
        <w:gridCol w:w="1365"/>
      </w:tblGrid>
      <w:tr w:rsidR="00C37E2A" w:rsidRPr="00C37E2A" w:rsidTr="00483A2D">
        <w:trPr>
          <w:trHeight w:val="890"/>
          <w:jc w:val="center"/>
        </w:trPr>
        <w:tc>
          <w:tcPr>
            <w:tcW w:w="3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1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37E2A" w:rsidRPr="00C37E2A" w:rsidRDefault="00C37E2A" w:rsidP="000E4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Konsolidirani financijski rezul</w:t>
            </w:r>
            <w:r w:rsidR="000E4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– dobit (+) ili gubitak (-) razdoblja</w:t>
            </w:r>
          </w:p>
        </w:tc>
        <w:tc>
          <w:tcPr>
            <w:tcW w:w="136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Prosječna mjesečna neto plaća po zaposlenom</w:t>
            </w:r>
          </w:p>
        </w:tc>
      </w:tr>
      <w:tr w:rsidR="00C37E2A" w:rsidRPr="00C37E2A" w:rsidTr="000E41F5">
        <w:trPr>
          <w:trHeight w:val="283"/>
          <w:jc w:val="center"/>
        </w:trPr>
        <w:tc>
          <w:tcPr>
            <w:tcW w:w="3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A)</w:t>
            </w: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Poljoprivreda, šumarstvo i ribarstvo </w:t>
            </w:r>
          </w:p>
        </w:tc>
        <w:tc>
          <w:tcPr>
            <w:tcW w:w="1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219</w:t>
            </w:r>
          </w:p>
        </w:tc>
        <w:tc>
          <w:tcPr>
            <w:tcW w:w="1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1.254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758.025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39.673</w:t>
            </w:r>
          </w:p>
        </w:tc>
        <w:tc>
          <w:tcPr>
            <w:tcW w:w="13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4.708</w:t>
            </w:r>
          </w:p>
        </w:tc>
      </w:tr>
      <w:tr w:rsidR="00C37E2A" w:rsidRPr="00C37E2A" w:rsidTr="000E41F5">
        <w:trPr>
          <w:trHeight w:val="283"/>
          <w:jc w:val="center"/>
        </w:trPr>
        <w:tc>
          <w:tcPr>
            <w:tcW w:w="3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C) </w:t>
            </w: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Prerađivačka industrija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1.251.239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49.034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4.639</w:t>
            </w:r>
          </w:p>
        </w:tc>
      </w:tr>
      <w:tr w:rsidR="00C37E2A" w:rsidRPr="00C37E2A" w:rsidTr="000E41F5">
        <w:trPr>
          <w:trHeight w:val="283"/>
          <w:jc w:val="center"/>
        </w:trPr>
        <w:tc>
          <w:tcPr>
            <w:tcW w:w="3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F)</w:t>
            </w: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Građevinarstvo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1.178.961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10.821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4.551</w:t>
            </w:r>
          </w:p>
        </w:tc>
      </w:tr>
      <w:tr w:rsidR="00C37E2A" w:rsidRPr="00C37E2A" w:rsidTr="000E41F5">
        <w:trPr>
          <w:trHeight w:val="283"/>
          <w:jc w:val="center"/>
        </w:trPr>
        <w:tc>
          <w:tcPr>
            <w:tcW w:w="3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G)</w:t>
            </w: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Trgovina na veliko i malo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2.128.201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75.784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4.336</w:t>
            </w:r>
          </w:p>
        </w:tc>
      </w:tr>
      <w:tr w:rsidR="00C37E2A" w:rsidRPr="00C37E2A" w:rsidTr="000E41F5">
        <w:trPr>
          <w:trHeight w:val="454"/>
          <w:jc w:val="center"/>
        </w:trPr>
        <w:tc>
          <w:tcPr>
            <w:tcW w:w="3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I) Djelatnost pružanja smještaja te pripreme i usluživanja hrane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2.500.816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60.321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5.003</w:t>
            </w:r>
          </w:p>
        </w:tc>
      </w:tr>
      <w:tr w:rsidR="00C37E2A" w:rsidRPr="00C37E2A" w:rsidTr="000E41F5">
        <w:trPr>
          <w:trHeight w:val="283"/>
          <w:jc w:val="center"/>
        </w:trPr>
        <w:tc>
          <w:tcPr>
            <w:tcW w:w="3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Ostale djelatnosti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2.083.591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58.397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4.979</w:t>
            </w:r>
          </w:p>
        </w:tc>
      </w:tr>
      <w:tr w:rsidR="00C37E2A" w:rsidRPr="00C37E2A" w:rsidTr="000E41F5">
        <w:trPr>
          <w:trHeight w:val="283"/>
          <w:jc w:val="center"/>
        </w:trPr>
        <w:tc>
          <w:tcPr>
            <w:tcW w:w="3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20.844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9.900.833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294.030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C37E2A" w:rsidRPr="00C37E2A" w:rsidRDefault="00C37E2A" w:rsidP="00C37E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C37E2A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4.791</w:t>
            </w:r>
          </w:p>
        </w:tc>
      </w:tr>
    </w:tbl>
    <w:p w:rsidR="00367E75" w:rsidRPr="00367E75" w:rsidRDefault="00367E75" w:rsidP="00367E75">
      <w:pPr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7"/>
          <w:szCs w:val="17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7"/>
          <w:szCs w:val="17"/>
          <w:lang w:eastAsia="hr-HR"/>
        </w:rPr>
        <w:t>Izvor: Fina, Registar godišnjih financijskih izvještaja</w:t>
      </w:r>
    </w:p>
    <w:p w:rsidR="00C032FB" w:rsidRPr="00592E7F" w:rsidRDefault="00C032FB" w:rsidP="000E41F5">
      <w:pPr>
        <w:widowControl w:val="0"/>
        <w:spacing w:before="180" w:after="0"/>
        <w:jc w:val="both"/>
        <w:rPr>
          <w:rFonts w:ascii="Arial" w:eastAsia="Arial Unicode MS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Unutar spomenutih djelatnosti najveći je broj poduzetnika u djelatnosti I – Djelatnost pružanja smještaja te pripreme i usluživanja hrane (851 poduzetnik), što je i očekivano s obzirom na geografski položaj poslovanja poduzetnika te sam status Republike Hrvatske kao popularne turističke destinacije. U istoj djelatnosti zaposlen je i najveći broj radnika (6.285), odnosno 30,2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>% od ukupnog broja zaposlenih u svim djelatnostima promatranog uzorka. U djelatnosti G - Trgovina na veliko i malo poslovalo je 662 poduzetnika koji su zapošljavali 13,4</w:t>
      </w:r>
      <w:r w:rsidR="000E41F5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% od ukupnog broja zaposlenih u svim djelatnostima otočnih gradova/općina te su ostvarili najveći konsolidirani financijski rezultat – neto dobit u iznosu od 75,8 milijuna kuna. </w:t>
      </w:r>
    </w:p>
    <w:p w:rsidR="00C032FB" w:rsidRPr="00592E7F" w:rsidRDefault="00C032FB" w:rsidP="000E41F5">
      <w:pPr>
        <w:widowControl w:val="0"/>
        <w:spacing w:before="120" w:after="0"/>
        <w:jc w:val="both"/>
        <w:rPr>
          <w:rFonts w:ascii="Arial" w:eastAsia="Arial Unicode MS" w:hAnsi="Arial" w:cs="Arial"/>
          <w:color w:val="17365D"/>
          <w:sz w:val="20"/>
          <w:szCs w:val="20"/>
          <w:lang w:eastAsia="hr-HR"/>
        </w:rPr>
      </w:pP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t xml:space="preserve">Unutar istaknutih djelatnosti najveća prosječna mjesečna neto plaća u 2016. godini, u iznosu od 5.003 kune, obračunata je u djelatnosti I – Djelatnost pružanja smještaja te pripreme i usluživanja hrane. Slijede </w:t>
      </w:r>
      <w:r w:rsidRPr="00592E7F">
        <w:rPr>
          <w:rFonts w:ascii="Arial" w:eastAsia="Arial Unicode MS" w:hAnsi="Arial" w:cs="Arial"/>
          <w:color w:val="17365D"/>
          <w:sz w:val="20"/>
          <w:szCs w:val="20"/>
          <w:lang w:eastAsia="hr-HR"/>
        </w:rPr>
        <w:lastRenderedPageBreak/>
        <w:t xml:space="preserve">poduzetnici djelatnosti A - poljoprivreda, šumarstvo i ribarstvo sa obračunatom prosječnom mjesečnom neto plaćom od 4.708 kuna te poduzetnici djelatnosti C - Prerađivačka djelatnost sa iznosom plaće od 4.639 kuna (tablica 4.). </w:t>
      </w:r>
    </w:p>
    <w:p w:rsidR="00367E75" w:rsidRPr="0049325D" w:rsidRDefault="00367E75" w:rsidP="00471367">
      <w:pPr>
        <w:widowControl w:val="0"/>
        <w:spacing w:before="180" w:after="0" w:line="240" w:lineRule="auto"/>
        <w:ind w:left="1418" w:hanging="1418"/>
        <w:jc w:val="both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bookmarkStart w:id="0" w:name="_GoBack"/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</w:t>
      </w:r>
      <w:bookmarkEnd w:id="0"/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rafikon </w:t>
      </w:r>
      <w:r w:rsidR="00A706AA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2</w:t>
      </w:r>
      <w:r w:rsidR="00B473CB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</w:t>
      </w:r>
      <w:r w:rsidR="00543CB2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i 3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. 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="00543CB2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Udio rezultata u ukupnim prihodima otočnih područja prema djelatnosti i vlasništvu poduzetnika u 2016. godini</w:t>
      </w:r>
    </w:p>
    <w:p w:rsidR="00367E75" w:rsidRPr="00367E75" w:rsidRDefault="00CF3969" w:rsidP="00CF3969">
      <w:pPr>
        <w:widowControl w:val="0"/>
        <w:tabs>
          <w:tab w:val="left" w:pos="1701"/>
        </w:tabs>
        <w:spacing w:after="60" w:line="288" w:lineRule="auto"/>
        <w:jc w:val="center"/>
        <w:rPr>
          <w:rFonts w:ascii="Arial" w:eastAsia="Times New Roman" w:hAnsi="Arial" w:cs="Arial"/>
          <w:b/>
          <w:color w:val="17365D"/>
          <w:sz w:val="19"/>
          <w:szCs w:val="19"/>
          <w:lang w:eastAsia="hr-HR"/>
        </w:rPr>
      </w:pPr>
      <w:r>
        <w:rPr>
          <w:rFonts w:ascii="Arial" w:eastAsia="Times New Roman" w:hAnsi="Arial" w:cs="Arial"/>
          <w:b/>
          <w:noProof/>
          <w:color w:val="17365D"/>
          <w:sz w:val="19"/>
          <w:szCs w:val="19"/>
          <w:lang w:eastAsia="hr-HR"/>
        </w:rPr>
        <w:drawing>
          <wp:inline distT="0" distB="0" distL="0" distR="0" wp14:anchorId="1FEA176D" wp14:editId="729179BA">
            <wp:extent cx="6188400" cy="1944000"/>
            <wp:effectExtent l="0" t="0" r="3175" b="0"/>
            <wp:docPr id="11" name="Slika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E75" w:rsidRPr="00367E75" w:rsidRDefault="00367E75" w:rsidP="00367E75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C032FB" w:rsidRPr="00592E7F" w:rsidRDefault="00C032FB" w:rsidP="000E41F5">
      <w:pPr>
        <w:spacing w:before="180"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Promatrano na razini pojedinoga otoka/poluotoka, najveći broj poduzetnika i zaposlenih registriran je na najnaseljenijem otoku, na otoku Krku. U gradu Krku te u 6 općina otoka Krka, u 2016. godini, ukupno je 766 poduzetnika koji su </w:t>
      </w:r>
      <w:r w:rsidR="00CE57D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imali</w:t>
      </w:r>
      <w:r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4587 </w:t>
      </w:r>
      <w:r w:rsidR="00CE57D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zaposlenih</w:t>
      </w:r>
      <w:r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. Iza otoka Krka prema broju poduzetnika slijedi najviši hrvatski otok – Brač sa 608 poduzetnika u </w:t>
      </w:r>
      <w:r w:rsidR="00CE57D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osam</w:t>
      </w:r>
      <w:r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općina kod kojih je u promatranom razdoblju bilo zaposleno 2621 radnik. Na trećem mjestu slijedi najsunčaniji hrvatski otok – Hvar, sa 384 poduzetnika i 1579 zaposlenih u dvije općine (Jelsa i Sućuraj) i dva grada (Hvar i Stari Grad). Otok Korčula sa 343 poduzetnika zauzima četvrto mjesto promatrane rang ljestvice. Poduzetnici su registrirani u gradu Korčuli i 4 općine (Blato, Vela Luka, Lumbarda i Smokvica), a u 2016. godini zapošljavali su 1775 radnika.</w:t>
      </w:r>
      <w:r w:rsidR="008A08ED"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</w:t>
      </w:r>
      <w:r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Na najvećem otoku, otoku Cresu najviše je zaposlenih u odnosu na broj poduzetnika. Kod 97 poduzetnika zaposleno je 1509 radnika, što je u prosjeku 15,6 radnika po poduzetniku. Društvo s najvećim brojem zaposlenih na otoku Cresu je </w:t>
      </w:r>
      <w:hyperlink r:id="rId13" w:history="1">
        <w:r w:rsidRPr="00D85854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AUTOTRANS d.o.o.</w:t>
        </w:r>
      </w:hyperlink>
      <w:r w:rsidRPr="00592E7F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, koje je u 2016. godini zapošljavalo je 670 radnika. </w:t>
      </w:r>
    </w:p>
    <w:p w:rsidR="00F66DF1" w:rsidRPr="00CE57DB" w:rsidRDefault="00C032FB" w:rsidP="00CE57DB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CE57D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Prema produktivnosti rada (ukupni prihod po zaposlenom), na prvom su mjestu poduzetnici otoka Paga (gradovi Novalja i Pag, općine Kolan i Povljana) s ukupnim prihodom po zaposlenom od 610,9 tisuća kuna, a najviše zahvaljujući prihodu po zaposlenom kod poduzetnika u gradu Novalji koji iznosi 686,3 tisuće kuna.</w:t>
      </w:r>
    </w:p>
    <w:p w:rsidR="00E8202D" w:rsidRPr="00367E75" w:rsidRDefault="00E8202D" w:rsidP="0049325D">
      <w:pPr>
        <w:widowControl w:val="0"/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Grafikon </w:t>
      </w:r>
      <w:r w:rsidR="00F6176E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4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. 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Prihod po zaposlenom u 201</w:t>
      </w:r>
      <w:r w:rsidR="007A1CB9"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6</w:t>
      </w:r>
      <w:r w:rsidRPr="00592E7F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 godini na ukupnoj razini otočnih gradova/općina</w:t>
      </w:r>
      <w:r w:rsidRPr="00592E7F">
        <w:rPr>
          <w:rFonts w:ascii="Arial" w:eastAsia="Times New Roman" w:hAnsi="Arial" w:cs="Arial"/>
          <w:color w:val="17365D"/>
          <w:sz w:val="18"/>
          <w:szCs w:val="18"/>
          <w:lang w:eastAsia="hr-HR"/>
        </w:rPr>
        <w:t xml:space="preserve">  </w:t>
      </w:r>
      <w:r w:rsidRPr="00592E7F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kuna)</w:t>
      </w:r>
    </w:p>
    <w:p w:rsidR="00E8202D" w:rsidRPr="00367E75" w:rsidRDefault="007A1CB9" w:rsidP="007A1CB9">
      <w:pPr>
        <w:spacing w:before="60" w:after="0" w:line="288" w:lineRule="auto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79291B71">
            <wp:extent cx="6184800" cy="2160000"/>
            <wp:effectExtent l="0" t="0" r="6985" b="0"/>
            <wp:docPr id="12" name="Slik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805" w:rsidRDefault="00E8202D" w:rsidP="00130477">
      <w:pPr>
        <w:spacing w:before="60" w:after="0" w:line="288" w:lineRule="auto"/>
        <w:ind w:left="992" w:hanging="992"/>
        <w:jc w:val="both"/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</w:pPr>
      <w:r w:rsidRPr="00367E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367E75">
        <w:rPr>
          <w:rFonts w:ascii="Arial" w:eastAsia="Times New Roman" w:hAnsi="Arial" w:cs="Arial"/>
          <w:b/>
          <w:color w:val="17365D"/>
          <w:sz w:val="16"/>
          <w:szCs w:val="16"/>
          <w:lang w:eastAsia="hr-HR"/>
        </w:rPr>
        <w:t xml:space="preserve"> </w:t>
      </w:r>
    </w:p>
    <w:p w:rsidR="003B6C2D" w:rsidRPr="00CE57DB" w:rsidRDefault="003B6C2D" w:rsidP="00F309AE">
      <w:pPr>
        <w:pBdr>
          <w:top w:val="single" w:sz="12" w:space="1" w:color="auto"/>
        </w:pBdr>
        <w:spacing w:before="240" w:after="0" w:line="288" w:lineRule="auto"/>
        <w:ind w:left="992" w:hanging="992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CE57DB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Više informacija dostupno u Analizi financijskih rezultata poslovanja poduzetnika po svim gradovima i općinama RH.</w:t>
      </w:r>
    </w:p>
    <w:p w:rsidR="003B6C2D" w:rsidRPr="00CE57DB" w:rsidRDefault="003B6C2D" w:rsidP="00F309AE">
      <w:pPr>
        <w:pBdr>
          <w:top w:val="single" w:sz="12" w:space="1" w:color="auto"/>
        </w:pBdr>
        <w:spacing w:after="0" w:line="240" w:lineRule="auto"/>
        <w:ind w:left="992" w:hanging="992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CE57DB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Kontakt</w:t>
      </w:r>
      <w:r w:rsidR="000E41F5" w:rsidRPr="00CE57DB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i narudžbe</w:t>
      </w:r>
      <w:r w:rsidRPr="00CE57DB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: </w:t>
      </w:r>
      <w:hyperlink r:id="rId15" w:history="1">
        <w:r w:rsidRPr="00CE57DB">
          <w:rPr>
            <w:rStyle w:val="Hyperlink"/>
            <w:rFonts w:ascii="Arial" w:eastAsia="Times New Roman" w:hAnsi="Arial" w:cs="Arial"/>
            <w:i/>
            <w:sz w:val="18"/>
            <w:szCs w:val="18"/>
            <w:lang w:eastAsia="hr-HR"/>
          </w:rPr>
          <w:t>analize@fina.hr</w:t>
        </w:r>
      </w:hyperlink>
      <w:r w:rsidRPr="00CE57DB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</w:t>
      </w:r>
    </w:p>
    <w:sectPr w:rsidR="003B6C2D" w:rsidRPr="00CE57DB" w:rsidSect="000E41F5">
      <w:headerReference w:type="first" r:id="rId16"/>
      <w:type w:val="continuous"/>
      <w:pgSz w:w="11906" w:h="16838" w:code="9"/>
      <w:pgMar w:top="1134" w:right="1021" w:bottom="1021" w:left="1134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E2" w:rsidRDefault="00851AE2" w:rsidP="00367E75">
      <w:pPr>
        <w:spacing w:after="0" w:line="240" w:lineRule="auto"/>
      </w:pPr>
      <w:r>
        <w:separator/>
      </w:r>
    </w:p>
  </w:endnote>
  <w:endnote w:type="continuationSeparator" w:id="0">
    <w:p w:rsidR="00851AE2" w:rsidRDefault="00851AE2" w:rsidP="0036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E2" w:rsidRDefault="00851AE2" w:rsidP="00367E75">
      <w:pPr>
        <w:spacing w:after="0" w:line="240" w:lineRule="auto"/>
      </w:pPr>
      <w:r>
        <w:separator/>
      </w:r>
    </w:p>
  </w:footnote>
  <w:footnote w:type="continuationSeparator" w:id="0">
    <w:p w:rsidR="00851AE2" w:rsidRDefault="00851AE2" w:rsidP="00367E75">
      <w:pPr>
        <w:spacing w:after="0" w:line="240" w:lineRule="auto"/>
      </w:pPr>
      <w:r>
        <w:continuationSeparator/>
      </w:r>
    </w:p>
  </w:footnote>
  <w:footnote w:id="1">
    <w:p w:rsidR="00130477" w:rsidRPr="00E8202D" w:rsidRDefault="00130477" w:rsidP="00367E75">
      <w:pPr>
        <w:pStyle w:val="FootnoteText"/>
        <w:rPr>
          <w:rFonts w:ascii="Arial" w:hAnsi="Arial" w:cs="Arial"/>
          <w:color w:val="244061"/>
          <w:sz w:val="17"/>
          <w:szCs w:val="17"/>
        </w:rPr>
      </w:pPr>
      <w:r w:rsidRPr="00E8202D">
        <w:rPr>
          <w:rStyle w:val="FootnoteReference"/>
          <w:rFonts w:ascii="Arial" w:hAnsi="Arial" w:cs="Arial"/>
          <w:sz w:val="17"/>
          <w:szCs w:val="17"/>
        </w:rPr>
        <w:footnoteRef/>
      </w:r>
      <w:r w:rsidRPr="00E8202D">
        <w:rPr>
          <w:rFonts w:ascii="Arial" w:hAnsi="Arial" w:cs="Arial"/>
          <w:color w:val="244061"/>
          <w:sz w:val="17"/>
          <w:szCs w:val="17"/>
        </w:rPr>
        <w:t xml:space="preserve"> </w:t>
      </w:r>
      <w:r w:rsidRPr="00592E7F">
        <w:rPr>
          <w:rFonts w:ascii="Arial" w:hAnsi="Arial" w:cs="Arial"/>
          <w:color w:val="244061"/>
          <w:sz w:val="17"/>
          <w:szCs w:val="17"/>
        </w:rPr>
        <w:t>Izvor: Hrvatski hidrografski institut, listopad 2013.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77" w:rsidRDefault="0013047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23E217F" wp14:editId="1497E559">
          <wp:simplePos x="0" y="0"/>
          <wp:positionH relativeFrom="column">
            <wp:posOffset>-42468</wp:posOffset>
          </wp:positionH>
          <wp:positionV relativeFrom="paragraph">
            <wp:posOffset>-92454</wp:posOffset>
          </wp:positionV>
          <wp:extent cx="1085215" cy="215900"/>
          <wp:effectExtent l="0" t="0" r="635" b="0"/>
          <wp:wrapNone/>
          <wp:docPr id="5" name="Picture 5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AFD"/>
    <w:multiLevelType w:val="hybridMultilevel"/>
    <w:tmpl w:val="C7127EFA"/>
    <w:lvl w:ilvl="0" w:tplc="266AF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5"/>
    <w:rsid w:val="000C442C"/>
    <w:rsid w:val="000E3B06"/>
    <w:rsid w:val="000E41F5"/>
    <w:rsid w:val="000F1757"/>
    <w:rsid w:val="00130477"/>
    <w:rsid w:val="001F20D8"/>
    <w:rsid w:val="00207396"/>
    <w:rsid w:val="0021263D"/>
    <w:rsid w:val="002240FB"/>
    <w:rsid w:val="003006D2"/>
    <w:rsid w:val="00367E75"/>
    <w:rsid w:val="003B6C2D"/>
    <w:rsid w:val="004425B1"/>
    <w:rsid w:val="00463D25"/>
    <w:rsid w:val="00470C20"/>
    <w:rsid w:val="00471367"/>
    <w:rsid w:val="00483A2D"/>
    <w:rsid w:val="0049325D"/>
    <w:rsid w:val="00503D6F"/>
    <w:rsid w:val="005271BF"/>
    <w:rsid w:val="00543CB2"/>
    <w:rsid w:val="00587347"/>
    <w:rsid w:val="00592E7F"/>
    <w:rsid w:val="0064566D"/>
    <w:rsid w:val="006606CE"/>
    <w:rsid w:val="006772D6"/>
    <w:rsid w:val="00705847"/>
    <w:rsid w:val="007A1CB9"/>
    <w:rsid w:val="00822886"/>
    <w:rsid w:val="00851AE2"/>
    <w:rsid w:val="008A08ED"/>
    <w:rsid w:val="008B3DDE"/>
    <w:rsid w:val="008C1CF9"/>
    <w:rsid w:val="0093546F"/>
    <w:rsid w:val="009F2128"/>
    <w:rsid w:val="00A25981"/>
    <w:rsid w:val="00A706AA"/>
    <w:rsid w:val="00AF5E09"/>
    <w:rsid w:val="00B42CDE"/>
    <w:rsid w:val="00B473CB"/>
    <w:rsid w:val="00B7371E"/>
    <w:rsid w:val="00C032FB"/>
    <w:rsid w:val="00C362CC"/>
    <w:rsid w:val="00C37E2A"/>
    <w:rsid w:val="00CE57DB"/>
    <w:rsid w:val="00CF3969"/>
    <w:rsid w:val="00D27686"/>
    <w:rsid w:val="00D35419"/>
    <w:rsid w:val="00D35BB6"/>
    <w:rsid w:val="00D47143"/>
    <w:rsid w:val="00D85854"/>
    <w:rsid w:val="00DB5805"/>
    <w:rsid w:val="00DB5FC0"/>
    <w:rsid w:val="00E52D91"/>
    <w:rsid w:val="00E70766"/>
    <w:rsid w:val="00E8202D"/>
    <w:rsid w:val="00F309AE"/>
    <w:rsid w:val="00F6176E"/>
    <w:rsid w:val="00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7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E75"/>
    <w:rPr>
      <w:sz w:val="20"/>
      <w:szCs w:val="20"/>
    </w:rPr>
  </w:style>
  <w:style w:type="character" w:styleId="FootnoteReference">
    <w:name w:val="footnote reference"/>
    <w:uiPriority w:val="99"/>
    <w:semiHidden/>
    <w:rsid w:val="00367E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19"/>
  </w:style>
  <w:style w:type="paragraph" w:styleId="Footer">
    <w:name w:val="footer"/>
    <w:basedOn w:val="Normal"/>
    <w:link w:val="Footer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19"/>
  </w:style>
  <w:style w:type="character" w:styleId="Hyperlink">
    <w:name w:val="Hyperlink"/>
    <w:basedOn w:val="DefaultParagraphFont"/>
    <w:uiPriority w:val="99"/>
    <w:unhideWhenUsed/>
    <w:rsid w:val="003B6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8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7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E75"/>
    <w:rPr>
      <w:sz w:val="20"/>
      <w:szCs w:val="20"/>
    </w:rPr>
  </w:style>
  <w:style w:type="character" w:styleId="FootnoteReference">
    <w:name w:val="footnote reference"/>
    <w:uiPriority w:val="99"/>
    <w:semiHidden/>
    <w:rsid w:val="00367E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19"/>
  </w:style>
  <w:style w:type="paragraph" w:styleId="Footer">
    <w:name w:val="footer"/>
    <w:basedOn w:val="Normal"/>
    <w:link w:val="FooterChar"/>
    <w:uiPriority w:val="99"/>
    <w:unhideWhenUsed/>
    <w:rsid w:val="00D3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19"/>
  </w:style>
  <w:style w:type="character" w:styleId="Hyperlink">
    <w:name w:val="Hyperlink"/>
    <w:basedOn w:val="DefaultParagraphFont"/>
    <w:uiPriority w:val="99"/>
    <w:unhideWhenUsed/>
    <w:rsid w:val="003B6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8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tno.hr/pregled/19819724166/829dfaae2335d4b68474d1408f152667f6ac98b4266bd028a3634a4262815d04a0fae7453aded9c101246dc9d2bd285a2f33235c41a991188576e39deae8f2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91062886911/6f1f951be9fcb62249135beda5a49e6d2ebf172817233cdff6f0341b6d16e148c492120966a56b614b00e0f570db96c2d527a35b0634afb3d281a0e3aef2c8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lize@fina.hr" TargetMode="External"/><Relationship Id="rId10" Type="http://schemas.openxmlformats.org/officeDocument/2006/relationships/hyperlink" Target="https://www.transparentno.hr/pregled/66548420466/702a5133248a7c87c7735b29f6663a3b473301013467671ac94a50fbcbb86c0facf24dfef438cc991154a3e08516e72c6bc6c35e546deaf6d47186f9cac56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25295166877/107c7324249dd4e9f24b01c8408f6336e45778109aef119bb87726e31a3b679056512ed4036412bb1b7500e5b5da1e4d1f143bb4160f7729a36e48499bbb2410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2017-08-21T12:03:00Z</dcterms:created>
  <dcterms:modified xsi:type="dcterms:W3CDTF">2017-08-21T13:09:00Z</dcterms:modified>
</cp:coreProperties>
</file>