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65" w:rsidRPr="00C733B9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REZULTATI POSLOVANJA PODUZETNIKA U DJELATNOSTI OSTALOG KOPNENOG </w:t>
      </w:r>
    </w:p>
    <w:p w:rsidR="00E97781" w:rsidRPr="00C733B9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PRIJEVOZA PUTNIKA</w:t>
      </w:r>
      <w:r w:rsidR="00C733B9"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U 2016</w:t>
      </w:r>
      <w:r w:rsidRPr="00C733B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. GODINI</w:t>
      </w:r>
    </w:p>
    <w:p w:rsidR="00E97781" w:rsidRPr="00620104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265B93">
        <w:rPr>
          <w:rFonts w:ascii="Arial" w:eastAsia="Calibri" w:hAnsi="Arial" w:cs="Arial"/>
          <w:color w:val="17365D" w:themeColor="text2" w:themeShade="BF"/>
          <w:sz w:val="20"/>
          <w:szCs w:val="20"/>
        </w:rPr>
        <w:t>Prema podacima iz obrađenih godišnjih</w:t>
      </w:r>
      <w:r w:rsidR="00265B93" w:rsidRPr="00265B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financijskih izvještaja, u 2016</w:t>
      </w:r>
      <w:r w:rsidRPr="00265B9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godini, u području djelatnosti H – PRIJEVOZ I SKLADIŠTENJE, poslovalo je </w:t>
      </w:r>
      <w:r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>ukupno 4</w:t>
      </w:r>
      <w:r w:rsidR="005A5CED"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>582</w:t>
      </w:r>
      <w:r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poduzetnika, od čega je njih </w:t>
      </w:r>
      <w:r w:rsidR="005A5CED"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>3200</w:t>
      </w:r>
      <w:r w:rsidRPr="005A5CE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kao pretežitu djelatnost, registriralo djelatnost kopnenog prijevoza i cjevovodnog transporta (NKD 49). 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Kod poduzetnika u području djelatnosti </w:t>
      </w:r>
      <w:r w:rsidR="00BD5E37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skladištenja,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2016. godini bilo je 63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 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185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zaposlenih, od kojih je 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28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 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493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45,1</w:t>
      </w:r>
      <w:r w:rsidR="00015175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%) bilo zaposleno u odjeljku djelatnosti kopnenog prijevoza i cjevovodnog transporta (NKD 49), što je porast broja zaposlenih od 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6,8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20104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% u odnosu na prethodnu, 2015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BD5E37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BD5E37" w:rsidRPr="00620104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AE351A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kopnenog prijevoza i cjevov</w:t>
      </w:r>
      <w:r w:rsidR="00AE351A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odnog transporta (NKD 49) u 2016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godini ostvarili su neto dobit u iznosu od </w:t>
      </w:r>
      <w:r w:rsidR="00AE351A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828,6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 (povećanje od </w:t>
      </w:r>
      <w:r w:rsidR="00AE351A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28,4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%) i sudjelovali sa </w:t>
      </w:r>
      <w:r w:rsidR="00AE351A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51,8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iskazanoj neto dobiti poduzetnika u području djelatnosti </w:t>
      </w:r>
      <w:r w:rsidR="00BD5E37"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</w:t>
      </w:r>
      <w:r w:rsidRPr="00AE351A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DD4AEE" w:rsidRDefault="00E97781" w:rsidP="00C73187">
      <w:pPr>
        <w:widowControl w:val="0"/>
        <w:tabs>
          <w:tab w:val="left" w:pos="1276"/>
          <w:tab w:val="right" w:pos="9781"/>
        </w:tabs>
        <w:spacing w:before="180" w:after="0" w:line="240" w:lineRule="auto"/>
        <w:ind w:left="1140" w:hanging="114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 području djelatnosti H i od</w:t>
      </w:r>
      <w:r w:rsidR="00DD4AEE"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jeljku djelatnosti NKD 49 u 2016</w:t>
      </w: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C73187"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C73187" w:rsidRPr="00DD4AE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DD4AEE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kn)</w:t>
      </w:r>
    </w:p>
    <w:p w:rsidR="00E97781" w:rsidRPr="000A04B7" w:rsidRDefault="00E97781" w:rsidP="00E97781">
      <w:pPr>
        <w:widowControl w:val="0"/>
        <w:tabs>
          <w:tab w:val="left" w:pos="1276"/>
          <w:tab w:val="right" w:pos="9639"/>
        </w:tabs>
        <w:spacing w:before="40" w:after="0" w:line="240" w:lineRule="auto"/>
        <w:ind w:left="1140" w:hanging="1140"/>
        <w:jc w:val="right"/>
        <w:rPr>
          <w:rFonts w:ascii="Arial" w:eastAsia="Times New Roman" w:hAnsi="Arial" w:cs="Arial"/>
          <w:color w:val="FF0000"/>
          <w:sz w:val="2"/>
          <w:szCs w:val="16"/>
          <w:lang w:eastAsia="hr-HR"/>
        </w:rPr>
      </w:pPr>
    </w:p>
    <w:tbl>
      <w:tblPr>
        <w:tblW w:w="9910" w:type="dxa"/>
        <w:jc w:val="center"/>
        <w:tblInd w:w="408" w:type="dxa"/>
        <w:tblLayout w:type="fixed"/>
        <w:tblLook w:val="04A0" w:firstRow="1" w:lastRow="0" w:firstColumn="1" w:lastColumn="0" w:noHBand="0" w:noVBand="1"/>
      </w:tblPr>
      <w:tblGrid>
        <w:gridCol w:w="3536"/>
        <w:gridCol w:w="1191"/>
        <w:gridCol w:w="1191"/>
        <w:gridCol w:w="737"/>
        <w:gridCol w:w="1191"/>
        <w:gridCol w:w="1191"/>
        <w:gridCol w:w="873"/>
      </w:tblGrid>
      <w:tr w:rsidR="00DD4AEE" w:rsidRPr="00693AEB" w:rsidTr="00080F26">
        <w:trPr>
          <w:trHeight w:val="432"/>
          <w:jc w:val="center"/>
        </w:trPr>
        <w:tc>
          <w:tcPr>
            <w:tcW w:w="35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11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Ukupno područje djelatnosti H</w:t>
            </w:r>
          </w:p>
        </w:tc>
        <w:tc>
          <w:tcPr>
            <w:tcW w:w="325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 Kopneni prijevoz i cjevovodni transport</w:t>
            </w:r>
          </w:p>
        </w:tc>
      </w:tr>
      <w:tr w:rsidR="00DD4AEE" w:rsidRPr="00693AEB" w:rsidTr="00080F26">
        <w:trPr>
          <w:trHeight w:val="283"/>
          <w:jc w:val="center"/>
        </w:trPr>
        <w:tc>
          <w:tcPr>
            <w:tcW w:w="35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DD4AEE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DD4AEE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DD4AEE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2015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DD4AEE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2016</w:t>
            </w:r>
            <w:r w:rsidR="00E97781"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DD4AEE" w:rsidRDefault="00E97781" w:rsidP="00041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D4AE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Index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4.582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3.200</w:t>
            </w:r>
          </w:p>
        </w:tc>
        <w:tc>
          <w:tcPr>
            <w:tcW w:w="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2.902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3.234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111,4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2.064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2.326</w:t>
            </w:r>
          </w:p>
        </w:tc>
        <w:tc>
          <w:tcPr>
            <w:tcW w:w="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112,7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1.138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1.348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118,5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723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874</w:t>
            </w:r>
          </w:p>
        </w:tc>
        <w:tc>
          <w:tcPr>
            <w:tcW w:w="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120,9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60.800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63.185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103,9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26.690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28.493</w:t>
            </w:r>
          </w:p>
        </w:tc>
        <w:tc>
          <w:tcPr>
            <w:tcW w:w="873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106,8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32.560.072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33.561.367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14.767.879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15.536.554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105,2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31.304.364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31.615.590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13.964.683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14.528.696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104,0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2.217.652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2.629.684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118,6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1.008.494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1.281.458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127,1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961.944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683.907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205.297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273.601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133,3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263.158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346.991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158.074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179.236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113,4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1.932.279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2.284.392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118,2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850.547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1.102.700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129,6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939.729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685.606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205.424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274.079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133,4</w:t>
            </w:r>
          </w:p>
        </w:tc>
      </w:tr>
      <w:tr w:rsidR="00041298" w:rsidRPr="00693AEB" w:rsidTr="00DC5CFA">
        <w:trPr>
          <w:trHeight w:val="454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992.550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1.598.786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161,1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645.123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828.621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128,4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9.477.281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10.002.291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3.421.943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3.725.137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108,9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905.028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1.162.645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469.373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581.383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123,9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8.572.253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8.839.646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2.952.570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3.143.753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106,5</w:t>
            </w:r>
          </w:p>
        </w:tc>
      </w:tr>
      <w:tr w:rsidR="00041298" w:rsidRPr="00693AEB" w:rsidTr="00080F26">
        <w:trPr>
          <w:trHeight w:val="283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3.585.564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2.635.068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73,5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1.298.418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1.026.467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79,1</w:t>
            </w:r>
          </w:p>
        </w:tc>
      </w:tr>
      <w:tr w:rsidR="00041298" w:rsidRPr="00693AEB" w:rsidTr="00080F26">
        <w:trPr>
          <w:trHeight w:val="397"/>
          <w:jc w:val="center"/>
        </w:trPr>
        <w:tc>
          <w:tcPr>
            <w:tcW w:w="3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41298" w:rsidRPr="00DC5CFA" w:rsidRDefault="00041298" w:rsidP="00041298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5CF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5.818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041298" w:rsidRPr="00DC5CFA" w:rsidRDefault="00041298" w:rsidP="00041298">
            <w:pPr>
              <w:spacing w:after="0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99,6</w:t>
            </w:r>
          </w:p>
        </w:tc>
      </w:tr>
    </w:tbl>
    <w:p w:rsidR="00E97781" w:rsidRPr="00DD4AEE" w:rsidRDefault="00E97781" w:rsidP="00E97781">
      <w:pPr>
        <w:tabs>
          <w:tab w:val="left" w:pos="601"/>
        </w:tabs>
        <w:spacing w:before="40" w:after="0" w:line="288" w:lineRule="auto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DD4AE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DD4AEE" w:rsidRPr="00DD4AE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izvještaja, obrada GFI-a za 2016</w:t>
      </w:r>
      <w:r w:rsidRPr="00DD4AEE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 godinu</w:t>
      </w:r>
    </w:p>
    <w:p w:rsidR="00E97781" w:rsidRPr="00A269D4" w:rsidRDefault="00AE351A" w:rsidP="00E97781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277C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2016</w:t>
      </w:r>
      <w:r w:rsidR="00E97781" w:rsidRPr="00277C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poduzetnici skupine djelatnosti NKD 49.3 - Ostali kopneni prijevoz putnika, 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iskazali su pozitivan financijski rezultat (</w:t>
      </w:r>
      <w:r w:rsidR="0044557E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103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kuna), </w:t>
      </w:r>
      <w:r w:rsidR="0044557E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kao rezultat povećanja 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dobiti za </w:t>
      </w:r>
      <w:r w:rsidR="0044557E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61,5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</w:t>
      </w:r>
      <w:r w:rsidR="0044557E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smanjenja gubitka razdoblja za 65,9% </w:t>
      </w:r>
      <w:r w:rsidR="00E97781" w:rsidRPr="00445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odnosu na prethodno razdoblje. Ukupan prihod poduzetnika </w:t>
      </w:r>
      <w:r w:rsidR="00E97781" w:rsidRPr="00F401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čija je pretežita djelatnost ostali kopneni prijevoz putnika </w:t>
      </w:r>
      <w:r w:rsidR="00E97781" w:rsidRPr="00156AF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(NKD 49.3</w:t>
      </w:r>
      <w:r w:rsidR="00E97781" w:rsidRPr="00D26A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</w:t>
      </w:r>
      <w:r w:rsidR="00D26A64" w:rsidRPr="00D26A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2016</w:t>
      </w:r>
      <w:r w:rsidR="00E97781" w:rsidRPr="00D26A6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iznosio je </w:t>
      </w:r>
      <w:r w:rsidR="00F401A2" w:rsidRPr="00F401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gotovo 3 milijarde</w:t>
      </w:r>
      <w:r w:rsidR="00E97781" w:rsidRPr="00F401A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</w:t>
      </w:r>
      <w:r w:rsidR="00E97781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je za </w:t>
      </w:r>
      <w:r w:rsidR="0090616B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5,8</w:t>
      </w:r>
      <w:r w:rsidR="00E97781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više nego u prethodnom razdoblju. Povećani su i ukupni rashodi i to za </w:t>
      </w:r>
      <w:r w:rsidR="0090616B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</w:t>
      </w:r>
      <w:proofErr w:type="spellStart"/>
      <w:r w:rsidR="0090616B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proofErr w:type="spellEnd"/>
      <w:r w:rsidR="00E97781" w:rsidRPr="00906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%. Obračunata prosječna mjesečna neto plaća zaposlenih kod poduzetnika u skupini djelatnosti 49.3, iznosila je </w:t>
      </w:r>
      <w:r w:rsidR="00A269D4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5.820</w:t>
      </w:r>
      <w:r w:rsidR="00E97781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D809C6" w:rsidRPr="00A269D4" w:rsidRDefault="00D809C6" w:rsidP="00E97781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Predmet ove analize su poduzetnici u skupini djelatnosti 49.3 - Ostali kopneni prijevoz putnika i 3 razreda djelatnosti unutar te skupine djelatnosti:</w:t>
      </w:r>
    </w:p>
    <w:p w:rsidR="00D809C6" w:rsidRPr="00A269D4" w:rsidRDefault="00D809C6" w:rsidP="003A7998">
      <w:pPr>
        <w:pStyle w:val="ListParagraph"/>
        <w:numPr>
          <w:ilvl w:val="0"/>
          <w:numId w:val="1"/>
        </w:numPr>
        <w:spacing w:before="60" w:after="0"/>
        <w:ind w:left="714" w:hanging="357"/>
        <w:contextualSpacing w:val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49.31 - Gradski i prigradski kopneni prijevoz putnika</w:t>
      </w:r>
      <w:r w:rsidR="003A7998" w:rsidRPr="00A269D4">
        <w:rPr>
          <w:rStyle w:val="FootnoteReferenc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1"/>
      </w:r>
    </w:p>
    <w:p w:rsidR="00D809C6" w:rsidRPr="00A269D4" w:rsidRDefault="00D809C6" w:rsidP="00D809C6">
      <w:pPr>
        <w:pStyle w:val="ListParagraph"/>
        <w:numPr>
          <w:ilvl w:val="0"/>
          <w:numId w:val="1"/>
        </w:num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49.32 - Taksi služba</w:t>
      </w:r>
    </w:p>
    <w:p w:rsidR="00D809C6" w:rsidRPr="00A269D4" w:rsidRDefault="00D809C6" w:rsidP="00D809C6">
      <w:pPr>
        <w:pStyle w:val="ListParagraph"/>
        <w:numPr>
          <w:ilvl w:val="0"/>
          <w:numId w:val="1"/>
        </w:num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49.39 - Ostali kopneni prijevoz putnika, d. n.</w:t>
      </w:r>
      <w:r w:rsidR="0096031B" w:rsidRPr="00A269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(skraćeno od drugdje nespomenuto)</w:t>
      </w:r>
      <w:r w:rsidR="003A7998" w:rsidRPr="00A269D4">
        <w:rPr>
          <w:rStyle w:val="FootnoteReferenc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2"/>
      </w:r>
    </w:p>
    <w:p w:rsidR="00D809C6" w:rsidRPr="003D54B4" w:rsidRDefault="00E97781" w:rsidP="003A7998">
      <w:pPr>
        <w:pageBreakBefore/>
        <w:spacing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lastRenderedPageBreak/>
        <w:t>Unutar skupine djelatnosti 49.3 - Ostali kopneni prijevoz putnika</w:t>
      </w:r>
      <w:r w:rsidR="00123919" w:rsidRPr="00CD10C6">
        <w:rPr>
          <w:rFonts w:ascii="Arial" w:eastAsia="Calibri" w:hAnsi="Arial" w:cs="Arial"/>
          <w:color w:val="17365D" w:themeColor="text2" w:themeShade="BF"/>
          <w:sz w:val="20"/>
          <w:szCs w:val="20"/>
          <w:vertAlign w:val="superscript"/>
        </w:rPr>
        <w:t>3</w:t>
      </w:r>
      <w:r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najviše je poduzetnika čija je pretežita djelatnost ostal</w:t>
      </w:r>
      <w:r w:rsidR="009603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9603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 putnika</w:t>
      </w:r>
      <w:r w:rsidR="009603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d. n.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49.39), ukupno ih je </w:t>
      </w:r>
      <w:r w:rsidR="00A269D4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>433</w:t>
      </w:r>
      <w:r w:rsidR="0013251B" w:rsidRPr="00A269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13251B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Taj je skup poduzetnika 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>ostvari</w:t>
      </w:r>
      <w:r w:rsidR="0013251B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>o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gotovo 3 milijarde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prihoda s tim da je prihod od izvoza iznosio 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270,9 milijuna</w:t>
      </w:r>
      <w:r w:rsidR="007A4649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čini udio u ukupnim prihodima 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49 </w:t>
      </w:r>
      <w:r w:rsidR="00D809C6" w:rsidRPr="0079220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 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19,2</w:t>
      </w:r>
      <w:r w:rsidR="00D809C6" w:rsidRPr="004869A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%. </w:t>
      </w:r>
      <w:r w:rsidR="00C851D5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>Poslovnu 2016</w:t>
      </w:r>
      <w:r w:rsidR="00D809C6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7A4649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D809C6"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odinu ovi su poduzetnici završili s pozitivnim rezultatom, ostvarenom dobiti u iznosu od </w:t>
      </w:r>
      <w:r w:rsid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103 milijuna</w:t>
      </w:r>
      <w:r w:rsidRPr="00C851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kuna. </w:t>
      </w:r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 prvom mjestu po ostvarenoj dobiti razdoblja je </w:t>
      </w:r>
      <w:hyperlink r:id="rId9" w:history="1">
        <w:r w:rsidR="00311D23" w:rsidRPr="003070FA">
          <w:rPr>
            <w:rStyle w:val="Hyperlink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AUTOTRANSPORT d.d.</w:t>
        </w:r>
      </w:hyperlink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13251B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iz Zagreba</w:t>
      </w:r>
      <w:r w:rsidR="00266313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13251B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sa ostvarenih</w:t>
      </w:r>
      <w:r w:rsidR="00107DFA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311D23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>27,1 milijun</w:t>
      </w:r>
      <w:r w:rsidR="00107DFA" w:rsidRPr="003D54B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neto dobiti.</w:t>
      </w:r>
    </w:p>
    <w:p w:rsidR="007A4649" w:rsidRPr="00F61526" w:rsidRDefault="00311D23" w:rsidP="00266313">
      <w:pPr>
        <w:widowControl w:val="0"/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Najveći broj zaposlenih u 2016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991E6F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odini</w:t>
      </w:r>
      <w:r w:rsidR="00991E6F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evidentiran je 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kod poduzetnika u </w:t>
      </w:r>
      <w:r w:rsidR="0013251B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ostalog kopnenog prijevoza putnika (NKD 49.39), </w:t>
      </w:r>
      <w:r w:rsidR="007A4649"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njih </w:t>
      </w:r>
      <w:r w:rsidRPr="00311D23">
        <w:rPr>
          <w:rFonts w:ascii="Arial" w:eastAsia="Calibri" w:hAnsi="Arial" w:cs="Arial"/>
          <w:color w:val="17365D" w:themeColor="text2" w:themeShade="BF"/>
          <w:sz w:val="20"/>
          <w:szCs w:val="20"/>
        </w:rPr>
        <w:t>6186</w:t>
      </w:r>
      <w:r w:rsidR="007A4649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je povećanje od </w:t>
      </w:r>
      <w:r w:rsidR="00F61526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>6,0</w:t>
      </w:r>
      <w:r w:rsidR="007A4649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odnosu na broj zaposlenih u p</w:t>
      </w:r>
      <w:r w:rsidR="00F61526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>rošlom poslovnom razdoblju</w:t>
      </w:r>
      <w:r w:rsidR="007A4649"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13251B" w:rsidRPr="00CD10C6" w:rsidRDefault="0013251B" w:rsidP="00266313">
      <w:pPr>
        <w:spacing w:before="120" w:after="0"/>
        <w:jc w:val="both"/>
        <w:rPr>
          <w:rFonts w:ascii="Arial" w:eastAsia="Calibri" w:hAnsi="Arial" w:cs="Arial"/>
          <w:b/>
          <w:color w:val="17365D" w:themeColor="text2" w:themeShade="BF"/>
          <w:sz w:val="19"/>
          <w:szCs w:val="19"/>
        </w:rPr>
      </w:pPr>
      <w:r w:rsidRPr="00F6152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Društvo </w:t>
      </w:r>
      <w:hyperlink r:id="rId10" w:history="1">
        <w:r w:rsidRPr="003070FA">
          <w:rPr>
            <w:rStyle w:val="Hyperlink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AUTOTRANS d.o.o.</w:t>
        </w:r>
      </w:hyperlink>
      <w:r w:rsidRPr="003070FA">
        <w:rPr>
          <w:rStyle w:val="Hyperlink"/>
        </w:rPr>
        <w:t xml:space="preserve"> </w:t>
      </w:r>
      <w:r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iz Cresa, zapošljavalo je najveći broj radnika u razredu djelatnosti 49.39 (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670</w:t>
      </w:r>
      <w:r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radnika) i ostvarilo najveći ukupan prihod na razini skupine 49.3 - Ostali kopneni prijevoz putnika, u iznosu od 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260,5</w:t>
      </w:r>
      <w:r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kuna, odnosno 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8,7</w:t>
      </w:r>
      <w:r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ukupnih prihoda skupine djelatnosti 49.3. Najboljih deset poduzetnika skupine 49.3 ostvarili su 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45,3</w:t>
      </w:r>
      <w:r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ukupnih prihoda skupine djelatnosti, odnosno </w:t>
      </w:r>
      <w:r w:rsidR="00CD10C6"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>gotovo 1,4</w:t>
      </w:r>
      <w:r w:rsidRPr="00CD10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milijarde kuna.</w:t>
      </w:r>
    </w:p>
    <w:p w:rsidR="00E97781" w:rsidRPr="009724F1" w:rsidRDefault="00E97781" w:rsidP="00DC5CFA">
      <w:pPr>
        <w:widowControl w:val="0"/>
        <w:tabs>
          <w:tab w:val="left" w:pos="6096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 2.</w:t>
      </w:r>
      <w:r w:rsidRPr="009724F1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Broj poduzetnika, broj zaposlenih te osnovni financijski rezultati poslovanja poduzetnika u skupini djelatnosti NKD 49.3 i razredima djelatnosti NKD 49</w:t>
      </w:r>
      <w:r w:rsidR="009724F1"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.31, NKD 49.32, NKD 49.39 u 2016</w:t>
      </w:r>
      <w:r w:rsidRPr="009724F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 godini</w:t>
      </w:r>
    </w:p>
    <w:p w:rsidR="00E97781" w:rsidRPr="009724F1" w:rsidRDefault="00E97781" w:rsidP="00E97781">
      <w:pPr>
        <w:tabs>
          <w:tab w:val="left" w:pos="6096"/>
        </w:tabs>
        <w:spacing w:after="0" w:line="240" w:lineRule="auto"/>
        <w:ind w:left="1134" w:hanging="1134"/>
        <w:jc w:val="right"/>
        <w:rPr>
          <w:rFonts w:ascii="Arial" w:eastAsia="Calibri" w:hAnsi="Arial" w:cs="Arial"/>
          <w:color w:val="17365D" w:themeColor="text2" w:themeShade="BF"/>
          <w:sz w:val="18"/>
          <w:szCs w:val="16"/>
        </w:rPr>
      </w:pPr>
      <w:r w:rsidRPr="009724F1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9724F1">
        <w:rPr>
          <w:rFonts w:ascii="Arial" w:eastAsia="Calibri" w:hAnsi="Arial" w:cs="Arial"/>
          <w:color w:val="17365D" w:themeColor="text2" w:themeShade="BF"/>
          <w:sz w:val="16"/>
          <w:szCs w:val="16"/>
        </w:rPr>
        <w:t>(iznosi u tisućama kuna, prosječne plaće u kunama)</w:t>
      </w:r>
    </w:p>
    <w:tbl>
      <w:tblPr>
        <w:tblW w:w="9922" w:type="dxa"/>
        <w:jc w:val="center"/>
        <w:tblInd w:w="87" w:type="dxa"/>
        <w:tblLayout w:type="fixed"/>
        <w:tblLook w:val="04A0" w:firstRow="1" w:lastRow="0" w:firstColumn="1" w:lastColumn="0" w:noHBand="0" w:noVBand="1"/>
      </w:tblPr>
      <w:tblGrid>
        <w:gridCol w:w="2324"/>
        <w:gridCol w:w="1020"/>
        <w:gridCol w:w="1021"/>
        <w:gridCol w:w="879"/>
        <w:gridCol w:w="879"/>
        <w:gridCol w:w="879"/>
        <w:gridCol w:w="879"/>
        <w:gridCol w:w="1020"/>
        <w:gridCol w:w="1021"/>
      </w:tblGrid>
      <w:tr w:rsidR="00D63360" w:rsidRPr="00D63360" w:rsidTr="00B30C9F">
        <w:trPr>
          <w:trHeight w:val="624"/>
          <w:jc w:val="center"/>
        </w:trPr>
        <w:tc>
          <w:tcPr>
            <w:tcW w:w="232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9724F1" w:rsidRDefault="00E9778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Opis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9724F1" w:rsidRDefault="00E9778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 Ostali kopneni prijevoz putnika</w:t>
            </w: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E9778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49.31 Gradski i prigradski kopneni prijevoz putnika</w:t>
            </w:r>
            <w:r w:rsidR="00117B18" w:rsidRPr="009724F1">
              <w:rPr>
                <w:rStyle w:val="FootnoteReference"/>
                <w:rFonts w:ascii="Arial" w:eastAsia="Times New Roman" w:hAnsi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footnoteReference w:id="3"/>
            </w: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E9778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49.32 Taksi služba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E9778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49.39 Ostali kopneni prijevoz putnika, d. n.</w:t>
            </w:r>
          </w:p>
        </w:tc>
      </w:tr>
      <w:tr w:rsidR="00D63360" w:rsidRPr="00D63360" w:rsidTr="00B30C9F">
        <w:trPr>
          <w:trHeight w:val="283"/>
          <w:jc w:val="center"/>
        </w:trPr>
        <w:tc>
          <w:tcPr>
            <w:tcW w:w="232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center"/>
            <w:hideMark/>
          </w:tcPr>
          <w:p w:rsidR="00E97781" w:rsidRPr="009724F1" w:rsidRDefault="00E97781" w:rsidP="00277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2015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2015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2015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2015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E97781" w:rsidRPr="009724F1" w:rsidRDefault="009724F1" w:rsidP="0027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>2016</w:t>
            </w:r>
            <w:r w:rsidR="00E97781" w:rsidRPr="009724F1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  <w:lang w:eastAsia="hr-HR"/>
              </w:rPr>
              <w:t xml:space="preserve">. 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742</w:t>
            </w:r>
          </w:p>
        </w:tc>
        <w:tc>
          <w:tcPr>
            <w:tcW w:w="879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49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260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433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Broj </w:t>
            </w:r>
            <w:proofErr w:type="spellStart"/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dobitaša</w:t>
            </w:r>
            <w:proofErr w:type="spellEnd"/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bookmarkStart w:id="0" w:name="_GoBack"/>
            <w:bookmarkEnd w:id="0"/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345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442</w:t>
            </w:r>
          </w:p>
        </w:tc>
        <w:tc>
          <w:tcPr>
            <w:tcW w:w="879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23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34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85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128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237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280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204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300</w:t>
            </w:r>
          </w:p>
        </w:tc>
        <w:tc>
          <w:tcPr>
            <w:tcW w:w="879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70</w:t>
            </w:r>
          </w:p>
        </w:tc>
        <w:tc>
          <w:tcPr>
            <w:tcW w:w="8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132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119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153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8.908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9.301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2.363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2.229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886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5.834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6.186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2.821.860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2.986.804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617.968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620.565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126.381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138.526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2.077.511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2.227.713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2.805.699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2.867.536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656.385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597.227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119.508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140.268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2.029.805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2.130.042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92.850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145.338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7.029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25.627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10.011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4.399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75.810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115.312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76.689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26.070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45.447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2.289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3.137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6.141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28.105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17.640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12.788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16.232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952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1.693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11.469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13.827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79.965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129.118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6.079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23.935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9.645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3.688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64.241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101.495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76.592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26.082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45.449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2.289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3.138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6.143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28.005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17.650</w:t>
            </w:r>
          </w:p>
        </w:tc>
      </w:tr>
      <w:tr w:rsidR="00D63360" w:rsidRPr="00D63360" w:rsidTr="00DC5CFA">
        <w:trPr>
          <w:trHeight w:val="624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3.373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103.036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FF0000"/>
                <w:sz w:val="18"/>
                <w:szCs w:val="18"/>
              </w:rPr>
              <w:t>-39.370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21.646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6.507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FF0000"/>
                <w:sz w:val="18"/>
                <w:szCs w:val="18"/>
              </w:rPr>
              <w:t>-2.454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36.236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83.845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231.186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270.930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17.997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18.292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212.919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252.177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35.318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39.998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10.688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9.761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24.583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29.933</w:t>
            </w:r>
          </w:p>
        </w:tc>
      </w:tr>
      <w:tr w:rsidR="00D63360" w:rsidRPr="00D63360" w:rsidTr="00DC5CFA">
        <w:trPr>
          <w:trHeight w:val="283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195.868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230.932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7.309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8.532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188.336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222.244</w:t>
            </w:r>
          </w:p>
        </w:tc>
      </w:tr>
      <w:tr w:rsidR="00D63360" w:rsidRPr="00D63360" w:rsidTr="00DC5CFA">
        <w:trPr>
          <w:trHeight w:val="454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70.002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99.754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7.010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18.982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1.040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62.923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79.732</w:t>
            </w:r>
          </w:p>
        </w:tc>
      </w:tr>
      <w:tr w:rsidR="00D63360" w:rsidRPr="00D63360" w:rsidTr="00DC5CFA">
        <w:trPr>
          <w:trHeight w:val="454"/>
          <w:jc w:val="center"/>
        </w:trPr>
        <w:tc>
          <w:tcPr>
            <w:tcW w:w="23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77C98" w:rsidRPr="009724F1" w:rsidRDefault="00277C98" w:rsidP="00277C9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9724F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Prosječna mjesečna neto plaća po zaposlenom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4.532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4.520</w:t>
            </w:r>
          </w:p>
        </w:tc>
        <w:tc>
          <w:tcPr>
            <w:tcW w:w="879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5.881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6.070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2.844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2.454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4.192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277C98" w:rsidRPr="00DC5CFA" w:rsidRDefault="00277C98" w:rsidP="00277C9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C5CFA">
              <w:rPr>
                <w:rFonts w:ascii="Arial" w:hAnsi="Arial" w:cs="Arial"/>
                <w:color w:val="003366"/>
                <w:sz w:val="18"/>
                <w:szCs w:val="18"/>
              </w:rPr>
              <w:t>4.257</w:t>
            </w:r>
          </w:p>
        </w:tc>
      </w:tr>
    </w:tbl>
    <w:p w:rsidR="00E97781" w:rsidRPr="009724F1" w:rsidRDefault="00E97781" w:rsidP="00E97781">
      <w:pPr>
        <w:tabs>
          <w:tab w:val="left" w:pos="601"/>
        </w:tabs>
        <w:spacing w:after="0" w:line="288" w:lineRule="auto"/>
        <w:jc w:val="both"/>
        <w:rPr>
          <w:rFonts w:ascii="Arial" w:eastAsia="Times New Roman" w:hAnsi="Arial" w:cs="Arial"/>
          <w:i/>
          <w:color w:val="17365D" w:themeColor="text2" w:themeShade="BF"/>
          <w:sz w:val="2"/>
          <w:szCs w:val="16"/>
          <w:lang w:eastAsia="hr-HR"/>
        </w:rPr>
      </w:pPr>
    </w:p>
    <w:p w:rsidR="00E97781" w:rsidRPr="009724F1" w:rsidRDefault="00E97781" w:rsidP="00E97781">
      <w:pPr>
        <w:tabs>
          <w:tab w:val="left" w:pos="601"/>
        </w:tabs>
        <w:spacing w:before="4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9724F1"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izvještaja, obrada GFI-a za 2016</w:t>
      </w:r>
      <w:r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. </w:t>
      </w:r>
      <w:r w:rsidR="00EA0254"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g</w:t>
      </w:r>
      <w:r w:rsidRPr="009724F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odinu</w:t>
      </w:r>
    </w:p>
    <w:p w:rsidR="00DC5CFA" w:rsidRPr="00966DEB" w:rsidRDefault="00DC5CFA" w:rsidP="00DC5CFA">
      <w:pPr>
        <w:widowControl w:val="0"/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Jedino je u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 taksi službe (49.32)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iskazan </w:t>
      </w:r>
      <w:r w:rsidRPr="004F132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neto gubitak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 to u iznosu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 2,5 milijuna kuna. </w:t>
      </w:r>
      <w:r w:rsidRPr="00440D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gubitak razdoblja u istoj djelatnosti iskazalo je društvo </w:t>
      </w:r>
      <w:hyperlink r:id="rId11" w:history="1">
        <w:r w:rsidRPr="00A458FF">
          <w:rPr>
            <w:rStyle w:val="Hyperlink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Pozivni centar sjever j.d.o.o</w:t>
        </w:r>
        <w:r w:rsidRPr="00A458FF">
          <w:rPr>
            <w:rStyle w:val="Hyperlink"/>
            <w:rFonts w:eastAsia="Calibri"/>
          </w:rPr>
          <w:t xml:space="preserve"> </w:t>
        </w:r>
        <w:r w:rsidRPr="00A458FF">
          <w:rPr>
            <w:rStyle w:val="Hyperlink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u stečaju</w:t>
        </w:r>
      </w:hyperlink>
      <w:r w:rsidRPr="00440D1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iz Zagreba, u iznosu </w:t>
      </w:r>
      <w:r w:rsidRPr="00A94F5B">
        <w:rPr>
          <w:rFonts w:ascii="Arial" w:eastAsia="Calibri" w:hAnsi="Arial" w:cs="Arial"/>
          <w:color w:val="17365D" w:themeColor="text2" w:themeShade="BF"/>
          <w:sz w:val="20"/>
          <w:szCs w:val="20"/>
        </w:rPr>
        <w:t>od 901 tisuću kuna što je 14,7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A94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 gubitka razdoblja na razini poduzetnika u djelatnosti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taksi službe</w:t>
      </w:r>
      <w:r w:rsidRPr="00A94F5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Poduzetnici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 gradsk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prigradsk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znatno su poboljšali svoje poslovanje i u 2016. godini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iskazali neto dobit u visini od 21,6 milijuna kuna dok je u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prethodnoj </w:t>
      </w:r>
      <w:r w:rsidRPr="00966DEB">
        <w:rPr>
          <w:rFonts w:ascii="Arial" w:eastAsia="Calibri" w:hAnsi="Arial" w:cs="Arial"/>
          <w:color w:val="17365D" w:themeColor="text2" w:themeShade="BF"/>
          <w:sz w:val="20"/>
          <w:szCs w:val="20"/>
        </w:rPr>
        <w:t>godini iskazan neto gubitak od 39,4 milijuna kuna.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Na ovaj rezultat najviše je utjecao poduzetnik </w:t>
      </w:r>
      <w:hyperlink r:id="rId12" w:history="1">
        <w:r w:rsidRPr="003070FA">
          <w:rPr>
            <w:rStyle w:val="Hyperlink"/>
            <w:rFonts w:ascii="Arial" w:eastAsia="Calibri" w:hAnsi="Arial" w:cs="Arial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PROMET d.o.o.</w:t>
        </w:r>
      </w:hyperlink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koji je u 2016. godini iskazao dobit razdoblja od 11,2 milijuna kuna (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udio od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46,9 %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49.31), dok je u 2015. godini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iskazao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gubitak razdoblja od 36,7 milijuna kuna.</w:t>
      </w:r>
    </w:p>
    <w:p w:rsidR="007841EF" w:rsidRPr="00152430" w:rsidRDefault="007841EF" w:rsidP="00DC5CFA">
      <w:pPr>
        <w:pageBreakBefore/>
        <w:spacing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lastRenderedPageBreak/>
        <w:t xml:space="preserve">Poduzetnici čija je djelatnost gradski i prigradski kopneni prijevoz putnika (NKD 49.31) obračunali su najvišu prosječnu mjesečnu neto plaću u promatranoj godini, u iznosu od </w:t>
      </w:r>
      <w:r w:rsidR="00152430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6.070</w:t>
      </w:r>
      <w:r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kuna, što je za </w:t>
      </w:r>
      <w:r w:rsidR="00152430"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34,3</w:t>
      </w:r>
      <w:r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</w:t>
      </w:r>
      <w:r w:rsidRPr="00152430">
        <w:rPr>
          <w:rFonts w:ascii="Calibri" w:eastAsia="Calibri" w:hAnsi="Calibri" w:cs="Times New Roman"/>
          <w:color w:val="17365D" w:themeColor="text2" w:themeShade="BF"/>
        </w:rPr>
        <w:t xml:space="preserve"> </w:t>
      </w:r>
      <w:r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više u odnosu na iznos plaće </w:t>
      </w:r>
      <w:r w:rsidR="00DC5CF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zaposlenih kod poduzetnika </w:t>
      </w:r>
      <w:r w:rsidRPr="00152430">
        <w:rPr>
          <w:rFonts w:ascii="Arial" w:eastAsia="Calibri" w:hAnsi="Arial" w:cs="Arial"/>
          <w:color w:val="17365D" w:themeColor="text2" w:themeShade="BF"/>
          <w:sz w:val="20"/>
          <w:szCs w:val="20"/>
        </w:rPr>
        <w:t>u skupini djelatnosti ostalog kopnenog prijevoza putnika (NKD 49.3).</w:t>
      </w:r>
    </w:p>
    <w:p w:rsidR="00EA0254" w:rsidRPr="002676A1" w:rsidRDefault="00EA0254" w:rsidP="007841EF">
      <w:pPr>
        <w:widowControl w:val="0"/>
        <w:tabs>
          <w:tab w:val="left" w:pos="601"/>
        </w:tabs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42404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 čija je pretežita djelatnost taksi služba, </w:t>
      </w:r>
      <w:r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ukupno </w:t>
      </w:r>
      <w:r w:rsidR="00B37EC9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592DB2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260</w:t>
      </w:r>
      <w:r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sa </w:t>
      </w:r>
      <w:r w:rsidR="00592DB2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886</w:t>
      </w:r>
      <w:r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 kojima je obračunana prosječna mjesečna neto plaća u iznosu od 2.</w:t>
      </w:r>
      <w:r w:rsidR="00592DB2"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454</w:t>
      </w:r>
      <w:r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B30C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592DB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E97781" w:rsidRPr="00A40318" w:rsidRDefault="00E97781" w:rsidP="00266313">
      <w:pPr>
        <w:widowControl w:val="0"/>
        <w:tabs>
          <w:tab w:val="left" w:pos="1134"/>
        </w:tabs>
        <w:spacing w:before="24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Grafikon 1.</w:t>
      </w:r>
      <w:r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>Udio pojedinih odjeljaka djelatnosti (NKD 49, NKD 50, NKD 51, NKD 52, NKD 53) u ukupnim prihodima djelatnosti H –</w:t>
      </w:r>
      <w:r w:rsidR="00A40318"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Prijevoz i skladištenje, u 2016</w:t>
      </w:r>
      <w:r w:rsidRPr="00A40318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 godini</w:t>
      </w:r>
    </w:p>
    <w:p w:rsidR="00E97781" w:rsidRPr="00424047" w:rsidRDefault="00E97781" w:rsidP="00E97781">
      <w:pPr>
        <w:tabs>
          <w:tab w:val="left" w:pos="1134"/>
        </w:tabs>
        <w:spacing w:after="0"/>
        <w:ind w:left="1134" w:hanging="1134"/>
        <w:rPr>
          <w:rFonts w:ascii="Arial" w:eastAsia="Calibri" w:hAnsi="Arial" w:cs="Arial"/>
          <w:color w:val="17365D" w:themeColor="text2" w:themeShade="BF"/>
          <w:sz w:val="6"/>
          <w:szCs w:val="19"/>
        </w:rPr>
      </w:pPr>
    </w:p>
    <w:p w:rsidR="007A4649" w:rsidRPr="001848D0" w:rsidRDefault="00A40318" w:rsidP="007A4649">
      <w:pPr>
        <w:spacing w:after="20" w:line="240" w:lineRule="auto"/>
        <w:jc w:val="center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F497D" w:themeColor="text2"/>
          <w:sz w:val="16"/>
          <w:szCs w:val="16"/>
          <w:lang w:eastAsia="hr-HR"/>
        </w:rPr>
        <w:drawing>
          <wp:inline distT="0" distB="0" distL="0" distR="0" wp14:anchorId="0FFD00FA">
            <wp:extent cx="4343400" cy="2086178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007" cy="2093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781" w:rsidRPr="001848D0" w:rsidRDefault="00E97781" w:rsidP="007A4649">
      <w:pPr>
        <w:spacing w:after="0" w:line="240" w:lineRule="auto"/>
        <w:jc w:val="center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1848D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1848D0" w:rsidRPr="001848D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izvještaja, obrada GFI-a za 2016</w:t>
      </w:r>
      <w:r w:rsidRPr="001848D0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 godinu</w:t>
      </w:r>
    </w:p>
    <w:p w:rsidR="00E97781" w:rsidRPr="007350D5" w:rsidRDefault="00E97781" w:rsidP="00EA0254">
      <w:pPr>
        <w:spacing w:before="240" w:after="0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Ako </w:t>
      </w:r>
      <w:r w:rsidR="00B30C9F">
        <w:rPr>
          <w:rFonts w:ascii="Arial" w:eastAsia="Calibri" w:hAnsi="Arial" w:cs="Arial"/>
          <w:color w:val="17365D" w:themeColor="text2" w:themeShade="BF"/>
          <w:sz w:val="20"/>
          <w:szCs w:val="20"/>
        </w:rPr>
        <w:t>pet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 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koji su ostvarili 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>najveć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ukup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 prihod u skupini djelatnosti 49.3 </w:t>
      </w:r>
      <w:r w:rsidR="004E5C91"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- Ostali kopneni prijevoz putnika, usporedimo 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prema 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novostvorenoj vrijednosti</w:t>
      </w:r>
      <w:r w:rsidR="004E5C91"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D5515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možemo vidjeti da je </w:t>
      </w:r>
      <w:hyperlink r:id="rId14" w:history="1">
        <w:r w:rsidRPr="00A458FF">
          <w:rPr>
            <w:rStyle w:val="Hyperlink"/>
            <w:rFonts w:ascii="Arial" w:hAnsi="Arial" w:cs="Arial"/>
            <w:sz w:val="20"/>
            <w:szCs w:val="20"/>
          </w:rPr>
          <w:t>AUTOTRANS d.o.o.</w:t>
        </w:r>
      </w:hyperlink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prvi sa </w:t>
      </w:r>
      <w:r w:rsid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126,8</w:t>
      </w:r>
      <w:r w:rsidRPr="000A04B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7350D5">
        <w:rPr>
          <w:rFonts w:ascii="Arial" w:eastAsia="Calibri" w:hAnsi="Arial" w:cs="Arial"/>
          <w:color w:val="17365D" w:themeColor="text2" w:themeShade="BF"/>
          <w:sz w:val="20"/>
          <w:szCs w:val="20"/>
        </w:rPr>
        <w:t>milijuna kuna dok su ukupno svi poduzetnici u prosjeku iskazali novostvorenu vrijednost u iznosu od 1,6 milijuna kuna.</w:t>
      </w:r>
    </w:p>
    <w:p w:rsidR="00E97781" w:rsidRPr="00D55155" w:rsidRDefault="00E97781" w:rsidP="00EA63A4">
      <w:pPr>
        <w:widowControl w:val="0"/>
        <w:spacing w:before="120" w:after="6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Grafikon 2. 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 xml:space="preserve">Usporedba 5 poduzetnika s najvećim ostvarenim prihodima u skupini djelatnosti NKD 49.3 - Ostali </w:t>
      </w:r>
      <w:r w:rsidR="00D55155"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kopneni prijevoz putnika, u 2016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. godini </w:t>
      </w:r>
      <w:r w:rsidRPr="00D55155">
        <w:rPr>
          <w:rFonts w:ascii="Arial" w:eastAsia="Calibri" w:hAnsi="Arial" w:cs="Arial"/>
          <w:b/>
          <w:color w:val="17365D" w:themeColor="text2" w:themeShade="BF"/>
          <w:sz w:val="18"/>
          <w:szCs w:val="18"/>
          <w:u w:val="single"/>
          <w:shd w:val="clear" w:color="auto" w:fill="FFFFFF"/>
        </w:rPr>
        <w:t>prema novostvorenoj vrijednosti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260"/>
      </w:tblGrid>
      <w:tr w:rsidR="000A04B7" w:rsidRPr="000A04B7" w:rsidTr="00015175">
        <w:trPr>
          <w:trHeight w:val="621"/>
        </w:trPr>
        <w:tc>
          <w:tcPr>
            <w:tcW w:w="6521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B2638D" w:rsidP="00E97781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B9B335F" wp14:editId="4685E2FA">
                  <wp:extent cx="4052620" cy="2377440"/>
                  <wp:effectExtent l="0" t="0" r="508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674" cy="238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8216C6" w:rsidRDefault="00E97781" w:rsidP="00E97781">
            <w:pPr>
              <w:spacing w:after="0" w:line="240" w:lineRule="auto"/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B6224D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A </w:t>
            </w:r>
            <w:hyperlink r:id="rId16" w:history="1">
              <w:r w:rsidRPr="000C641F">
                <w:rPr>
                  <w:rStyle w:val="Hyperlink"/>
                  <w:rFonts w:ascii="Arial" w:hAnsi="Arial" w:cs="Arial"/>
                  <w:sz w:val="18"/>
                  <w:szCs w:val="18"/>
                </w:rPr>
                <w:t>AUTOTRANS d.o.o.</w:t>
              </w:r>
            </w:hyperlink>
          </w:p>
          <w:p w:rsidR="00E97781" w:rsidRPr="008216C6" w:rsidRDefault="00E97781" w:rsidP="00E97781">
            <w:pPr>
              <w:spacing w:after="0" w:line="240" w:lineRule="auto"/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B6224D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8216C6" w:rsidRPr="008216C6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74.833.600</w:t>
            </w:r>
            <w:r w:rsid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 kuna</w:t>
            </w:r>
          </w:p>
        </w:tc>
      </w:tr>
      <w:tr w:rsidR="000A04B7" w:rsidRPr="000A04B7" w:rsidTr="00015175">
        <w:trPr>
          <w:trHeight w:val="621"/>
        </w:trPr>
        <w:tc>
          <w:tcPr>
            <w:tcW w:w="6521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7B2791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B2791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>B</w:t>
            </w:r>
            <w:r w:rsidRP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 </w:t>
            </w:r>
            <w:hyperlink r:id="rId17" w:history="1">
              <w:r w:rsidRPr="000C641F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ČAZMATRANS </w:t>
              </w:r>
              <w:r w:rsidR="00B6224D" w:rsidRPr="000C641F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PROMET </w:t>
              </w:r>
              <w:r w:rsidRPr="000C641F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  <w:p w:rsidR="00E97781" w:rsidRPr="007B2791" w:rsidRDefault="00E97781" w:rsidP="00B6224D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7B2791"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3.610.000 </w:t>
            </w:r>
            <w:r w:rsidRPr="007B2791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kuna</w:t>
            </w:r>
          </w:p>
        </w:tc>
      </w:tr>
      <w:tr w:rsidR="000A04B7" w:rsidRPr="000A04B7" w:rsidTr="00015175">
        <w:trPr>
          <w:trHeight w:val="621"/>
        </w:trPr>
        <w:tc>
          <w:tcPr>
            <w:tcW w:w="6521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833085" w:rsidRDefault="00E97781" w:rsidP="00B6224D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833085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C </w:t>
            </w:r>
            <w:hyperlink r:id="rId18" w:history="1">
              <w:r w:rsidR="00B6224D" w:rsidRPr="000C641F">
                <w:rPr>
                  <w:rStyle w:val="Hyperlink"/>
                </w:rPr>
                <w:t>PROMET</w:t>
              </w:r>
              <w:r w:rsidRPr="000C641F">
                <w:rPr>
                  <w:rStyle w:val="Hyperlink"/>
                </w:rPr>
                <w:t xml:space="preserve"> d.o.o.</w:t>
              </w:r>
            </w:hyperlink>
            <w:r w:rsidRPr="000C641F">
              <w:rPr>
                <w:rStyle w:val="Hyperlink"/>
              </w:rPr>
              <w:t xml:space="preserve"> </w:t>
            </w:r>
            <w:r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Temeljni kapital</w:t>
            </w:r>
            <w:r w:rsidRPr="000A04B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833085"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40.747.800 </w:t>
            </w:r>
            <w:r w:rsidRPr="0083308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kuna</w:t>
            </w:r>
          </w:p>
        </w:tc>
      </w:tr>
      <w:tr w:rsidR="000A04B7" w:rsidRPr="005621CD" w:rsidTr="00015175">
        <w:trPr>
          <w:trHeight w:val="621"/>
        </w:trPr>
        <w:tc>
          <w:tcPr>
            <w:tcW w:w="6521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E20882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5621CD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D </w:t>
            </w:r>
            <w:hyperlink r:id="rId19" w:history="1">
              <w:r w:rsidR="00B6224D" w:rsidRPr="000C641F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ČAZMATRANS – NOVA </w:t>
              </w:r>
              <w:r w:rsidRPr="000C641F">
                <w:rPr>
                  <w:rStyle w:val="Hyperlink"/>
                  <w:rFonts w:ascii="Arial" w:hAnsi="Arial" w:cs="Arial"/>
                  <w:sz w:val="18"/>
                  <w:szCs w:val="18"/>
                </w:rPr>
                <w:t>d.o.o.</w:t>
              </w:r>
            </w:hyperlink>
          </w:p>
          <w:p w:rsidR="00E97781" w:rsidRPr="005621CD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24428C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5621CD" w:rsidRPr="005621CD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13.254.500 </w:t>
            </w:r>
            <w:r w:rsidRPr="005621CD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kuna</w:t>
            </w:r>
          </w:p>
        </w:tc>
      </w:tr>
      <w:tr w:rsidR="000A04B7" w:rsidRPr="000A04B7" w:rsidTr="00015175">
        <w:trPr>
          <w:trHeight w:val="621"/>
        </w:trPr>
        <w:tc>
          <w:tcPr>
            <w:tcW w:w="6521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7350D5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350D5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E </w:t>
            </w:r>
            <w:hyperlink r:id="rId20" w:history="1">
              <w:r w:rsidRPr="000C641F">
                <w:rPr>
                  <w:rStyle w:val="Hyperlink"/>
                </w:rPr>
                <w:t>KD AUTOTROLEJ d.o.o.</w:t>
              </w:r>
            </w:hyperlink>
          </w:p>
          <w:p w:rsidR="00E97781" w:rsidRPr="007350D5" w:rsidRDefault="00E97781" w:rsidP="00E97781">
            <w:pPr>
              <w:spacing w:after="0" w:line="240" w:lineRule="auto"/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7350D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Temeljni kapital </w:t>
            </w:r>
            <w:r w:rsidR="007350D5" w:rsidRPr="007350D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 xml:space="preserve">13.301.800 </w:t>
            </w:r>
            <w:r w:rsidRPr="007350D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kuna</w:t>
            </w:r>
            <w:r w:rsidRPr="007350D5">
              <w:rPr>
                <w:rFonts w:ascii="Arial" w:eastAsia="Calibri" w:hAnsi="Arial" w:cs="Arial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0A04B7" w:rsidRPr="000A04B7" w:rsidTr="00015175">
        <w:trPr>
          <w:trHeight w:val="621"/>
        </w:trPr>
        <w:tc>
          <w:tcPr>
            <w:tcW w:w="6521" w:type="dxa"/>
            <w:vMerge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:rsidR="00E97781" w:rsidRPr="000A04B7" w:rsidRDefault="00E97781" w:rsidP="00E97781">
            <w:pPr>
              <w:spacing w:after="0" w:line="240" w:lineRule="auto"/>
              <w:rPr>
                <w:rFonts w:ascii="Calibri" w:eastAsia="Calibri" w:hAnsi="Calibri" w:cs="Times New Roman"/>
                <w:noProof/>
                <w:color w:val="FF0000"/>
                <w:lang w:eastAsia="hr-HR"/>
              </w:rPr>
            </w:pPr>
          </w:p>
        </w:tc>
        <w:tc>
          <w:tcPr>
            <w:tcW w:w="32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97781" w:rsidRPr="007350D5" w:rsidRDefault="00E97781" w:rsidP="00E97781">
            <w:pPr>
              <w:spacing w:after="0" w:line="240" w:lineRule="auto"/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</w:pPr>
            <w:r w:rsidRPr="007350D5">
              <w:rPr>
                <w:rFonts w:ascii="Arial" w:eastAsia="Calibri" w:hAnsi="Arial" w:cs="Arial"/>
                <w:color w:val="17365D" w:themeColor="text2" w:themeShade="BF"/>
                <w:sz w:val="18"/>
                <w:szCs w:val="18"/>
              </w:rPr>
              <w:t>*Prosjek/ novostvorena vrijednost poduzetnika na razini RH</w:t>
            </w:r>
          </w:p>
        </w:tc>
      </w:tr>
    </w:tbl>
    <w:p w:rsidR="00E97781" w:rsidRPr="00424047" w:rsidRDefault="00E97781" w:rsidP="00E97781">
      <w:pPr>
        <w:spacing w:before="40" w:after="0" w:line="240" w:lineRule="auto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424047">
        <w:rPr>
          <w:rFonts w:ascii="Arial" w:eastAsia="Calibri" w:hAnsi="Arial" w:cs="Arial"/>
          <w:i/>
          <w:color w:val="17365D" w:themeColor="text2" w:themeShade="BF"/>
          <w:sz w:val="16"/>
          <w:szCs w:val="16"/>
        </w:rPr>
        <w:t xml:space="preserve">Izvor: Fina, web servis – </w:t>
      </w:r>
      <w:hyperlink r:id="rId21" w:history="1">
        <w:r w:rsidRPr="00424047">
          <w:rPr>
            <w:rFonts w:ascii="Arial" w:eastAsia="Calibri" w:hAnsi="Arial" w:cs="Arial"/>
            <w:i/>
            <w:color w:val="17365D" w:themeColor="text2" w:themeShade="BF"/>
            <w:sz w:val="16"/>
            <w:szCs w:val="16"/>
            <w:u w:val="single"/>
          </w:rPr>
          <w:t>info.BIZ</w:t>
        </w:r>
      </w:hyperlink>
    </w:p>
    <w:p w:rsidR="00E97781" w:rsidRPr="000A04B7" w:rsidRDefault="00E97781" w:rsidP="00E9778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FF0000"/>
          <w:sz w:val="2"/>
          <w:szCs w:val="16"/>
          <w:lang w:eastAsia="hr-HR"/>
        </w:rPr>
      </w:pPr>
    </w:p>
    <w:p w:rsidR="00B30C9F" w:rsidRPr="00B30C9F" w:rsidRDefault="00B30C9F" w:rsidP="00B30C9F">
      <w:pPr>
        <w:spacing w:before="240" w:after="0" w:line="240" w:lineRule="auto"/>
        <w:jc w:val="both"/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</w:pP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2" w:history="1">
        <w:r w:rsidRPr="00B30C9F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</w:t>
        </w:r>
        <w:r w:rsidRPr="00B30C9F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d</w:t>
        </w:r>
        <w:r w:rsidRPr="00B30C9F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nim analizama</w:t>
        </w:r>
      </w:hyperlink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</w:t>
      </w:r>
      <w:r w:rsidRPr="00B30C9F">
        <w:rPr>
          <w:rFonts w:ascii="Arial" w:eastAsia="Times New Roman" w:hAnsi="Arial" w:cs="Arial"/>
          <w:i/>
          <w:color w:val="17365D"/>
          <w:sz w:val="18"/>
          <w:szCs w:val="18"/>
          <w:u w:val="single"/>
          <w:lang w:eastAsia="hr-HR"/>
        </w:rPr>
        <w:t>po gradovima i općinama</w:t>
      </w: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u 2016. godini. </w:t>
      </w:r>
    </w:p>
    <w:p w:rsidR="00B30C9F" w:rsidRPr="00B30C9F" w:rsidRDefault="00B30C9F" w:rsidP="00B30C9F">
      <w:pPr>
        <w:spacing w:before="60" w:after="0" w:line="240" w:lineRule="auto"/>
        <w:jc w:val="both"/>
        <w:rPr>
          <w:rFonts w:ascii="Arial" w:eastAsia="Calibri" w:hAnsi="Arial" w:cs="Arial"/>
          <w:i/>
          <w:color w:val="0F243E"/>
          <w:sz w:val="18"/>
          <w:szCs w:val="18"/>
        </w:rPr>
      </w:pPr>
      <w:r w:rsidRPr="00B30C9F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B30C9F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3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 xml:space="preserve"> 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javna objava</w:t>
        </w:r>
      </w:hyperlink>
      <w:r w:rsidRPr="00B30C9F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B30C9F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B30C9F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4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s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parentno.hr</w:t>
        </w:r>
      </w:hyperlink>
      <w:r w:rsidRPr="00B30C9F"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  <w:t xml:space="preserve"> </w:t>
      </w:r>
      <w:r w:rsidRPr="00B30C9F">
        <w:rPr>
          <w:rFonts w:ascii="Arial" w:eastAsia="Calibri" w:hAnsi="Arial" w:cs="Arial"/>
          <w:i/>
          <w:color w:val="1A3D68"/>
          <w:sz w:val="18"/>
          <w:szCs w:val="18"/>
        </w:rPr>
        <w:t xml:space="preserve">a uz naknadu na </w:t>
      </w:r>
      <w:hyperlink r:id="rId25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 xml:space="preserve">info.BIZ 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s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ervisu</w:t>
        </w:r>
      </w:hyperlink>
      <w:r w:rsidRPr="00B30C9F">
        <w:rPr>
          <w:rFonts w:ascii="Arial" w:eastAsia="Calibri" w:hAnsi="Arial" w:cs="Arial"/>
          <w:i/>
          <w:color w:val="0F243E"/>
          <w:sz w:val="18"/>
          <w:szCs w:val="18"/>
        </w:rPr>
        <w:t xml:space="preserve">, na </w:t>
      </w:r>
      <w:hyperlink r:id="rId26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ser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v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isu RGFI</w:t>
        </w:r>
      </w:hyperlink>
      <w:r w:rsidRPr="00B30C9F">
        <w:rPr>
          <w:rFonts w:ascii="Arial" w:eastAsia="Calibri" w:hAnsi="Arial" w:cs="Arial"/>
          <w:i/>
          <w:color w:val="0F243E"/>
          <w:sz w:val="18"/>
          <w:szCs w:val="18"/>
        </w:rPr>
        <w:t xml:space="preserve">, </w:t>
      </w:r>
      <w:r w:rsidRPr="00B30C9F">
        <w:rPr>
          <w:rFonts w:ascii="Arial" w:eastAsia="Calibri" w:hAnsi="Arial" w:cs="Arial"/>
          <w:i/>
          <w:color w:val="1A3D68"/>
          <w:sz w:val="18"/>
          <w:szCs w:val="18"/>
        </w:rPr>
        <w:t xml:space="preserve">u jedinicama </w:t>
      </w:r>
      <w:proofErr w:type="spellStart"/>
      <w:r w:rsidRPr="00B30C9F">
        <w:rPr>
          <w:rFonts w:ascii="Arial" w:eastAsia="Calibri" w:hAnsi="Arial" w:cs="Arial"/>
          <w:i/>
          <w:color w:val="1A3D68"/>
          <w:sz w:val="18"/>
          <w:szCs w:val="18"/>
        </w:rPr>
        <w:t>Finine</w:t>
      </w:r>
      <w:proofErr w:type="spellEnd"/>
      <w:r w:rsidRPr="00B30C9F">
        <w:rPr>
          <w:rFonts w:ascii="Arial" w:eastAsia="Calibri" w:hAnsi="Arial" w:cs="Arial"/>
          <w:i/>
          <w:color w:val="1A3D68"/>
          <w:sz w:val="18"/>
          <w:szCs w:val="18"/>
        </w:rPr>
        <w:t xml:space="preserve"> poslovne mreže i narudžbom putem e-pošte, na adresi </w:t>
      </w:r>
      <w:hyperlink r:id="rId27" w:history="1"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rgfi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@</w:t>
        </w:r>
        <w:r w:rsidRPr="00B30C9F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fina.hr</w:t>
        </w:r>
      </w:hyperlink>
    </w:p>
    <w:p w:rsidR="00B30C9F" w:rsidRPr="00B30C9F" w:rsidRDefault="00B30C9F" w:rsidP="00B30C9F">
      <w:pPr>
        <w:spacing w:before="60" w:after="60" w:line="240" w:lineRule="auto"/>
        <w:jc w:val="both"/>
        <w:rPr>
          <w:rFonts w:ascii="Arial" w:eastAsia="Calibri" w:hAnsi="Arial" w:cs="Arial"/>
          <w:bCs/>
          <w:color w:val="17365D"/>
          <w:sz w:val="16"/>
          <w:szCs w:val="16"/>
        </w:rPr>
      </w:pPr>
      <w:r w:rsidRPr="00B30C9F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28" w:history="1">
        <w:r w:rsidRPr="00B30C9F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FINA</w:t>
        </w:r>
        <w:r w:rsidRPr="00B30C9F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 xml:space="preserve"> </w:t>
        </w:r>
        <w:r w:rsidRPr="00B30C9F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InfoBlokade</w:t>
        </w:r>
      </w:hyperlink>
      <w:r w:rsidRPr="00B30C9F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poruku na broj 818058.</w:t>
      </w:r>
    </w:p>
    <w:sectPr w:rsidR="00B30C9F" w:rsidRPr="00B30C9F" w:rsidSect="007841EF">
      <w:headerReference w:type="default" r:id="rId29"/>
      <w:type w:val="continuous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04" w:rsidRDefault="001D7304" w:rsidP="00E97781">
      <w:pPr>
        <w:spacing w:after="0" w:line="240" w:lineRule="auto"/>
      </w:pPr>
      <w:r>
        <w:separator/>
      </w:r>
    </w:p>
  </w:endnote>
  <w:endnote w:type="continuationSeparator" w:id="0">
    <w:p w:rsidR="001D7304" w:rsidRDefault="001D7304" w:rsidP="00E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04" w:rsidRDefault="001D7304" w:rsidP="00E97781">
      <w:pPr>
        <w:spacing w:after="0" w:line="240" w:lineRule="auto"/>
      </w:pPr>
      <w:r>
        <w:separator/>
      </w:r>
    </w:p>
  </w:footnote>
  <w:footnote w:type="continuationSeparator" w:id="0">
    <w:p w:rsidR="001D7304" w:rsidRDefault="001D7304" w:rsidP="00E97781">
      <w:pPr>
        <w:spacing w:after="0" w:line="240" w:lineRule="auto"/>
      </w:pPr>
      <w:r>
        <w:continuationSeparator/>
      </w:r>
    </w:p>
  </w:footnote>
  <w:footnote w:id="1">
    <w:p w:rsidR="000C641F" w:rsidRPr="00DC5CFA" w:rsidRDefault="000C641F" w:rsidP="003A7998">
      <w:pPr>
        <w:pStyle w:val="FootnoteText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C5CFA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Ovaj razred djelatnosti uključuje kopneni prijevoz putnika gradskim i prigradskim prijevoznim sustavima kao što su autobusi, tramvaji, ulična vozila, trolejbusi, podzemna željeznica, nadzemna željeznica itd. Djelatnost prometa obično se realizira na redovitim linijama koje poštuju vozni red te preuzimaju i prevoze putnike na utvrđenim postajama.</w:t>
      </w:r>
    </w:p>
  </w:footnote>
  <w:footnote w:id="2">
    <w:p w:rsidR="000C641F" w:rsidRPr="00DC5CFA" w:rsidRDefault="000C641F" w:rsidP="00DC5CFA">
      <w:pPr>
        <w:pStyle w:val="FootnoteText"/>
        <w:spacing w:before="4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C5CFA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>Ostali kopneni prijevoz putnika uključuje redoviti autobusni prijevoz, dugolinijski, čarterske vožnje, izlete i druge povremene prijevozne usluge, prijevozna sredstva unutar aerodroma, prijevoz školskim autobusima i autobusima za prijevoz radnika na posao i sl.</w:t>
      </w:r>
    </w:p>
  </w:footnote>
  <w:footnote w:id="3">
    <w:p w:rsidR="000C641F" w:rsidRPr="00117B18" w:rsidRDefault="000C641F" w:rsidP="00DC5CFA">
      <w:pPr>
        <w:pStyle w:val="FootnoteText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117B18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>U rezultate ovog skupa poduzetnika nisu uključeni rezultati ZAGREBAČKOG ELEKTRIČNOG TRAMVAJA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(ZET)</w:t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>, jer je temeljem Ugovora o pripajanju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>od 9.6.2006. g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>.</w:t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 xml:space="preserve"> pripojeno trgovačkom društvu GRADSKO KOMUNALNO GOSPODARSTVO d.o.o. (MBS 080042653),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>kojem su pripojena i druga društva koja danas posluju u sastavu ZAGREBAČKOG HOLDINGA d.o.o.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 Za usporedbu, 2005. 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>g.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, kada je sadašnja Podružnica </w:t>
      </w:r>
      <w:r w:rsidRPr="00117B18">
        <w:rPr>
          <w:rFonts w:ascii="Arial" w:hAnsi="Arial" w:cs="Arial"/>
          <w:color w:val="244061" w:themeColor="accent1" w:themeShade="80"/>
          <w:sz w:val="16"/>
          <w:szCs w:val="16"/>
        </w:rPr>
        <w:t>Z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>ET-a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 poslovala kao d</w:t>
      </w:r>
      <w:r w:rsidR="00DC5CFA">
        <w:rPr>
          <w:rFonts w:ascii="Arial" w:hAnsi="Arial" w:cs="Arial"/>
          <w:color w:val="244061" w:themeColor="accent1" w:themeShade="80"/>
          <w:sz w:val="16"/>
          <w:szCs w:val="16"/>
        </w:rPr>
        <w:t>.o.o.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 (MBS </w:t>
      </w:r>
      <w:r w:rsidRPr="002E20EE">
        <w:rPr>
          <w:rFonts w:ascii="Arial" w:hAnsi="Arial" w:cs="Arial"/>
          <w:color w:val="244061" w:themeColor="accent1" w:themeShade="80"/>
          <w:sz w:val="16"/>
          <w:szCs w:val="16"/>
        </w:rPr>
        <w:t>080064219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), ostvarilo je prihod u iznosu od 913,6 milijuna 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1F" w:rsidRDefault="000C641F" w:rsidP="00DC5CFA">
    <w:pPr>
      <w:pStyle w:val="Header"/>
      <w:spacing w:after="120" w:line="240" w:lineRule="auto"/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2532BA8D" wp14:editId="262B7A42">
          <wp:simplePos x="0" y="0"/>
          <wp:positionH relativeFrom="column">
            <wp:posOffset>-14605</wp:posOffset>
          </wp:positionH>
          <wp:positionV relativeFrom="paragraph">
            <wp:posOffset>-70485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23CDC"/>
    <w:multiLevelType w:val="hybridMultilevel"/>
    <w:tmpl w:val="F07C5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81"/>
    <w:rsid w:val="00006126"/>
    <w:rsid w:val="00015175"/>
    <w:rsid w:val="00041298"/>
    <w:rsid w:val="0006230B"/>
    <w:rsid w:val="00080F26"/>
    <w:rsid w:val="000A04B7"/>
    <w:rsid w:val="000C641F"/>
    <w:rsid w:val="00107DFA"/>
    <w:rsid w:val="00117B18"/>
    <w:rsid w:val="00123919"/>
    <w:rsid w:val="0013251B"/>
    <w:rsid w:val="00150396"/>
    <w:rsid w:val="00152430"/>
    <w:rsid w:val="00156AFE"/>
    <w:rsid w:val="001848D0"/>
    <w:rsid w:val="001D7304"/>
    <w:rsid w:val="001F56D1"/>
    <w:rsid w:val="00207396"/>
    <w:rsid w:val="00234CE2"/>
    <w:rsid w:val="0024428C"/>
    <w:rsid w:val="00265B93"/>
    <w:rsid w:val="00266313"/>
    <w:rsid w:val="002676A1"/>
    <w:rsid w:val="00277C98"/>
    <w:rsid w:val="002E20EE"/>
    <w:rsid w:val="003070FA"/>
    <w:rsid w:val="003078F3"/>
    <w:rsid w:val="00311D23"/>
    <w:rsid w:val="00314558"/>
    <w:rsid w:val="003A7998"/>
    <w:rsid w:val="003C00B4"/>
    <w:rsid w:val="003D54B4"/>
    <w:rsid w:val="004143E2"/>
    <w:rsid w:val="00424047"/>
    <w:rsid w:val="00440D15"/>
    <w:rsid w:val="0044557E"/>
    <w:rsid w:val="004563B1"/>
    <w:rsid w:val="004869A3"/>
    <w:rsid w:val="004C56E3"/>
    <w:rsid w:val="004E5C91"/>
    <w:rsid w:val="004F132D"/>
    <w:rsid w:val="00507849"/>
    <w:rsid w:val="005621CD"/>
    <w:rsid w:val="00585175"/>
    <w:rsid w:val="00592DB2"/>
    <w:rsid w:val="005A5CED"/>
    <w:rsid w:val="00620104"/>
    <w:rsid w:val="00640833"/>
    <w:rsid w:val="00693AEB"/>
    <w:rsid w:val="006E0BF1"/>
    <w:rsid w:val="006E17A5"/>
    <w:rsid w:val="007350D5"/>
    <w:rsid w:val="007841EF"/>
    <w:rsid w:val="00792201"/>
    <w:rsid w:val="007923F7"/>
    <w:rsid w:val="007A4649"/>
    <w:rsid w:val="007B2791"/>
    <w:rsid w:val="007C6860"/>
    <w:rsid w:val="008134A5"/>
    <w:rsid w:val="008216C6"/>
    <w:rsid w:val="00833085"/>
    <w:rsid w:val="00840772"/>
    <w:rsid w:val="0090616B"/>
    <w:rsid w:val="0096031B"/>
    <w:rsid w:val="00966DEB"/>
    <w:rsid w:val="009724F1"/>
    <w:rsid w:val="009825AF"/>
    <w:rsid w:val="00984AB5"/>
    <w:rsid w:val="00991E6F"/>
    <w:rsid w:val="00A269D4"/>
    <w:rsid w:val="00A40318"/>
    <w:rsid w:val="00A458FF"/>
    <w:rsid w:val="00A63058"/>
    <w:rsid w:val="00A94F5B"/>
    <w:rsid w:val="00AE351A"/>
    <w:rsid w:val="00B2638D"/>
    <w:rsid w:val="00B30C9F"/>
    <w:rsid w:val="00B37EC9"/>
    <w:rsid w:val="00B41F76"/>
    <w:rsid w:val="00B55C65"/>
    <w:rsid w:val="00B6224D"/>
    <w:rsid w:val="00B7663D"/>
    <w:rsid w:val="00BA7D81"/>
    <w:rsid w:val="00BD5E37"/>
    <w:rsid w:val="00C51229"/>
    <w:rsid w:val="00C72D96"/>
    <w:rsid w:val="00C73187"/>
    <w:rsid w:val="00C733B9"/>
    <w:rsid w:val="00C851D5"/>
    <w:rsid w:val="00CB35D2"/>
    <w:rsid w:val="00CD10C6"/>
    <w:rsid w:val="00CD1AAF"/>
    <w:rsid w:val="00CE3B07"/>
    <w:rsid w:val="00D26A64"/>
    <w:rsid w:val="00D55155"/>
    <w:rsid w:val="00D63360"/>
    <w:rsid w:val="00D809C6"/>
    <w:rsid w:val="00D925A9"/>
    <w:rsid w:val="00DA5500"/>
    <w:rsid w:val="00DB5805"/>
    <w:rsid w:val="00DC5CFA"/>
    <w:rsid w:val="00DD4AEE"/>
    <w:rsid w:val="00E20882"/>
    <w:rsid w:val="00E62767"/>
    <w:rsid w:val="00E8651F"/>
    <w:rsid w:val="00E97781"/>
    <w:rsid w:val="00EA0254"/>
    <w:rsid w:val="00EA63A4"/>
    <w:rsid w:val="00EE3DE1"/>
    <w:rsid w:val="00F01CDD"/>
    <w:rsid w:val="00F02A19"/>
    <w:rsid w:val="00F401A2"/>
    <w:rsid w:val="00F61526"/>
    <w:rsid w:val="00F75724"/>
    <w:rsid w:val="00FA46E1"/>
    <w:rsid w:val="00FD77E1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7781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E9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81"/>
  </w:style>
  <w:style w:type="paragraph" w:styleId="ListParagraph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51B"/>
    <w:rPr>
      <w:sz w:val="20"/>
      <w:szCs w:val="20"/>
    </w:rPr>
  </w:style>
  <w:style w:type="character" w:customStyle="1" w:styleId="c41">
    <w:name w:val="c41"/>
    <w:basedOn w:val="DefaultParagraphFont"/>
    <w:rsid w:val="00311D23"/>
  </w:style>
  <w:style w:type="character" w:customStyle="1" w:styleId="c40">
    <w:name w:val="c40"/>
    <w:basedOn w:val="DefaultParagraphFont"/>
    <w:rsid w:val="00440D15"/>
  </w:style>
  <w:style w:type="character" w:customStyle="1" w:styleId="c35">
    <w:name w:val="c35"/>
    <w:basedOn w:val="DefaultParagraphFont"/>
    <w:rsid w:val="00B6224D"/>
  </w:style>
  <w:style w:type="character" w:customStyle="1" w:styleId="fmt-integer">
    <w:name w:val="fmt-integer"/>
    <w:basedOn w:val="DefaultParagraphFont"/>
    <w:rsid w:val="008216C6"/>
  </w:style>
  <w:style w:type="character" w:styleId="FollowedHyperlink">
    <w:name w:val="FollowedHyperlink"/>
    <w:basedOn w:val="DefaultParagraphFont"/>
    <w:uiPriority w:val="99"/>
    <w:semiHidden/>
    <w:unhideWhenUsed/>
    <w:rsid w:val="000C6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7781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E9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81"/>
  </w:style>
  <w:style w:type="paragraph" w:styleId="ListParagraph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51B"/>
    <w:rPr>
      <w:sz w:val="20"/>
      <w:szCs w:val="20"/>
    </w:rPr>
  </w:style>
  <w:style w:type="character" w:customStyle="1" w:styleId="c41">
    <w:name w:val="c41"/>
    <w:basedOn w:val="DefaultParagraphFont"/>
    <w:rsid w:val="00311D23"/>
  </w:style>
  <w:style w:type="character" w:customStyle="1" w:styleId="c40">
    <w:name w:val="c40"/>
    <w:basedOn w:val="DefaultParagraphFont"/>
    <w:rsid w:val="00440D15"/>
  </w:style>
  <w:style w:type="character" w:customStyle="1" w:styleId="c35">
    <w:name w:val="c35"/>
    <w:basedOn w:val="DefaultParagraphFont"/>
    <w:rsid w:val="00B6224D"/>
  </w:style>
  <w:style w:type="character" w:customStyle="1" w:styleId="fmt-integer">
    <w:name w:val="fmt-integer"/>
    <w:basedOn w:val="DefaultParagraphFont"/>
    <w:rsid w:val="008216C6"/>
  </w:style>
  <w:style w:type="character" w:styleId="FollowedHyperlink">
    <w:name w:val="FollowedHyperlink"/>
    <w:basedOn w:val="DefaultParagraphFont"/>
    <w:uiPriority w:val="99"/>
    <w:semiHidden/>
    <w:unhideWhenUsed/>
    <w:rsid w:val="000C6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www.transparentno.hr/pregled/13421314997/408979ce6b6ab636c079111241995a6217378bb57a464ad80ebc2e7e12586c36aca79a1c4d36100817ce40ece891db359c28cbfa84297e667443fedaf392fbe9" TargetMode="External"/><Relationship Id="rId26" Type="http://schemas.openxmlformats.org/officeDocument/2006/relationships/hyperlink" Target="http://rgfi.fina.hr/IzvjestajiRGFI.web/main/home.j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na.hr/Default.aspx?art=8958&amp;sec=127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13421314997/408979ce6b6ab636c079111241995a6217378bb57a464ad80ebc2e7e12586c36aca79a1c4d36100817ce40ece891db359c28cbfa84297e667443fedaf392fbe9" TargetMode="External"/><Relationship Id="rId17" Type="http://schemas.openxmlformats.org/officeDocument/2006/relationships/hyperlink" Target="https://www.transparentno.hr/pregled/96107776452/c9a9e7307880719ded32596b5413a14b885806a22ac06d9d361be94ade2997069bcd861f9fcb62470de1dbedaddffa3f63d97a76ba24f63a4bab06d4f8e70f6f" TargetMode="External"/><Relationship Id="rId25" Type="http://schemas.openxmlformats.org/officeDocument/2006/relationships/hyperlink" Target="https://servisi.fina.hr/IPaket-login.web/pSubjektTrazi.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19819724166/27039ebd9f22e138479458d6213a60d642ac3880a564854d253af9dd908e92e0825616088f20b26841c116e1a09da9d95f0d6abc814fd8fd94329310fc4a5011" TargetMode="External"/><Relationship Id="rId20" Type="http://schemas.openxmlformats.org/officeDocument/2006/relationships/hyperlink" Target="https://www.transparentno.hr/pregled/19081493664/ada2edcba8dfdcfdb0e7e287534ae4acfdf1c77e899198593c0b7b3f41c7a74775c5b2aa0415b8a7237ba653ecff13448798629bfdf6e7c2f3066205194eb006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31945928046/cb24578877239a8a25495191171a04f554b7899643defebc3e6e7a905989c4d729b102098c1b14021db959d3db98d5be60b97c8be7e0a75ddf3c86dd6cb85430" TargetMode="External"/><Relationship Id="rId24" Type="http://schemas.openxmlformats.org/officeDocument/2006/relationships/hyperlink" Target="https://www.transparentno.hr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://rgfi.fina.hr/JavnaObjava-web/jsp/prijavaKorisnika.jsp" TargetMode="External"/><Relationship Id="rId28" Type="http://schemas.openxmlformats.org/officeDocument/2006/relationships/hyperlink" Target="http://www.fina.hr/Default.aspx?sec=1538" TargetMode="External"/><Relationship Id="rId10" Type="http://schemas.openxmlformats.org/officeDocument/2006/relationships/hyperlink" Target="https://www.transparentno.hr/pregled/19819724166/27039ebd9f22e138479458d6213a60d642ac3880a564854d253af9dd908e92e0825616088f20b26841c116e1a09da9d95f0d6abc814fd8fd94329310fc4a5011" TargetMode="External"/><Relationship Id="rId19" Type="http://schemas.openxmlformats.org/officeDocument/2006/relationships/hyperlink" Target="https://www.transparentno.hr/pregled/04767584912/51f9e083c95b7a4ef459d4a2cf4a54ae7c78500531b0a9ecb4b91015f0172310d5c04ae710cc6ab3c10cb392f55d9136ad0643383bba2260bdd9ac279f523efb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15635426147/4e5bd4529be7f2b025750d294d2e6a011efd8c77038ec96eac9e46b809ccc940a8b9da7c895156c1627ec78a5e12526add30cbe9989d7798f1311867b8ab89ba" TargetMode="External"/><Relationship Id="rId14" Type="http://schemas.openxmlformats.org/officeDocument/2006/relationships/hyperlink" Target="https://www.transparentno.hr/pregled/19819724166/27039ebd9f22e138479458d6213a60d642ac3880a564854d253af9dd908e92e0825616088f20b26841c116e1a09da9d95f0d6abc814fd8fd94329310fc4a5011" TargetMode="External"/><Relationship Id="rId22" Type="http://schemas.openxmlformats.org/officeDocument/2006/relationships/hyperlink" Target="http://www.fina.hr/Default.aspx?sec=1279" TargetMode="External"/><Relationship Id="rId27" Type="http://schemas.openxmlformats.org/officeDocument/2006/relationships/hyperlink" Target="mailto:rgfi@fina.hr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73A5-D015-43BF-B893-B242D71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1807</Words>
  <Characters>10301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2017-09-21T14:44:00Z</dcterms:created>
  <dcterms:modified xsi:type="dcterms:W3CDTF">2017-09-21T14:44:00Z</dcterms:modified>
</cp:coreProperties>
</file>