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03B" w:rsidRPr="009C35F6" w:rsidRDefault="00FF003B" w:rsidP="009C35F6">
      <w:pPr>
        <w:spacing w:before="60" w:after="0"/>
        <w:jc w:val="both"/>
        <w:rPr>
          <w:rFonts w:ascii="Calibri" w:eastAsia="Calibri" w:hAnsi="Calibri" w:cs="Times New Roman"/>
          <w:i/>
          <w:color w:val="244061" w:themeColor="accent1" w:themeShade="80"/>
          <w:sz w:val="20"/>
          <w:szCs w:val="20"/>
        </w:rPr>
      </w:pPr>
      <w:r w:rsidRPr="009C35F6">
        <w:rPr>
          <w:rFonts w:ascii="Calibri" w:eastAsia="Calibri" w:hAnsi="Calibri" w:cs="Times New Roman"/>
          <w:i/>
          <w:color w:val="244061" w:themeColor="accent1" w:themeShade="80"/>
          <w:sz w:val="20"/>
          <w:szCs w:val="20"/>
        </w:rPr>
        <w:t xml:space="preserve">Zagreb, </w:t>
      </w:r>
      <w:r w:rsidR="00B34924">
        <w:rPr>
          <w:rFonts w:ascii="Calibri" w:eastAsia="Calibri" w:hAnsi="Calibri" w:cs="Times New Roman"/>
          <w:i/>
          <w:color w:val="244061" w:themeColor="accent1" w:themeShade="80"/>
          <w:sz w:val="20"/>
          <w:szCs w:val="20"/>
        </w:rPr>
        <w:t xml:space="preserve">10. </w:t>
      </w:r>
      <w:r w:rsidR="0023676B">
        <w:rPr>
          <w:rFonts w:ascii="Calibri" w:eastAsia="Calibri" w:hAnsi="Calibri" w:cs="Times New Roman"/>
          <w:i/>
          <w:color w:val="244061" w:themeColor="accent1" w:themeShade="80"/>
          <w:sz w:val="20"/>
          <w:szCs w:val="20"/>
        </w:rPr>
        <w:t>siječnja 2017.</w:t>
      </w:r>
    </w:p>
    <w:p w:rsidR="00FF003B" w:rsidRPr="009C35F6" w:rsidRDefault="00FF003B" w:rsidP="00FF003B">
      <w:pPr>
        <w:spacing w:before="120" w:after="0" w:line="288" w:lineRule="auto"/>
        <w:jc w:val="both"/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>Uvod</w:t>
      </w:r>
    </w:p>
    <w:p w:rsidR="00FF003B" w:rsidRPr="009C35F6" w:rsidRDefault="00FF003B" w:rsidP="00B567C8">
      <w:pPr>
        <w:spacing w:before="60" w:after="0"/>
        <w:jc w:val="both"/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Upisnik sudskih i javnobilježničkih osiguranja tražbina vjerovnika (</w:t>
      </w:r>
      <w:r w:rsidR="008F1FC3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skraćeno: 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Upisnik založnih prava</w:t>
      </w:r>
      <w:r w:rsidR="008F1FC3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, dalje u tekstu: Upisnik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) jedinstvena je baza podataka o upisanim opterećenjima, pravima ili zabranama na pokretninama, dionicama, udjelima i poslovnim udjelima.</w:t>
      </w:r>
      <w:r w:rsidR="008F1FC3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Upisnik je ustrojen 2006. godine na temelju Zakona o upisniku sudskih i javnobilježničkih osiguranja tražbina vjerovnika na pokretnim stvarima i pravima (NN 121/05) i vodi ga Financijska agencija.</w:t>
      </w:r>
    </w:p>
    <w:p w:rsidR="008F1FC3" w:rsidRPr="009C35F6" w:rsidRDefault="008F1FC3" w:rsidP="00F45C24">
      <w:pPr>
        <w:spacing w:before="60" w:after="0"/>
        <w:jc w:val="both"/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Sudska i javnobilježnička založna prava na temelju sporazuma stranaka i prijenosi prava vlasništva i drugih prava, dionica, udjela i poslovnih udjela obavljeni radi osiguranja, stječu se odnosno prenose upisom u Upisnik. Predmeti i prava na kojima se stječe neko pravo osiguranjem ili ovrhom, a koja se upisuju u Upisnik su sljedeća: pokretne stvari i prava, dionice, udjeli i poslovni udjeli u trgovačkom društvu koji se ne upisuju u drugu javnu knjigu, vozila u javnoj evidenciji Ministarstva unutarnjih poslova, patenti, upisani u Registar za patente Državnog zavoda za intelektualno vlasništvo. To su najčešće automobili, strojevi, računala, umjetnička djela, namještaj, poljoprivredni strojevi, poljoprivredno stado, poljoprivredni urod, ukupnost stvari (npr. roba u skladištu), patenti, dionice koje nisu upisane na računima u </w:t>
      </w:r>
      <w:r w:rsidR="00A760A6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Središnjem klirinško depozitarnom društvu d.d.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i poslovni udjeli u trgovačkim društvima.</w:t>
      </w:r>
    </w:p>
    <w:p w:rsidR="008F1FC3" w:rsidRPr="009C35F6" w:rsidRDefault="002E7775" w:rsidP="00F45C24">
      <w:pPr>
        <w:spacing w:before="120" w:after="0"/>
        <w:jc w:val="both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r w:rsidRPr="009C35F6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Informacija o broju upisanih pokretnina i prava u Upisniku</w:t>
      </w:r>
    </w:p>
    <w:p w:rsidR="00E14164" w:rsidRPr="00E14164" w:rsidRDefault="00E14164" w:rsidP="00F45C24">
      <w:pPr>
        <w:tabs>
          <w:tab w:val="left" w:pos="1701"/>
          <w:tab w:val="left" w:pos="1985"/>
        </w:tabs>
        <w:spacing w:before="120" w:after="0" w:line="240" w:lineRule="atLeast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U Upisnik sudskih i javnobilježničkih osiguranja</w:t>
      </w:r>
      <w:r w:rsidR="00DA56D8">
        <w:rPr>
          <w:rFonts w:ascii="Arial" w:hAnsi="Arial" w:cs="Arial"/>
          <w:color w:val="244061" w:themeColor="accent1" w:themeShade="80"/>
          <w:sz w:val="20"/>
          <w:szCs w:val="20"/>
        </w:rPr>
        <w:t xml:space="preserve"> tražbina vjerovnika (skraćeno: 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Upisnik), upisan je veliki broj prava i mjera na pokretnim stvarima i pravima. Od početka rada Upisnika 2006. godine do </w:t>
      </w:r>
      <w:r w:rsidR="007C1E0D">
        <w:rPr>
          <w:rFonts w:ascii="Arial" w:hAnsi="Arial" w:cs="Arial"/>
          <w:color w:val="244061" w:themeColor="accent1" w:themeShade="80"/>
          <w:sz w:val="20"/>
          <w:szCs w:val="20"/>
        </w:rPr>
        <w:t>31. prosinca</w:t>
      </w:r>
      <w:r w:rsidR="00ED6FC1">
        <w:rPr>
          <w:rFonts w:ascii="Arial" w:hAnsi="Arial" w:cs="Arial"/>
          <w:color w:val="244061" w:themeColor="accent1" w:themeShade="80"/>
          <w:sz w:val="20"/>
          <w:szCs w:val="20"/>
        </w:rPr>
        <w:t xml:space="preserve"> 2016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. godine, broj provedenih upisa koje je provela Fina</w:t>
      </w:r>
      <w:r w:rsidR="003C6343">
        <w:rPr>
          <w:rFonts w:ascii="Arial" w:hAnsi="Arial" w:cs="Arial"/>
          <w:color w:val="244061" w:themeColor="accent1" w:themeShade="80"/>
          <w:sz w:val="20"/>
          <w:szCs w:val="20"/>
        </w:rPr>
        <w:t xml:space="preserve">ncijska agencija dosegnuo je </w:t>
      </w:r>
      <w:r w:rsidR="007C1E0D">
        <w:rPr>
          <w:rFonts w:ascii="Arial" w:hAnsi="Arial" w:cs="Arial"/>
          <w:color w:val="244061" w:themeColor="accent1" w:themeShade="80"/>
          <w:sz w:val="20"/>
          <w:szCs w:val="20"/>
        </w:rPr>
        <w:t>695.337</w:t>
      </w:r>
      <w:r w:rsidR="003C6343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upisanih pokretnina i prava. Najveći broj odnosi se na ostale pokretnine i prava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7C1E0D">
        <w:rPr>
          <w:rFonts w:ascii="Arial" w:hAnsi="Arial" w:cs="Arial"/>
          <w:color w:val="244061" w:themeColor="accent1" w:themeShade="80"/>
          <w:sz w:val="20"/>
          <w:szCs w:val="20"/>
        </w:rPr>
        <w:t>304.415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, a iza toga prema broju upisa slijede vozila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7C1E0D">
        <w:rPr>
          <w:rFonts w:ascii="Arial" w:hAnsi="Arial" w:cs="Arial"/>
          <w:color w:val="244061" w:themeColor="accent1" w:themeShade="80"/>
          <w:sz w:val="20"/>
          <w:szCs w:val="20"/>
        </w:rPr>
        <w:t>175.028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, računala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97.</w:t>
      </w:r>
      <w:r w:rsidR="007C1E0D">
        <w:rPr>
          <w:rFonts w:ascii="Arial" w:hAnsi="Arial" w:cs="Arial"/>
          <w:color w:val="244061" w:themeColor="accent1" w:themeShade="80"/>
          <w:sz w:val="20"/>
          <w:szCs w:val="20"/>
        </w:rPr>
        <w:t>900</w:t>
      </w:r>
      <w:r w:rsidR="00EA70A7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, strojevi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7C1E0D">
        <w:rPr>
          <w:rFonts w:ascii="Arial" w:hAnsi="Arial" w:cs="Arial"/>
          <w:color w:val="244061" w:themeColor="accent1" w:themeShade="80"/>
          <w:sz w:val="20"/>
          <w:szCs w:val="20"/>
        </w:rPr>
        <w:t>53.803</w:t>
      </w:r>
      <w:r w:rsidR="005D6C3A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i stado/stoka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A264F2">
        <w:rPr>
          <w:rFonts w:ascii="Arial" w:hAnsi="Arial" w:cs="Arial"/>
          <w:color w:val="244061" w:themeColor="accent1" w:themeShade="80"/>
          <w:sz w:val="20"/>
          <w:szCs w:val="20"/>
        </w:rPr>
        <w:t>48.</w:t>
      </w:r>
      <w:r w:rsidR="007C1E0D">
        <w:rPr>
          <w:rFonts w:ascii="Arial" w:hAnsi="Arial" w:cs="Arial"/>
          <w:color w:val="244061" w:themeColor="accent1" w:themeShade="80"/>
          <w:sz w:val="20"/>
          <w:szCs w:val="20"/>
        </w:rPr>
        <w:t>866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E14164" w:rsidRPr="00E14164" w:rsidRDefault="00E14164" w:rsidP="00F45C24">
      <w:pPr>
        <w:autoSpaceDE w:val="0"/>
        <w:autoSpaceDN w:val="0"/>
        <w:adjustRightInd w:val="0"/>
        <w:spacing w:before="120" w:after="0" w:line="240" w:lineRule="atLeast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Drugu skupinu od sveukupno </w:t>
      </w:r>
      <w:r w:rsidR="00A264F2">
        <w:rPr>
          <w:rFonts w:ascii="Arial" w:hAnsi="Arial" w:cs="Arial"/>
          <w:color w:val="244061" w:themeColor="accent1" w:themeShade="80"/>
          <w:sz w:val="20"/>
          <w:szCs w:val="20"/>
        </w:rPr>
        <w:t>15.</w:t>
      </w:r>
      <w:r w:rsidR="007C1E0D">
        <w:rPr>
          <w:rFonts w:ascii="Arial" w:hAnsi="Arial" w:cs="Arial"/>
          <w:color w:val="244061" w:themeColor="accent1" w:themeShade="80"/>
          <w:sz w:val="20"/>
          <w:szCs w:val="20"/>
        </w:rPr>
        <w:t>325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upisanih predmeta osigur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anja čine: poljoprivredni urod (</w:t>
      </w:r>
      <w:r w:rsidR="00204D4C">
        <w:rPr>
          <w:rFonts w:ascii="Arial" w:hAnsi="Arial" w:cs="Arial"/>
          <w:color w:val="244061" w:themeColor="accent1" w:themeShade="80"/>
          <w:sz w:val="20"/>
          <w:szCs w:val="20"/>
        </w:rPr>
        <w:t>6.</w:t>
      </w:r>
      <w:r w:rsidR="00375918">
        <w:rPr>
          <w:rFonts w:ascii="Arial" w:hAnsi="Arial" w:cs="Arial"/>
          <w:color w:val="244061" w:themeColor="accent1" w:themeShade="80"/>
          <w:sz w:val="20"/>
          <w:szCs w:val="20"/>
        </w:rPr>
        <w:t>5</w:t>
      </w:r>
      <w:r w:rsidR="007C1E0D">
        <w:rPr>
          <w:rFonts w:ascii="Arial" w:hAnsi="Arial" w:cs="Arial"/>
          <w:color w:val="244061" w:themeColor="accent1" w:themeShade="80"/>
          <w:sz w:val="20"/>
          <w:szCs w:val="20"/>
        </w:rPr>
        <w:t>32</w:t>
      </w:r>
      <w:r w:rsidR="00375918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, udjeli i poslovni udjele (</w:t>
      </w:r>
      <w:r w:rsidR="007C1E0D">
        <w:rPr>
          <w:rFonts w:ascii="Arial" w:hAnsi="Arial" w:cs="Arial"/>
          <w:color w:val="244061" w:themeColor="accent1" w:themeShade="80"/>
          <w:sz w:val="20"/>
          <w:szCs w:val="20"/>
        </w:rPr>
        <w:t>6.091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, ukupnost stvari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2.</w:t>
      </w:r>
      <w:r w:rsidR="00A264F2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="007C1E0D">
        <w:rPr>
          <w:rFonts w:ascii="Arial" w:hAnsi="Arial" w:cs="Arial"/>
          <w:color w:val="244061" w:themeColor="accent1" w:themeShade="80"/>
          <w:sz w:val="20"/>
          <w:szCs w:val="20"/>
        </w:rPr>
        <w:t>87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, dionice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1</w:t>
      </w:r>
      <w:r w:rsidR="005566CC">
        <w:rPr>
          <w:rFonts w:ascii="Arial" w:hAnsi="Arial" w:cs="Arial"/>
          <w:color w:val="244061" w:themeColor="accent1" w:themeShade="80"/>
          <w:sz w:val="20"/>
          <w:szCs w:val="20"/>
        </w:rPr>
        <w:t>1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i patent</w:t>
      </w:r>
      <w:r w:rsidR="005611FE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4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upisa.</w:t>
      </w:r>
    </w:p>
    <w:p w:rsidR="00E14164" w:rsidRDefault="00E14164" w:rsidP="00F45C24">
      <w:pPr>
        <w:tabs>
          <w:tab w:val="left" w:pos="1701"/>
          <w:tab w:val="left" w:pos="1985"/>
        </w:tabs>
        <w:autoSpaceDE w:val="0"/>
        <w:autoSpaceDN w:val="0"/>
        <w:adjustRightInd w:val="0"/>
        <w:spacing w:before="120" w:after="0" w:line="240" w:lineRule="atLeast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U međuvremenu, od prethodno objavljene informacije za razdoblje zaključno s </w:t>
      </w:r>
      <w:r w:rsidR="00B34924">
        <w:rPr>
          <w:rFonts w:ascii="Arial" w:hAnsi="Arial" w:cs="Arial"/>
          <w:color w:val="244061" w:themeColor="accent1" w:themeShade="80"/>
          <w:sz w:val="20"/>
          <w:szCs w:val="20"/>
        </w:rPr>
        <w:t xml:space="preserve">30. </w:t>
      </w:r>
      <w:r w:rsidR="007C1E0D">
        <w:rPr>
          <w:rFonts w:ascii="Arial" w:hAnsi="Arial" w:cs="Arial"/>
          <w:color w:val="244061" w:themeColor="accent1" w:themeShade="80"/>
          <w:sz w:val="20"/>
          <w:szCs w:val="20"/>
        </w:rPr>
        <w:t>rujna</w:t>
      </w:r>
      <w:r w:rsidR="0099475C">
        <w:rPr>
          <w:rFonts w:ascii="Arial" w:hAnsi="Arial" w:cs="Arial"/>
          <w:color w:val="244061" w:themeColor="accent1" w:themeShade="80"/>
          <w:sz w:val="20"/>
          <w:szCs w:val="20"/>
        </w:rPr>
        <w:t xml:space="preserve"> 2016</w:t>
      </w:r>
      <w:r w:rsidR="00ED6FC1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17568F">
        <w:rPr>
          <w:rFonts w:ascii="Arial" w:hAnsi="Arial" w:cs="Arial"/>
          <w:color w:val="244061" w:themeColor="accent1" w:themeShade="80"/>
          <w:sz w:val="20"/>
          <w:szCs w:val="20"/>
        </w:rPr>
        <w:t xml:space="preserve"> upisano je novih </w:t>
      </w:r>
      <w:r w:rsidR="00A264F2">
        <w:rPr>
          <w:rFonts w:ascii="Arial" w:hAnsi="Arial" w:cs="Arial"/>
          <w:color w:val="244061" w:themeColor="accent1" w:themeShade="80"/>
          <w:sz w:val="20"/>
          <w:szCs w:val="20"/>
        </w:rPr>
        <w:t>10.</w:t>
      </w:r>
      <w:r w:rsidR="007C1E0D">
        <w:rPr>
          <w:rFonts w:ascii="Arial" w:hAnsi="Arial" w:cs="Arial"/>
          <w:color w:val="244061" w:themeColor="accent1" w:themeShade="80"/>
          <w:sz w:val="20"/>
          <w:szCs w:val="20"/>
        </w:rPr>
        <w:t>104</w:t>
      </w:r>
      <w:r w:rsidR="0017568F">
        <w:rPr>
          <w:rFonts w:ascii="Arial" w:hAnsi="Arial" w:cs="Arial"/>
          <w:color w:val="244061" w:themeColor="accent1" w:themeShade="80"/>
          <w:sz w:val="20"/>
          <w:szCs w:val="20"/>
        </w:rPr>
        <w:t xml:space="preserve"> pokretnin</w:t>
      </w:r>
      <w:r w:rsidR="00FA1258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bookmarkStart w:id="0" w:name="_GoBack"/>
      <w:bookmarkEnd w:id="0"/>
      <w:r w:rsidR="0017568F">
        <w:rPr>
          <w:rFonts w:ascii="Arial" w:hAnsi="Arial" w:cs="Arial"/>
          <w:color w:val="244061" w:themeColor="accent1" w:themeShade="80"/>
          <w:sz w:val="20"/>
          <w:szCs w:val="20"/>
        </w:rPr>
        <w:t xml:space="preserve"> i prava</w:t>
      </w:r>
      <w:r w:rsidR="00EA4C7E">
        <w:rPr>
          <w:rFonts w:ascii="Arial" w:hAnsi="Arial" w:cs="Arial"/>
          <w:color w:val="244061" w:themeColor="accent1" w:themeShade="80"/>
          <w:sz w:val="20"/>
          <w:szCs w:val="20"/>
        </w:rPr>
        <w:t>. N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ajveći broj u </w:t>
      </w:r>
      <w:r w:rsidR="00B34924">
        <w:rPr>
          <w:rFonts w:ascii="Arial" w:hAnsi="Arial" w:cs="Arial"/>
          <w:color w:val="244061" w:themeColor="accent1" w:themeShade="80"/>
          <w:sz w:val="20"/>
          <w:szCs w:val="20"/>
        </w:rPr>
        <w:t xml:space="preserve">razdoblju srpanj-rujan 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odnosio se na ostale pokretnine i prava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7C1E0D">
        <w:rPr>
          <w:rFonts w:ascii="Arial" w:hAnsi="Arial" w:cs="Arial"/>
          <w:color w:val="244061" w:themeColor="accent1" w:themeShade="80"/>
          <w:sz w:val="20"/>
          <w:szCs w:val="20"/>
        </w:rPr>
        <w:t>6.349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A264F2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na </w:t>
      </w:r>
      <w:r w:rsidR="009F0525">
        <w:rPr>
          <w:rFonts w:ascii="Arial" w:hAnsi="Arial" w:cs="Arial"/>
          <w:color w:val="244061" w:themeColor="accent1" w:themeShade="80"/>
          <w:sz w:val="20"/>
          <w:szCs w:val="20"/>
        </w:rPr>
        <w:t>vozila</w:t>
      </w:r>
      <w:r w:rsidR="00CB08E1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A264F2">
        <w:rPr>
          <w:rFonts w:ascii="Arial" w:hAnsi="Arial" w:cs="Arial"/>
          <w:color w:val="244061" w:themeColor="accent1" w:themeShade="80"/>
          <w:sz w:val="20"/>
          <w:szCs w:val="20"/>
        </w:rPr>
        <w:t>1.</w:t>
      </w:r>
      <w:r w:rsidR="007C1E0D">
        <w:rPr>
          <w:rFonts w:ascii="Arial" w:hAnsi="Arial" w:cs="Arial"/>
          <w:color w:val="244061" w:themeColor="accent1" w:themeShade="80"/>
          <w:sz w:val="20"/>
          <w:szCs w:val="20"/>
        </w:rPr>
        <w:t>373</w:t>
      </w:r>
      <w:r w:rsidR="009F0525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A264F2">
        <w:rPr>
          <w:rFonts w:ascii="Arial" w:hAnsi="Arial" w:cs="Arial"/>
          <w:color w:val="244061" w:themeColor="accent1" w:themeShade="80"/>
          <w:sz w:val="20"/>
          <w:szCs w:val="20"/>
        </w:rPr>
        <w:t xml:space="preserve"> i na strojeve (1.</w:t>
      </w:r>
      <w:r w:rsidR="007C1E0D">
        <w:rPr>
          <w:rFonts w:ascii="Arial" w:hAnsi="Arial" w:cs="Arial"/>
          <w:color w:val="244061" w:themeColor="accent1" w:themeShade="80"/>
          <w:sz w:val="20"/>
          <w:szCs w:val="20"/>
        </w:rPr>
        <w:t>215</w:t>
      </w:r>
      <w:r w:rsidR="00A264F2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9F0525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dok je broj upisanih patenata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4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204D4C">
        <w:rPr>
          <w:rFonts w:ascii="Arial" w:hAnsi="Arial" w:cs="Arial"/>
          <w:color w:val="244061" w:themeColor="accent1" w:themeShade="80"/>
          <w:sz w:val="20"/>
          <w:szCs w:val="20"/>
        </w:rPr>
        <w:t xml:space="preserve"> i dionica</w:t>
      </w:r>
      <w:r w:rsidR="00480C73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204D4C">
        <w:rPr>
          <w:rFonts w:ascii="Arial" w:hAnsi="Arial" w:cs="Arial"/>
          <w:color w:val="244061" w:themeColor="accent1" w:themeShade="80"/>
          <w:sz w:val="20"/>
          <w:szCs w:val="20"/>
        </w:rPr>
        <w:t>(11)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ostao nepromijenjen.</w:t>
      </w:r>
    </w:p>
    <w:p w:rsidR="00D3194F" w:rsidRPr="009C35F6" w:rsidRDefault="00FF003B" w:rsidP="00F45C24">
      <w:pPr>
        <w:tabs>
          <w:tab w:val="left" w:pos="1701"/>
          <w:tab w:val="left" w:pos="1985"/>
        </w:tabs>
        <w:spacing w:before="120" w:after="120" w:line="288" w:lineRule="auto"/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>Tablica i grafikon</w:t>
      </w:r>
      <w:r w:rsidR="00461F6D" w:rsidRPr="009C35F6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 xml:space="preserve"> 1.</w:t>
      </w:r>
      <w:r w:rsidR="00461F6D" w:rsidRPr="009C35F6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ab/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Upisane pokretnine i prava u </w:t>
      </w:r>
      <w:r w:rsidR="00461F6D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Upisniku u razdoblju od 2006. do </w:t>
      </w:r>
      <w:r w:rsidR="007C1E0D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31. prosinca</w:t>
      </w:r>
      <w:r w:rsidR="00ED6FC1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2016</w:t>
      </w:r>
      <w:r w:rsidR="00461F6D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. g</w:t>
      </w:r>
      <w:r w:rsid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odine</w:t>
      </w:r>
    </w:p>
    <w:tbl>
      <w:tblPr>
        <w:tblpPr w:leftFromText="180" w:rightFromText="180" w:vertAnchor="text" w:tblpY="1"/>
        <w:tblOverlap w:val="never"/>
        <w:tblW w:w="3081" w:type="dxa"/>
        <w:tblInd w:w="93" w:type="dxa"/>
        <w:tblLook w:val="04A0" w:firstRow="1" w:lastRow="0" w:firstColumn="1" w:lastColumn="0" w:noHBand="0" w:noVBand="1"/>
      </w:tblPr>
      <w:tblGrid>
        <w:gridCol w:w="2142"/>
        <w:gridCol w:w="939"/>
      </w:tblGrid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O</w:t>
            </w:r>
            <w:r w:rsidR="00D3194F"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stale pokretnine i prava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23676B" w:rsidRPr="009C35F6" w:rsidRDefault="0023676B" w:rsidP="0023676B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304.415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FF003B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Vozila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23676B" w:rsidP="0023676B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175.028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Računala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ED6FC1" w:rsidP="0023676B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97.</w:t>
            </w:r>
            <w:r w:rsidR="0023676B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900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Strojevi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23676B" w:rsidP="0023676B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53.803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Stado/stoka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A264F2" w:rsidP="0023676B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48.</w:t>
            </w:r>
            <w:r w:rsidR="0023676B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866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Poljoprivredni urod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23676B" w:rsidP="00A264F2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6.532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Udjeli i poslovni udjeli 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23676B" w:rsidP="007B68E6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6.091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Ukupnost stvari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24337E" w:rsidP="00A264F2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2.</w:t>
            </w:r>
            <w:r w:rsidR="0023676B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687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Dionice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D3194F" w:rsidP="005F01A8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</w:t>
            </w:r>
            <w:r w:rsidR="005F01A8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Patenti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D3194F" w:rsidP="00FF003B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7"/>
                <w:szCs w:val="17"/>
                <w:lang w:eastAsia="hr-HR"/>
              </w:rPr>
              <w:t>Ukupno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C77D8" w:rsidRPr="009C35F6" w:rsidRDefault="0023676B" w:rsidP="007B68E6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695.337</w:t>
            </w:r>
          </w:p>
        </w:tc>
      </w:tr>
    </w:tbl>
    <w:p w:rsidR="00AC3D8E" w:rsidRDefault="0023676B" w:rsidP="00FF003B">
      <w:pPr>
        <w:spacing w:before="60" w:after="0" w:line="288" w:lineRule="auto"/>
        <w:jc w:val="both"/>
        <w:rPr>
          <w:rFonts w:ascii="Arial" w:hAnsi="Arial" w:cs="Arial"/>
        </w:rPr>
      </w:pPr>
      <w:r>
        <w:rPr>
          <w:noProof/>
          <w:lang w:eastAsia="hr-HR"/>
        </w:rPr>
        <w:drawing>
          <wp:inline distT="0" distB="0" distL="0" distR="0" wp14:anchorId="35B0F2C1" wp14:editId="038A8875">
            <wp:extent cx="4324350" cy="2466975"/>
            <wp:effectExtent l="0" t="0" r="19050" b="9525"/>
            <wp:docPr id="1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F3A24" w:rsidRDefault="005F3A24" w:rsidP="005F3A24">
      <w:pPr>
        <w:spacing w:before="60" w:after="0" w:line="288" w:lineRule="auto"/>
        <w:jc w:val="both"/>
        <w:rPr>
          <w:rFonts w:ascii="Arial" w:hAnsi="Arial" w:cs="Arial"/>
          <w:i/>
          <w:color w:val="244061" w:themeColor="accent1" w:themeShade="80"/>
          <w:sz w:val="18"/>
          <w:szCs w:val="18"/>
        </w:rPr>
      </w:pPr>
      <w:r>
        <w:rPr>
          <w:rFonts w:ascii="Arial" w:hAnsi="Arial" w:cs="Arial"/>
          <w:i/>
          <w:color w:val="244061" w:themeColor="accent1" w:themeShade="80"/>
          <w:sz w:val="18"/>
          <w:szCs w:val="18"/>
        </w:rPr>
        <w:t xml:space="preserve">Izvor: Financijska agencija, </w:t>
      </w:r>
      <w:r>
        <w:rPr>
          <w:rFonts w:ascii="Arial" w:eastAsia="Times New Roman" w:hAnsi="Arial" w:cs="Arial"/>
          <w:i/>
          <w:color w:val="244061" w:themeColor="accent1" w:themeShade="80"/>
          <w:sz w:val="19"/>
          <w:szCs w:val="19"/>
          <w:lang w:eastAsia="hr-HR"/>
        </w:rPr>
        <w:t>Upisnik založnih prava</w:t>
      </w:r>
    </w:p>
    <w:p w:rsidR="00461F6D" w:rsidRPr="009C35F6" w:rsidRDefault="00461F6D" w:rsidP="00F45C24">
      <w:pPr>
        <w:spacing w:before="120" w:after="0" w:line="240" w:lineRule="atLeast"/>
        <w:jc w:val="both"/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Jednostavnom pretragom na on-</w:t>
      </w:r>
      <w:proofErr w:type="spellStart"/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line</w:t>
      </w:r>
      <w:proofErr w:type="spellEnd"/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tražilici moguće je pretra</w:t>
      </w:r>
      <w:r w:rsidR="00E01148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žiti 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upis</w:t>
      </w:r>
      <w:r w:rsidR="00E01148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e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pod određenim kriterijima. Također je na 22 upisnička mjesta moguće obaviti i besplatan uvid te zatražiti izvadak ili prijepis iz zbirke isprava. </w:t>
      </w:r>
      <w:hyperlink r:id="rId9" w:history="1">
        <w:r w:rsidRPr="009C35F6">
          <w:rPr>
            <w:rStyle w:val="Hiperveza"/>
            <w:rFonts w:ascii="Arial" w:eastAsia="Times New Roman" w:hAnsi="Arial" w:cs="Arial"/>
            <w:color w:val="244061" w:themeColor="accent1" w:themeShade="80"/>
            <w:sz w:val="19"/>
            <w:szCs w:val="19"/>
            <w:lang w:eastAsia="hr-HR"/>
          </w:rPr>
          <w:t xml:space="preserve">Više o tome na </w:t>
        </w:r>
        <w:r w:rsidR="00E01148" w:rsidRPr="009C35F6">
          <w:rPr>
            <w:rStyle w:val="Hiperveza"/>
            <w:rFonts w:ascii="Arial" w:eastAsia="Times New Roman" w:hAnsi="Arial" w:cs="Arial"/>
            <w:color w:val="244061" w:themeColor="accent1" w:themeShade="80"/>
            <w:sz w:val="19"/>
            <w:szCs w:val="19"/>
            <w:lang w:eastAsia="hr-HR"/>
          </w:rPr>
          <w:t xml:space="preserve">WEB </w:t>
        </w:r>
        <w:r w:rsidRPr="009C35F6">
          <w:rPr>
            <w:rStyle w:val="Hiperveza"/>
            <w:rFonts w:ascii="Arial" w:eastAsia="Times New Roman" w:hAnsi="Arial" w:cs="Arial"/>
            <w:color w:val="244061" w:themeColor="accent1" w:themeShade="80"/>
            <w:sz w:val="19"/>
            <w:szCs w:val="19"/>
            <w:lang w:eastAsia="hr-HR"/>
          </w:rPr>
          <w:t>stranici</w:t>
        </w:r>
        <w:r w:rsidR="00E01148" w:rsidRPr="009C35F6">
          <w:rPr>
            <w:rStyle w:val="Hiperveza"/>
            <w:rFonts w:ascii="Arial" w:eastAsia="Times New Roman" w:hAnsi="Arial" w:cs="Arial"/>
            <w:color w:val="244061" w:themeColor="accent1" w:themeShade="80"/>
            <w:sz w:val="19"/>
            <w:szCs w:val="19"/>
            <w:lang w:eastAsia="hr-HR"/>
          </w:rPr>
          <w:t xml:space="preserve"> Fine .</w:t>
        </w:r>
      </w:hyperlink>
    </w:p>
    <w:p w:rsidR="00461F6D" w:rsidRPr="009C35F6" w:rsidRDefault="00461F6D" w:rsidP="00F45C24">
      <w:pPr>
        <w:spacing w:before="120" w:after="0" w:line="240" w:lineRule="atLeast"/>
        <w:jc w:val="both"/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Od 2</w:t>
      </w:r>
      <w:r w:rsidR="00CF4D96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2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. listopada </w:t>
      </w:r>
      <w:r w:rsidR="00F45C24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2014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. Financijska agencija uvela je novu uslugu „FINA Info šasija“ koja se odnosi na informaciju o statusu upisa tereta na vozilima u Upisniku. </w:t>
      </w:r>
      <w:r w:rsidR="00CF4D96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Slanjem SMS poruke na broj 818058 s brojem šasije automobila, korisnik će dobiti informaciju postoji li terećenje u Upisniku za navedeni automobil. 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U razdoblju od 2</w:t>
      </w:r>
      <w:r w:rsidR="007735CA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2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. listopada </w:t>
      </w:r>
      <w:r w:rsidR="00F45C24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2014. 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do </w:t>
      </w:r>
      <w:r w:rsidR="007C1E0D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31. prosinca</w:t>
      </w:r>
      <w:r w:rsidR="00ED6FC1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2016</w:t>
      </w:r>
      <w:r w:rsidR="00CD7170" w:rsidRPr="00CD7170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. poslano je </w:t>
      </w:r>
      <w:r w:rsidR="003F51C9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22.942</w:t>
      </w:r>
      <w:r w:rsidR="00B34924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poruka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.</w:t>
      </w:r>
      <w:r w:rsidR="00E01148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</w:t>
      </w:r>
      <w:hyperlink r:id="rId10" w:history="1">
        <w:r w:rsidR="00E01148" w:rsidRPr="009C35F6">
          <w:rPr>
            <w:rStyle w:val="Hiperveza"/>
            <w:rFonts w:ascii="Arial" w:eastAsia="Times New Roman" w:hAnsi="Arial" w:cs="Arial"/>
            <w:color w:val="244061" w:themeColor="accent1" w:themeShade="80"/>
            <w:sz w:val="19"/>
            <w:szCs w:val="19"/>
            <w:lang w:eastAsia="hr-HR"/>
          </w:rPr>
          <w:t>Više na WEB stranici Fine .</w:t>
        </w:r>
      </w:hyperlink>
    </w:p>
    <w:sectPr w:rsidR="00461F6D" w:rsidRPr="009C35F6" w:rsidSect="00F35753">
      <w:headerReference w:type="default" r:id="rId11"/>
      <w:pgSz w:w="11906" w:h="16838"/>
      <w:pgMar w:top="1134" w:right="102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590" w:rsidRDefault="008C7590" w:rsidP="00FF003B">
      <w:pPr>
        <w:spacing w:after="0" w:line="240" w:lineRule="auto"/>
      </w:pPr>
      <w:r>
        <w:separator/>
      </w:r>
    </w:p>
  </w:endnote>
  <w:endnote w:type="continuationSeparator" w:id="0">
    <w:p w:rsidR="008C7590" w:rsidRDefault="008C7590" w:rsidP="00FF0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590" w:rsidRDefault="008C7590" w:rsidP="00FF003B">
      <w:pPr>
        <w:spacing w:after="0" w:line="240" w:lineRule="auto"/>
      </w:pPr>
      <w:r>
        <w:separator/>
      </w:r>
    </w:p>
  </w:footnote>
  <w:footnote w:type="continuationSeparator" w:id="0">
    <w:p w:rsidR="008C7590" w:rsidRDefault="008C7590" w:rsidP="00FF0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03B" w:rsidRDefault="00FF003B">
    <w:pPr>
      <w:pStyle w:val="Zaglavlje"/>
    </w:pPr>
    <w:r>
      <w:rPr>
        <w:noProof/>
        <w:lang w:eastAsia="hr-HR"/>
      </w:rPr>
      <w:drawing>
        <wp:inline distT="0" distB="0" distL="0" distR="0" wp14:anchorId="30E8E3F7" wp14:editId="717E4641">
          <wp:extent cx="1485265" cy="358140"/>
          <wp:effectExtent l="0" t="0" r="635" b="3810"/>
          <wp:docPr id="2" name="Picture 2" descr="fin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n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26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FB2"/>
    <w:rsid w:val="000018DC"/>
    <w:rsid w:val="000375CE"/>
    <w:rsid w:val="00063EA7"/>
    <w:rsid w:val="00077AEE"/>
    <w:rsid w:val="000B0BB3"/>
    <w:rsid w:val="000B409A"/>
    <w:rsid w:val="000D0CC2"/>
    <w:rsid w:val="00132E0C"/>
    <w:rsid w:val="00140512"/>
    <w:rsid w:val="0017568F"/>
    <w:rsid w:val="001A25DB"/>
    <w:rsid w:val="001C0824"/>
    <w:rsid w:val="001D53FE"/>
    <w:rsid w:val="001E0AF7"/>
    <w:rsid w:val="00204D4C"/>
    <w:rsid w:val="002225FC"/>
    <w:rsid w:val="002345FB"/>
    <w:rsid w:val="0023676B"/>
    <w:rsid w:val="0024337E"/>
    <w:rsid w:val="00254E17"/>
    <w:rsid w:val="002E2B9D"/>
    <w:rsid w:val="002E7775"/>
    <w:rsid w:val="00303B45"/>
    <w:rsid w:val="00313855"/>
    <w:rsid w:val="00314C15"/>
    <w:rsid w:val="00320535"/>
    <w:rsid w:val="00346FE2"/>
    <w:rsid w:val="00375918"/>
    <w:rsid w:val="003B3B83"/>
    <w:rsid w:val="003C6343"/>
    <w:rsid w:val="003E45BD"/>
    <w:rsid w:val="003F51C9"/>
    <w:rsid w:val="00401E35"/>
    <w:rsid w:val="00453B09"/>
    <w:rsid w:val="00461F6D"/>
    <w:rsid w:val="00480C73"/>
    <w:rsid w:val="004906DB"/>
    <w:rsid w:val="004D0C29"/>
    <w:rsid w:val="004D2F1D"/>
    <w:rsid w:val="00505962"/>
    <w:rsid w:val="005255EA"/>
    <w:rsid w:val="00531127"/>
    <w:rsid w:val="005566CC"/>
    <w:rsid w:val="005611FE"/>
    <w:rsid w:val="005737D2"/>
    <w:rsid w:val="005C0F0D"/>
    <w:rsid w:val="005D6C3A"/>
    <w:rsid w:val="005E15DA"/>
    <w:rsid w:val="005F01A8"/>
    <w:rsid w:val="005F34E2"/>
    <w:rsid w:val="005F3A24"/>
    <w:rsid w:val="005F4CDC"/>
    <w:rsid w:val="005F6FA2"/>
    <w:rsid w:val="0060334F"/>
    <w:rsid w:val="0061160A"/>
    <w:rsid w:val="00623B7F"/>
    <w:rsid w:val="006365DC"/>
    <w:rsid w:val="00641446"/>
    <w:rsid w:val="0064451E"/>
    <w:rsid w:val="006B5AD2"/>
    <w:rsid w:val="006C5A1A"/>
    <w:rsid w:val="00722638"/>
    <w:rsid w:val="007563A4"/>
    <w:rsid w:val="00770B59"/>
    <w:rsid w:val="007735CA"/>
    <w:rsid w:val="007B68E6"/>
    <w:rsid w:val="007C1E0D"/>
    <w:rsid w:val="00802779"/>
    <w:rsid w:val="008629D7"/>
    <w:rsid w:val="00875CD6"/>
    <w:rsid w:val="008A3E7C"/>
    <w:rsid w:val="008C7590"/>
    <w:rsid w:val="008D0EDE"/>
    <w:rsid w:val="008D3FB2"/>
    <w:rsid w:val="008F1FC3"/>
    <w:rsid w:val="00907021"/>
    <w:rsid w:val="00936E6A"/>
    <w:rsid w:val="00955015"/>
    <w:rsid w:val="00960033"/>
    <w:rsid w:val="0099475C"/>
    <w:rsid w:val="009C35F6"/>
    <w:rsid w:val="009E45DC"/>
    <w:rsid w:val="009F0525"/>
    <w:rsid w:val="00A264F2"/>
    <w:rsid w:val="00A6697E"/>
    <w:rsid w:val="00A760A6"/>
    <w:rsid w:val="00AC3D8E"/>
    <w:rsid w:val="00AC77D8"/>
    <w:rsid w:val="00B17A51"/>
    <w:rsid w:val="00B34924"/>
    <w:rsid w:val="00B567C8"/>
    <w:rsid w:val="00BD02F4"/>
    <w:rsid w:val="00BD2767"/>
    <w:rsid w:val="00BF1108"/>
    <w:rsid w:val="00C57943"/>
    <w:rsid w:val="00C9024E"/>
    <w:rsid w:val="00CA1EE0"/>
    <w:rsid w:val="00CB08E1"/>
    <w:rsid w:val="00CD7170"/>
    <w:rsid w:val="00CE411F"/>
    <w:rsid w:val="00CF4D96"/>
    <w:rsid w:val="00D3194F"/>
    <w:rsid w:val="00D65C2C"/>
    <w:rsid w:val="00D80D66"/>
    <w:rsid w:val="00D82B62"/>
    <w:rsid w:val="00DA31C8"/>
    <w:rsid w:val="00DA56D8"/>
    <w:rsid w:val="00DE601F"/>
    <w:rsid w:val="00E01148"/>
    <w:rsid w:val="00E14164"/>
    <w:rsid w:val="00E1590F"/>
    <w:rsid w:val="00E1749D"/>
    <w:rsid w:val="00E24BC7"/>
    <w:rsid w:val="00E3076B"/>
    <w:rsid w:val="00E532F2"/>
    <w:rsid w:val="00E66560"/>
    <w:rsid w:val="00EA4C7E"/>
    <w:rsid w:val="00EA70A7"/>
    <w:rsid w:val="00ED6FC1"/>
    <w:rsid w:val="00ED7E39"/>
    <w:rsid w:val="00EE1265"/>
    <w:rsid w:val="00F12547"/>
    <w:rsid w:val="00F14C2B"/>
    <w:rsid w:val="00F156B9"/>
    <w:rsid w:val="00F3064D"/>
    <w:rsid w:val="00F35753"/>
    <w:rsid w:val="00F45C24"/>
    <w:rsid w:val="00F80571"/>
    <w:rsid w:val="00F863CC"/>
    <w:rsid w:val="00F9593B"/>
    <w:rsid w:val="00FA1258"/>
    <w:rsid w:val="00FC6BD5"/>
    <w:rsid w:val="00FF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31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3194F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FF0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F003B"/>
  </w:style>
  <w:style w:type="paragraph" w:styleId="Podnoje">
    <w:name w:val="footer"/>
    <w:basedOn w:val="Normal"/>
    <w:link w:val="PodnojeChar"/>
    <w:uiPriority w:val="99"/>
    <w:unhideWhenUsed/>
    <w:rsid w:val="00FF0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F003B"/>
  </w:style>
  <w:style w:type="character" w:styleId="Hiperveza">
    <w:name w:val="Hyperlink"/>
    <w:basedOn w:val="Zadanifontodlomka"/>
    <w:uiPriority w:val="99"/>
    <w:unhideWhenUsed/>
    <w:rsid w:val="00E01148"/>
    <w:rPr>
      <w:color w:val="0000FF" w:themeColor="hyperlink"/>
      <w:u w:val="single"/>
    </w:rPr>
  </w:style>
  <w:style w:type="paragraph" w:styleId="Revizija">
    <w:name w:val="Revision"/>
    <w:hidden/>
    <w:uiPriority w:val="99"/>
    <w:semiHidden/>
    <w:rsid w:val="001C08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31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3194F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FF0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F003B"/>
  </w:style>
  <w:style w:type="paragraph" w:styleId="Podnoje">
    <w:name w:val="footer"/>
    <w:basedOn w:val="Normal"/>
    <w:link w:val="PodnojeChar"/>
    <w:uiPriority w:val="99"/>
    <w:unhideWhenUsed/>
    <w:rsid w:val="00FF0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F003B"/>
  </w:style>
  <w:style w:type="character" w:styleId="Hiperveza">
    <w:name w:val="Hyperlink"/>
    <w:basedOn w:val="Zadanifontodlomka"/>
    <w:uiPriority w:val="99"/>
    <w:unhideWhenUsed/>
    <w:rsid w:val="00E01148"/>
    <w:rPr>
      <w:color w:val="0000FF" w:themeColor="hyperlink"/>
      <w:u w:val="single"/>
    </w:rPr>
  </w:style>
  <w:style w:type="paragraph" w:styleId="Revizija">
    <w:name w:val="Revision"/>
    <w:hidden/>
    <w:uiPriority w:val="99"/>
    <w:semiHidden/>
    <w:rsid w:val="001C08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7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fina.hr/Default.aspx?sec=173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loznaprava.fina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9348004860914584"/>
          <c:y val="7.2775767893878129E-2"/>
          <c:w val="0.63077664851364945"/>
          <c:h val="0.8241969820425951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4">
                <a:lumMod val="75000"/>
              </a:schemeClr>
            </a:solidFill>
            <a:ln>
              <a:solidFill>
                <a:schemeClr val="accent4">
                  <a:lumMod val="50000"/>
                </a:schemeClr>
              </a:solidFill>
            </a:ln>
          </c:spPr>
          <c:invertIfNegative val="0"/>
          <c:cat>
            <c:strRef>
              <c:f>List3!$A$4:$A$13</c:f>
              <c:strCache>
                <c:ptCount val="10"/>
                <c:pt idx="0">
                  <c:v>ostale pokretnine i prava</c:v>
                </c:pt>
                <c:pt idx="1">
                  <c:v>vozila</c:v>
                </c:pt>
                <c:pt idx="2">
                  <c:v>računala</c:v>
                </c:pt>
                <c:pt idx="3">
                  <c:v>strojevi</c:v>
                </c:pt>
                <c:pt idx="4">
                  <c:v>stado/stoka</c:v>
                </c:pt>
                <c:pt idx="5">
                  <c:v>poljoprivredni urod</c:v>
                </c:pt>
                <c:pt idx="6">
                  <c:v>udjeli i poslovni udjeli </c:v>
                </c:pt>
                <c:pt idx="7">
                  <c:v>ukupnost stvari</c:v>
                </c:pt>
                <c:pt idx="8">
                  <c:v>dionice</c:v>
                </c:pt>
                <c:pt idx="9">
                  <c:v>patenti</c:v>
                </c:pt>
              </c:strCache>
            </c:strRef>
          </c:cat>
          <c:val>
            <c:numRef>
              <c:f>List3!$D$4:$D$13</c:f>
              <c:numCache>
                <c:formatCode>#,##0</c:formatCode>
                <c:ptCount val="10"/>
                <c:pt idx="0">
                  <c:v>304415</c:v>
                </c:pt>
                <c:pt idx="1">
                  <c:v>175028</c:v>
                </c:pt>
                <c:pt idx="2">
                  <c:v>97900</c:v>
                </c:pt>
                <c:pt idx="3">
                  <c:v>53803</c:v>
                </c:pt>
                <c:pt idx="4">
                  <c:v>48866</c:v>
                </c:pt>
                <c:pt idx="5">
                  <c:v>6532</c:v>
                </c:pt>
                <c:pt idx="6">
                  <c:v>6091</c:v>
                </c:pt>
                <c:pt idx="7">
                  <c:v>2687</c:v>
                </c:pt>
                <c:pt idx="8">
                  <c:v>11</c:v>
                </c:pt>
                <c:pt idx="9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912640"/>
        <c:axId val="24914176"/>
      </c:barChart>
      <c:catAx>
        <c:axId val="2491264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solidFill>
                  <a:schemeClr val="tx2">
                    <a:lumMod val="50000"/>
                  </a:schemeClr>
                </a:solidFill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sr-Latn-RS"/>
          </a:p>
        </c:txPr>
        <c:crossAx val="24914176"/>
        <c:crosses val="autoZero"/>
        <c:auto val="1"/>
        <c:lblAlgn val="ctr"/>
        <c:lblOffset val="100"/>
        <c:noMultiLvlLbl val="0"/>
      </c:catAx>
      <c:valAx>
        <c:axId val="24914176"/>
        <c:scaling>
          <c:orientation val="minMax"/>
        </c:scaling>
        <c:delete val="0"/>
        <c:axPos val="b"/>
        <c:majorGridlines/>
        <c:numFmt formatCode="#,##0" sourceLinked="1"/>
        <c:majorTickMark val="out"/>
        <c:minorTickMark val="none"/>
        <c:tickLblPos val="nextTo"/>
        <c:spPr>
          <a:ln w="3175">
            <a:solidFill>
              <a:schemeClr val="bg1">
                <a:lumMod val="75000"/>
              </a:schemeClr>
            </a:solidFill>
          </a:ln>
        </c:spPr>
        <c:txPr>
          <a:bodyPr/>
          <a:lstStyle/>
          <a:p>
            <a:pPr>
              <a:defRPr sz="700" baseline="0">
                <a:solidFill>
                  <a:schemeClr val="tx2">
                    <a:lumMod val="50000"/>
                  </a:schemeClr>
                </a:solidFill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sr-Latn-RS"/>
          </a:p>
        </c:txPr>
        <c:crossAx val="24912640"/>
        <c:crosses val="autoZero"/>
        <c:crossBetween val="between"/>
        <c:majorUnit val="50000"/>
      </c:valAx>
      <c:spPr>
        <a:gradFill flip="none" rotWithShape="1">
          <a:gsLst>
            <a:gs pos="0">
              <a:srgbClr val="8488C4">
                <a:lumMod val="57000"/>
                <a:lumOff val="43000"/>
              </a:srgbClr>
            </a:gs>
            <a:gs pos="53000">
              <a:srgbClr val="D4DEFF">
                <a:lumMod val="29000"/>
                <a:lumOff val="71000"/>
              </a:srgbClr>
            </a:gs>
            <a:gs pos="83000">
              <a:srgbClr val="D4DEFF">
                <a:lumMod val="16000"/>
                <a:lumOff val="84000"/>
              </a:srgbClr>
            </a:gs>
            <a:gs pos="100000">
              <a:srgbClr val="96AB94">
                <a:lumMod val="32000"/>
                <a:lumOff val="68000"/>
              </a:srgbClr>
            </a:gs>
          </a:gsLst>
          <a:lin ang="16200000" scaled="1"/>
          <a:tileRect/>
        </a:gradFill>
        <a:ln>
          <a:solidFill>
            <a:schemeClr val="bg1">
              <a:lumMod val="75000"/>
            </a:schemeClr>
          </a:solidFill>
        </a:ln>
      </c:spPr>
    </c:plotArea>
    <c:plotVisOnly val="1"/>
    <c:dispBlanksAs val="gap"/>
    <c:showDLblsOverMax val="0"/>
  </c:chart>
  <c:spPr>
    <a:gradFill>
      <a:gsLst>
        <a:gs pos="0">
          <a:srgbClr val="8488C4">
            <a:lumMod val="57000"/>
            <a:lumOff val="43000"/>
          </a:srgbClr>
        </a:gs>
        <a:gs pos="53000">
          <a:srgbClr val="D4DEFF">
            <a:lumMod val="29000"/>
            <a:lumOff val="71000"/>
          </a:srgbClr>
        </a:gs>
        <a:gs pos="83000">
          <a:srgbClr val="D4DEFF">
            <a:lumMod val="16000"/>
            <a:lumOff val="84000"/>
          </a:srgbClr>
        </a:gs>
        <a:gs pos="100000">
          <a:srgbClr val="96AB94">
            <a:lumMod val="32000"/>
            <a:lumOff val="68000"/>
          </a:srgbClr>
        </a:gs>
      </a:gsLst>
      <a:lin ang="5400000" scaled="0"/>
    </a:gradFill>
    <a:ln w="3175">
      <a:solidFill>
        <a:schemeClr val="tx2">
          <a:lumMod val="50000"/>
        </a:schemeClr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15823-DD4E-48D5-8432-09159B45E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4130</TotalTime>
  <Pages>1</Pages>
  <Words>548</Words>
  <Characters>3129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Bižić</dc:creator>
  <cp:lastModifiedBy>Dario Rukavina</cp:lastModifiedBy>
  <cp:revision>19</cp:revision>
  <cp:lastPrinted>2015-06-09T05:57:00Z</cp:lastPrinted>
  <dcterms:created xsi:type="dcterms:W3CDTF">2016-02-10T08:34:00Z</dcterms:created>
  <dcterms:modified xsi:type="dcterms:W3CDTF">2017-01-09T11:49:00Z</dcterms:modified>
</cp:coreProperties>
</file>