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E41D49" w:rsidRDefault="00466FEA" w:rsidP="00E41D49">
      <w:pPr>
        <w:tabs>
          <w:tab w:val="left" w:pos="567"/>
        </w:tabs>
        <w:spacing w:after="12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FINANCIJSKI REZULTATI POSLOVANJA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PODUZETNIKA U 201</w:t>
      </w:r>
      <w:r w:rsidR="00C56E8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6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. GODINI NA RAZINI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br/>
      </w: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URBAN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IH REGIJA – ZAGREB,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9243B9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SPLIT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, RIJEKA I OSIJEK</w:t>
      </w:r>
      <w:r w:rsidR="007D0A08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2148"/>
      </w:tblGrid>
      <w:tr w:rsidR="0059321B" w:rsidTr="002D1CED">
        <w:trPr>
          <w:trHeight w:val="1474"/>
        </w:trPr>
        <w:tc>
          <w:tcPr>
            <w:tcW w:w="8046" w:type="dxa"/>
            <w:gridSpan w:val="2"/>
            <w:vMerge w:val="restart"/>
          </w:tcPr>
          <w:p w:rsidR="0059321B" w:rsidRDefault="00E41D49" w:rsidP="007E6457">
            <w:pPr>
              <w:tabs>
                <w:tab w:val="left" w:pos="567"/>
                <w:tab w:val="left" w:pos="5484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114 483 poduzetnika, koliko je podnijelo godišnji financijski izvještaj za 2016. godinu, njih </w:t>
            </w:r>
            <w:r w:rsidR="00950BE1" w:rsidRPr="00ED0D2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64</w:t>
            </w:r>
            <w:r w:rsidR="006102D3">
              <w:rPr>
                <w:rFonts w:eastAsia="Calibri" w:cs="Arial"/>
                <w:color w:val="244061" w:themeColor="accent1" w:themeShade="80"/>
                <w:sz w:val="20"/>
              </w:rPr>
              <w:t> </w:t>
            </w:r>
            <w:r w:rsidR="00950BE1" w:rsidRPr="00ED0D2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789</w:t>
            </w:r>
            <w:r w:rsidR="0059321B" w:rsidRPr="00ED0D2E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7E645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(udio 55,9 %) </w:t>
            </w: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imalo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je sjedište na prostoru obuhvaćenom </w:t>
            </w: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</w:t>
            </w:r>
            <w:r w:rsidR="00014AA3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rbanim aglomeracijama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Rijeka, Split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 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Osijek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 Za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greb</w:t>
            </w: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</w:t>
            </w:r>
            <w:r w:rsidR="00A2230C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što je u odnosu na 2015. godinu (</w:t>
            </w:r>
            <w:r w:rsidR="007E6457" w:rsidRPr="007E6457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60 262 poduzetnika, od 106 659, udio 56,5 %</w:t>
            </w:r>
            <w:r w:rsidR="00A2230C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)</w:t>
            </w:r>
            <w:r w:rsidR="007E6457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 </w:t>
            </w:r>
            <w:r w:rsidR="007E6457" w:rsidRPr="007E6457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povećanje za 7,5 %</w:t>
            </w:r>
            <w:r w:rsidR="00A2230C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Od navedenoga broja, najviše je poduzetnika na području 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rban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aglomeracije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Zagreb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(</w:t>
            </w:r>
            <w:r w:rsidR="00950BE1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45</w:t>
            </w:r>
            <w:r w:rsidR="006102D3" w:rsidRPr="00357B9E">
              <w:rPr>
                <w:rFonts w:eastAsia="Calibri" w:cs="Arial"/>
                <w:color w:val="17365D" w:themeColor="text2" w:themeShade="BF"/>
                <w:sz w:val="20"/>
              </w:rPr>
              <w:t> </w:t>
            </w:r>
            <w:r w:rsidR="00950BE1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005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udio u RH 3</w:t>
            </w:r>
            <w:r w:rsidR="00950BE1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9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,3 %), a najmanji je broj poduzetnika u </w:t>
            </w:r>
            <w:r w:rsidR="0062663F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Urbanoj aglomeraciji Osijek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(</w:t>
            </w:r>
            <w:r w:rsidR="00950BE1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3532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 uio u RH </w:t>
            </w:r>
            <w:r w:rsidR="00950BE1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</w:t>
            </w:r>
            <w:r w:rsidR="0059321B"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,1 %).</w:t>
            </w:r>
          </w:p>
        </w:tc>
        <w:tc>
          <w:tcPr>
            <w:tcW w:w="2148" w:type="dxa"/>
            <w:vAlign w:val="center"/>
          </w:tcPr>
          <w:p w:rsidR="0059321B" w:rsidRPr="00BD6750" w:rsidRDefault="0059321B" w:rsidP="007E6457">
            <w:pPr>
              <w:tabs>
                <w:tab w:val="left" w:pos="0"/>
              </w:tabs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Najviše ZAPOSLENIH kod poduzetnika u </w:t>
            </w:r>
            <w:r w:rsidR="0062663F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</w:t>
            </w:r>
            <w:r w:rsidR="003C7EA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Zagreb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BB44BC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375</w:t>
            </w:r>
            <w:r w:rsidR="000A686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 </w:t>
            </w:r>
            <w:r w:rsidR="00BB44BC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978</w:t>
            </w:r>
          </w:p>
        </w:tc>
      </w:tr>
      <w:tr w:rsidR="00E41D49" w:rsidTr="002D1CED">
        <w:trPr>
          <w:trHeight w:val="230"/>
        </w:trPr>
        <w:tc>
          <w:tcPr>
            <w:tcW w:w="8046" w:type="dxa"/>
            <w:gridSpan w:val="2"/>
            <w:vMerge/>
          </w:tcPr>
          <w:p w:rsidR="00E41D49" w:rsidRPr="009943F9" w:rsidRDefault="00E41D49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vAlign w:val="center"/>
          </w:tcPr>
          <w:p w:rsidR="00E41D49" w:rsidRDefault="00E41D49" w:rsidP="003B008C">
            <w:pPr>
              <w:tabs>
                <w:tab w:val="left" w:pos="0"/>
              </w:tabs>
              <w:ind w:right="-87"/>
              <w:jc w:val="center"/>
              <w:rPr>
                <w:rFonts w:cs="Arial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P</w:t>
            </w:r>
            <w:r w:rsidRPr="009F12EF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oduzetni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ci</w:t>
            </w:r>
            <w:r w:rsidRPr="009F12EF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</w:t>
            </w:r>
            <w:r w:rsidRPr="009F12EF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Zagreb s </w:t>
            </w:r>
            <w:r w:rsidRPr="00EC185C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NETO DOBITI od</w:t>
            </w:r>
            <w:r w:rsidRPr="00EC185C">
              <w:rPr>
                <w:rFonts w:cs="Arial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</w:p>
          <w:p w:rsidR="00E41D49" w:rsidRPr="003C7EA2" w:rsidRDefault="00E41D49" w:rsidP="00705A5A">
            <w:pPr>
              <w:tabs>
                <w:tab w:val="left" w:pos="0"/>
              </w:tabs>
              <w:ind w:right="-8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3C7EA2">
              <w:rPr>
                <w:rFonts w:cs="Arial"/>
                <w:b/>
                <w:color w:val="244061" w:themeColor="accent1" w:themeShade="80"/>
                <w:sz w:val="28"/>
                <w:szCs w:val="28"/>
              </w:rPr>
              <w:t>15,</w:t>
            </w:r>
            <w:r>
              <w:rPr>
                <w:rFonts w:cs="Arial"/>
                <w:b/>
                <w:color w:val="244061" w:themeColor="accent1" w:themeShade="80"/>
                <w:sz w:val="28"/>
                <w:szCs w:val="28"/>
              </w:rPr>
              <w:t>6</w:t>
            </w:r>
            <w:r w:rsidRPr="003C7EA2">
              <w:rPr>
                <w:rFonts w:cs="Arial"/>
                <w:b/>
                <w:color w:val="244061" w:themeColor="accent1" w:themeShade="80"/>
                <w:sz w:val="28"/>
                <w:szCs w:val="28"/>
              </w:rPr>
              <w:t xml:space="preserve"> mil. kn</w:t>
            </w:r>
          </w:p>
        </w:tc>
      </w:tr>
      <w:tr w:rsidR="00357B9E" w:rsidTr="002D1CED">
        <w:trPr>
          <w:trHeight w:val="1737"/>
        </w:trPr>
        <w:tc>
          <w:tcPr>
            <w:tcW w:w="4786" w:type="dxa"/>
            <w:vMerge w:val="restart"/>
            <w:vAlign w:val="center"/>
          </w:tcPr>
          <w:p w:rsidR="00357B9E" w:rsidRDefault="00357B9E" w:rsidP="00361944">
            <w:pPr>
              <w:tabs>
                <w:tab w:val="left" w:pos="567"/>
                <w:tab w:val="center" w:pos="1134"/>
              </w:tabs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</w:r>
            <w:r w:rsidR="0036194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Područje č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etiri u</w:t>
            </w: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rbane aglomeracije u R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H</w:t>
            </w:r>
          </w:p>
          <w:p w:rsidR="00357B9E" w:rsidRPr="009943F9" w:rsidRDefault="00357B9E" w:rsidP="00361944">
            <w:pPr>
              <w:tabs>
                <w:tab w:val="left" w:pos="567"/>
              </w:tabs>
              <w:spacing w:before="120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0CCB4A80" wp14:editId="6DF5C5C6">
                  <wp:extent cx="2880000" cy="2106000"/>
                  <wp:effectExtent l="0" t="0" r="0" b="8890"/>
                  <wp:docPr id="9" name="Slika 2" descr="D:\Users\nmaric\Desktop\RH-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nmaric\Desktop\RH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0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357B9E" w:rsidRPr="009943F9" w:rsidRDefault="00357B9E" w:rsidP="009F219D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Kod 64 789 poduzetnika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čije je sjedište u jednoj od četiri urbane aglomeracije, </w:t>
            </w: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bilo je 503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 </w:t>
            </w: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934 zaposlen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</w:t>
            </w: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što je prosječno 7,8 zaposlenih po poduzetniku.</w:t>
            </w:r>
            <w:r w:rsidR="006F5DE7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toga je najviše zaposlenih bilo kod poduzetnika sa područja U</w:t>
            </w:r>
            <w:r w:rsid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Zagreb (375 978),</w:t>
            </w:r>
            <w:r w:rsid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što je u prosjeku 8,4 zaposlena po poduzetniku,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 najmanje kod poduzetnika s područja U</w:t>
            </w:r>
            <w:r w:rsid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Osijek</w:t>
            </w:r>
            <w:r w:rsid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433592" w:rsidRP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27</w:t>
            </w:r>
            <w:r w:rsidR="006F5D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433592" w:rsidRP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331</w:t>
            </w:r>
            <w:r w:rsid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), s tim da su poduzetnici U</w:t>
            </w:r>
            <w:r w:rsidR="006F5D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 Osijek na drugom mje</w:t>
            </w:r>
            <w:r w:rsidR="009F219D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s</w:t>
            </w:r>
            <w:r w:rsidR="006F5D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tu </w:t>
            </w:r>
            <w:r w:rsidR="0043359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prema prosječnom broju zaposlenih kod poduzetnika (7,7).</w:t>
            </w:r>
          </w:p>
        </w:tc>
        <w:tc>
          <w:tcPr>
            <w:tcW w:w="2148" w:type="dxa"/>
            <w:vMerge/>
            <w:vAlign w:val="center"/>
          </w:tcPr>
          <w:p w:rsidR="00357B9E" w:rsidRDefault="00357B9E" w:rsidP="003B008C">
            <w:pPr>
              <w:tabs>
                <w:tab w:val="left" w:pos="0"/>
              </w:tabs>
              <w:ind w:right="-8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57B9E" w:rsidTr="002D1CED">
        <w:trPr>
          <w:trHeight w:val="1635"/>
        </w:trPr>
        <w:tc>
          <w:tcPr>
            <w:tcW w:w="4786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48" w:type="dxa"/>
          </w:tcPr>
          <w:p w:rsidR="007E6457" w:rsidRDefault="00357B9E" w:rsidP="00357B9E">
            <w:pPr>
              <w:tabs>
                <w:tab w:val="left" w:pos="0"/>
              </w:tabs>
              <w:spacing w:before="240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NAJNIŽA</w:t>
            </w:r>
          </w:p>
          <w:p w:rsidR="00357B9E" w:rsidRDefault="00357B9E" w:rsidP="003B008C">
            <w:pPr>
              <w:tabs>
                <w:tab w:val="left" w:pos="0"/>
              </w:tabs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7E6457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obračunana neto plaća zaposlenih 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kod </w:t>
            </w:r>
            <w:r w:rsidRPr="00BD6750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poduzetnika</w:t>
            </w:r>
          </w:p>
          <w:p w:rsidR="00357B9E" w:rsidRDefault="00357B9E" w:rsidP="003B008C">
            <w:pPr>
              <w:tabs>
                <w:tab w:val="left" w:pos="0"/>
              </w:tabs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</w:t>
            </w:r>
            <w:r w:rsidRPr="00BD6750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Osijek</w:t>
            </w:r>
          </w:p>
          <w:p w:rsidR="00357B9E" w:rsidRPr="003C7EA2" w:rsidRDefault="00357B9E" w:rsidP="00705A5A">
            <w:pPr>
              <w:tabs>
                <w:tab w:val="left" w:pos="0"/>
              </w:tabs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cs="Arial"/>
                <w:b/>
                <w:color w:val="244061" w:themeColor="accent1" w:themeShade="80"/>
                <w:sz w:val="28"/>
                <w:szCs w:val="28"/>
              </w:rPr>
              <w:t xml:space="preserve">4.210 </w:t>
            </w:r>
            <w:r w:rsidRPr="003C7EA2">
              <w:rPr>
                <w:rFonts w:cs="Arial"/>
                <w:b/>
                <w:color w:val="244061" w:themeColor="accent1" w:themeShade="80"/>
                <w:sz w:val="28"/>
                <w:szCs w:val="28"/>
              </w:rPr>
              <w:t>kn</w:t>
            </w:r>
          </w:p>
        </w:tc>
      </w:tr>
    </w:tbl>
    <w:p w:rsidR="008E7389" w:rsidRPr="00357B9E" w:rsidRDefault="008E7389" w:rsidP="00653A4C">
      <w:pPr>
        <w:widowControl w:val="0"/>
        <w:tabs>
          <w:tab w:val="left" w:pos="567"/>
        </w:tabs>
        <w:spacing w:before="180" w:after="0"/>
        <w:jc w:val="both"/>
        <w:outlineLvl w:val="1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poduzetnika na području </w:t>
      </w:r>
      <w:r w:rsidR="00550376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rban</w:t>
      </w:r>
      <w:r w:rsidR="001E3BFD"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ih aglomeracija</w:t>
      </w: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</w:p>
    <w:p w:rsidR="009D16FF" w:rsidRDefault="009D16FF" w:rsidP="00653A4C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 xml:space="preserve">U 2016. godini poduzetnici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na područjima obuhvaćenim</w:t>
      </w: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urbanim aglomeracijama iskazali su pozitivan konsolidirani financijski rezultat u iznosu od 17,6 milijarde kuna. Najveći udio u RH prema većini rezultata iskazanih u tablici 1. imaju poduzetnici sa sjedištem u Urbanoj aglomeraciji Zagreb (64,7 %).</w:t>
      </w:r>
    </w:p>
    <w:p w:rsidR="00A2230C" w:rsidRDefault="000462BD" w:rsidP="009D16FF">
      <w:pPr>
        <w:tabs>
          <w:tab w:val="left" w:pos="567"/>
        </w:tabs>
        <w:spacing w:before="120" w:after="0" w:line="288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66CDA">
        <w:rPr>
          <w:rFonts w:ascii="Arial" w:hAnsi="Arial" w:cs="Arial"/>
          <w:color w:val="244061" w:themeColor="accent1" w:themeShade="80"/>
          <w:sz w:val="20"/>
          <w:szCs w:val="20"/>
        </w:rPr>
        <w:t>Ukupan prihod koji je ostvaren u 201</w:t>
      </w:r>
      <w:r w:rsidR="00066CDA" w:rsidRPr="00066CDA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066CDA">
        <w:rPr>
          <w:rFonts w:ascii="Arial" w:hAnsi="Arial" w:cs="Arial"/>
          <w:color w:val="244061" w:themeColor="accent1" w:themeShade="80"/>
          <w:sz w:val="20"/>
          <w:szCs w:val="20"/>
        </w:rPr>
        <w:t>. godini iznosio je</w:t>
      </w:r>
      <w:r w:rsidRPr="006B206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03FBF" w:rsidRPr="006B2067">
        <w:rPr>
          <w:rFonts w:ascii="Arial" w:hAnsi="Arial" w:cs="Arial"/>
          <w:color w:val="244061" w:themeColor="accent1" w:themeShade="80"/>
          <w:sz w:val="20"/>
          <w:szCs w:val="20"/>
        </w:rPr>
        <w:t>436,9</w:t>
      </w:r>
      <w:r w:rsidRPr="006B2067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kuna, što je povećanje od </w:t>
      </w:r>
      <w:r w:rsidR="00C03FBF" w:rsidRPr="006B2067">
        <w:rPr>
          <w:rFonts w:ascii="Arial" w:hAnsi="Arial" w:cs="Arial"/>
          <w:color w:val="244061" w:themeColor="accent1" w:themeShade="80"/>
          <w:sz w:val="20"/>
          <w:szCs w:val="20"/>
        </w:rPr>
        <w:t>5,0</w:t>
      </w:r>
      <w:r w:rsidR="006E36A4" w:rsidRPr="006B206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6B2067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</w:t>
      </w:r>
      <w:r w:rsidR="000249D2" w:rsidRPr="000249D2">
        <w:t xml:space="preserve"> </w:t>
      </w:r>
      <w:r w:rsidR="000249D2" w:rsidRPr="000249D2">
        <w:rPr>
          <w:rFonts w:ascii="Arial" w:hAnsi="Arial" w:cs="Arial"/>
          <w:color w:val="244061" w:themeColor="accent1" w:themeShade="80"/>
          <w:sz w:val="20"/>
          <w:szCs w:val="20"/>
        </w:rPr>
        <w:t>i odio od 69 % u ukupnim prihodim poduzetnika na razini RH</w:t>
      </w:r>
      <w:r w:rsidRPr="006B2067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A2230C">
        <w:rPr>
          <w:rFonts w:ascii="Arial" w:hAnsi="Arial" w:cs="Arial"/>
          <w:color w:val="244061" w:themeColor="accent1" w:themeShade="80"/>
          <w:sz w:val="20"/>
          <w:szCs w:val="20"/>
        </w:rPr>
        <w:t>Poduzetnici s područja urbanih aglomeracija u 2016. god. iskazali su gubitak razdoblja u iznosu od 9,1 milijardu kuna što je 17,5 puta manje u odnosu na prethodno razdoblje (11,0 mil kn).</w:t>
      </w:r>
    </w:p>
    <w:p w:rsidR="004946AC" w:rsidRPr="003C116E" w:rsidRDefault="004946AC" w:rsidP="00433592">
      <w:pPr>
        <w:widowControl w:val="0"/>
        <w:tabs>
          <w:tab w:val="left" w:pos="1134"/>
          <w:tab w:val="center" w:pos="5812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6C39DD" w:rsidRPr="006D51E8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E5410B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rbanih aglomeracija </w:t>
      </w:r>
      <w:r w:rsidR="00E339DF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066CDA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2863"/>
        <w:gridCol w:w="1247"/>
        <w:gridCol w:w="1134"/>
        <w:gridCol w:w="1134"/>
        <w:gridCol w:w="1162"/>
        <w:gridCol w:w="1276"/>
        <w:gridCol w:w="1219"/>
      </w:tblGrid>
      <w:tr w:rsidR="006C60ED" w:rsidRPr="007C7850" w:rsidTr="00433592">
        <w:trPr>
          <w:trHeight w:val="283"/>
          <w:tblHeader/>
          <w:jc w:val="center"/>
        </w:trPr>
        <w:tc>
          <w:tcPr>
            <w:tcW w:w="2863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000000" w:fill="003366"/>
            <w:vAlign w:val="center"/>
            <w:hideMark/>
          </w:tcPr>
          <w:p w:rsidR="006C60ED" w:rsidRPr="004946AC" w:rsidRDefault="006C60ED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0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67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C60ED" w:rsidRPr="004946AC" w:rsidRDefault="00520E8F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aglomeracija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6C60ED" w:rsidRDefault="006C60ED" w:rsidP="006C6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10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UA</w:t>
            </w:r>
          </w:p>
        </w:tc>
        <w:tc>
          <w:tcPr>
            <w:tcW w:w="121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6C60ED" w:rsidRDefault="00433592" w:rsidP="0043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</w:t>
            </w:r>
            <w:r w:rsidR="006C60E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6C60ED" w:rsidRPr="007C7850" w:rsidTr="00433592">
        <w:trPr>
          <w:trHeight w:val="283"/>
          <w:tblHeader/>
          <w:jc w:val="center"/>
        </w:trPr>
        <w:tc>
          <w:tcPr>
            <w:tcW w:w="2863" w:type="dxa"/>
            <w:vMerge/>
            <w:tcBorders>
              <w:left w:val="nil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6C60ED" w:rsidRPr="004946AC" w:rsidRDefault="006C60ED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6C60ED" w:rsidRPr="004946AC" w:rsidRDefault="006C60ED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6C60ED" w:rsidRPr="004946AC" w:rsidRDefault="006C60ED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6C60ED" w:rsidRPr="004946AC" w:rsidRDefault="006C60ED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6C60ED" w:rsidRPr="004946AC" w:rsidRDefault="006C60ED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276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</w:tcPr>
          <w:p w:rsidR="006C60ED" w:rsidRPr="004946AC" w:rsidRDefault="006C60ED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C60ED" w:rsidRPr="004946AC" w:rsidRDefault="006C60ED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C03FBF" w:rsidRPr="00520E8F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20E8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C03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45.005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C03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9.640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C03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6.612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C03FBF" w:rsidRDefault="00C03FBF" w:rsidP="00C03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3.532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C03FBF" w:rsidRDefault="00C03FBF" w:rsidP="00C03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64.789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C03FBF" w:rsidRDefault="00C03FBF" w:rsidP="00C03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114.483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C03FBF" w:rsidRPr="00520E8F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20E8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375.978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59.630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40.995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27.331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503.934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853.110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C03FBF" w:rsidRPr="00520E8F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20E8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358.108.923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35.968.313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24.736.775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18.044.656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436.858.66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</w:t>
            </w: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C03FB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03FB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633.109.425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C03FBF" w:rsidRPr="00520E8F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20E8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338.039.491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34.842.305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23.504.840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17.584.041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413.970.676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602.063.828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26.837.465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2.563.747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1.670.212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869.073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31.940.497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45.702.437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6.768.032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1.437.738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438.276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408.458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9.052.505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14.656.840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22.354.716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2.183.586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1.424.890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745.805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26.708.997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38.695.898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6.803.201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1.439.498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439.210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408.703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9.090.613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14.660.642 </w:t>
            </w:r>
          </w:p>
        </w:tc>
      </w:tr>
      <w:tr w:rsidR="00C03FBF" w:rsidRPr="007C7850" w:rsidTr="00433592">
        <w:trPr>
          <w:trHeight w:val="454"/>
          <w:jc w:val="center"/>
        </w:trPr>
        <w:tc>
          <w:tcPr>
            <w:tcW w:w="28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6610AB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610A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3D176E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D176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15.551.514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3D176E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D176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744.088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3D176E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D176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985.680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3D176E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D176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337.102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3D176E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D176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17.618.384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3D176E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D176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24.035.256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54.016.727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5.504.924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5.351.870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4.009.343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68.882.863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119.433.879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66.302.139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2.620.372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1.875.150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2.553.160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73.350.822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100.350.185 </w:t>
            </w:r>
          </w:p>
        </w:tc>
      </w:tr>
      <w:tr w:rsidR="00C03FB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03FBF" w:rsidRPr="004F7B3C" w:rsidRDefault="00C03FBF" w:rsidP="00A76B10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13.090.550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1.251.404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519.632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922.114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15.783.700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03FBF" w:rsidRPr="007428CF" w:rsidRDefault="00C03FB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28C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25.225.962 </w:t>
            </w:r>
          </w:p>
        </w:tc>
      </w:tr>
      <w:tr w:rsidR="007428CF" w:rsidRPr="007C7850" w:rsidTr="00433592">
        <w:trPr>
          <w:trHeight w:val="285"/>
          <w:jc w:val="center"/>
        </w:trPr>
        <w:tc>
          <w:tcPr>
            <w:tcW w:w="28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428CF" w:rsidRPr="004F7B3C" w:rsidRDefault="007428CF" w:rsidP="005F6E29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28CF" w:rsidRPr="00CE0072" w:rsidRDefault="007428C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E007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5.890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28CF" w:rsidRPr="00CE0072" w:rsidRDefault="007428C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E007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4.580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28CF" w:rsidRPr="00CE0072" w:rsidRDefault="007428C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E007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5.158 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428CF" w:rsidRPr="00CE0072" w:rsidRDefault="007428C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E007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4.210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428CF" w:rsidRPr="00CE0072" w:rsidRDefault="007428C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E007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5.584 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428CF" w:rsidRPr="00CE0072" w:rsidRDefault="007428CF" w:rsidP="007428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CE007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5.140 </w:t>
            </w:r>
          </w:p>
        </w:tc>
      </w:tr>
    </w:tbl>
    <w:bookmarkEnd w:id="0"/>
    <w:p w:rsidR="003C7CCB" w:rsidRPr="004946AC" w:rsidRDefault="003C7CCB" w:rsidP="0038053F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066CD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Default="009F219D" w:rsidP="009F219D">
      <w:pPr>
        <w:pageBreakBefore/>
        <w:widowControl w:val="0"/>
        <w:tabs>
          <w:tab w:val="left" w:pos="567"/>
        </w:tabs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Najveći je prosječan broj zaposlenih po poduzetniku u Urbanoj aglomeraciji Zagreb (8,4), a najmanji u Urbanoj aglomeraciji Split i Rijeka (6,2).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Prosječan broj zaposlenih po poduzetniku u Urbanoj aglomeraciji Osijek (7,7) na razini je prosječnog broja zaposlenih u RH (7,5).</w:t>
      </w:r>
    </w:p>
    <w:p w:rsidR="00765899" w:rsidRDefault="006C39DD" w:rsidP="00FA0477">
      <w:pPr>
        <w:tabs>
          <w:tab w:val="left" w:pos="567"/>
          <w:tab w:val="left" w:pos="1134"/>
        </w:tabs>
        <w:spacing w:before="180" w:after="60"/>
        <w:jc w:val="both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t>Tablica 2.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43359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na područj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u Urbanih aglomeracija u 201</w:t>
      </w:r>
      <w:r w:rsidR="00066CDA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6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tbl>
      <w:tblPr>
        <w:tblW w:w="10006" w:type="dxa"/>
        <w:jc w:val="center"/>
        <w:tblInd w:w="-412" w:type="dxa"/>
        <w:tblLayout w:type="fixed"/>
        <w:tblLook w:val="04A0" w:firstRow="1" w:lastRow="0" w:firstColumn="1" w:lastColumn="0" w:noHBand="0" w:noVBand="1"/>
      </w:tblPr>
      <w:tblGrid>
        <w:gridCol w:w="4976"/>
        <w:gridCol w:w="1027"/>
        <w:gridCol w:w="1028"/>
        <w:gridCol w:w="1027"/>
        <w:gridCol w:w="1028"/>
        <w:gridCol w:w="920"/>
      </w:tblGrid>
      <w:tr w:rsidR="006C39DD" w:rsidTr="00FA0477">
        <w:trPr>
          <w:trHeight w:val="283"/>
          <w:jc w:val="center"/>
        </w:trPr>
        <w:tc>
          <w:tcPr>
            <w:tcW w:w="4976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000000" w:fill="003366"/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11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</w:p>
        </w:tc>
        <w:tc>
          <w:tcPr>
            <w:tcW w:w="92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6C39DD" w:rsidRDefault="00520E8F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6C39DD" w:rsidRPr="004946AC" w:rsidTr="009F219D">
        <w:trPr>
          <w:trHeight w:val="227"/>
          <w:jc w:val="center"/>
        </w:trPr>
        <w:tc>
          <w:tcPr>
            <w:tcW w:w="4976" w:type="dxa"/>
            <w:vMerge/>
            <w:tcBorders>
              <w:left w:val="nil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6C39DD" w:rsidRPr="004946AC" w:rsidRDefault="006C39DD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6C39DD" w:rsidRPr="004946AC" w:rsidRDefault="006C39DD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6C39DD" w:rsidRPr="004946AC" w:rsidRDefault="006C39DD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6C39DD" w:rsidRPr="004946AC" w:rsidRDefault="006C39DD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920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6C6526" w:rsidRPr="005F6E29" w:rsidTr="009F219D">
        <w:trPr>
          <w:trHeight w:val="283"/>
          <w:jc w:val="center"/>
        </w:trPr>
        <w:tc>
          <w:tcPr>
            <w:tcW w:w="49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6C6526" w:rsidRPr="004F7B3C" w:rsidRDefault="006C6526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8,4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6,2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6,2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7,7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6C6526" w:rsidRPr="00375E07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E0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7,5</w:t>
            </w:r>
          </w:p>
        </w:tc>
      </w:tr>
      <w:tr w:rsidR="006C6526" w:rsidRPr="005F6E29" w:rsidTr="009F219D">
        <w:trPr>
          <w:trHeight w:val="283"/>
          <w:jc w:val="center"/>
        </w:trPr>
        <w:tc>
          <w:tcPr>
            <w:tcW w:w="49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6C6526" w:rsidRPr="004F7B3C" w:rsidRDefault="006C6526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kn)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952.473 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603.192 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603.410 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C6526" w:rsidRPr="006C6526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52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660.227 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6C6526" w:rsidRPr="00375E07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E0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742.119 </w:t>
            </w:r>
          </w:p>
        </w:tc>
      </w:tr>
      <w:tr w:rsidR="006C6526" w:rsidRPr="005F6E29" w:rsidTr="009F219D">
        <w:trPr>
          <w:trHeight w:val="283"/>
          <w:jc w:val="center"/>
        </w:trPr>
        <w:tc>
          <w:tcPr>
            <w:tcW w:w="4976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6C6526" w:rsidRPr="004F7B3C" w:rsidRDefault="006C6526" w:rsidP="00FA0477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razdoblja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u kn)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392ACB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2A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41.363 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392ACB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2A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12.478 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526" w:rsidRPr="00392ACB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2A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24.044 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C6526" w:rsidRPr="00392ACB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2A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12.334 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6C6526" w:rsidRPr="00375E07" w:rsidRDefault="006C6526" w:rsidP="00392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E0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28.174 </w:t>
            </w:r>
          </w:p>
        </w:tc>
      </w:tr>
      <w:tr w:rsidR="004900C4" w:rsidRPr="005F6E29" w:rsidTr="009F219D">
        <w:trPr>
          <w:trHeight w:val="283"/>
          <w:jc w:val="center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900C4" w:rsidRPr="004F7B3C" w:rsidRDefault="004900C4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Ekonomičnost ukupnog poslovanja</w:t>
            </w:r>
            <w:r w:rsid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="00F1505E"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 w:rsid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00C4" w:rsidRPr="004900C4" w:rsidRDefault="004611B0" w:rsidP="00490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105,94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00C4" w:rsidRPr="004900C4" w:rsidRDefault="003E7842" w:rsidP="00490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103,23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00C4" w:rsidRPr="004900C4" w:rsidRDefault="009F4241" w:rsidP="00490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105,24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900C4" w:rsidRPr="004900C4" w:rsidRDefault="009F4241" w:rsidP="00490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102,62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4900C4" w:rsidRPr="00375E07" w:rsidRDefault="009F4241" w:rsidP="00B55B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E0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105,16</w:t>
            </w:r>
          </w:p>
        </w:tc>
      </w:tr>
      <w:tr w:rsidR="007D2A97" w:rsidRPr="005F6E29" w:rsidTr="009F219D">
        <w:trPr>
          <w:trHeight w:val="283"/>
          <w:jc w:val="center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D2A97" w:rsidRPr="006C39DD" w:rsidRDefault="007D2A97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</w:t>
            </w:r>
            <w:r w:rsid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="00F1505E"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 w:rsid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D2A97" w:rsidRPr="007D2A97" w:rsidRDefault="004611B0" w:rsidP="007D2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D2A97" w:rsidRPr="007D2A97" w:rsidRDefault="00A263AD" w:rsidP="007D2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D2A97" w:rsidRPr="007D2A97" w:rsidRDefault="004611B0" w:rsidP="007D2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D2A97" w:rsidRPr="007D2A97" w:rsidRDefault="004611B0" w:rsidP="007D2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1,06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7D2A97" w:rsidRPr="00375E07" w:rsidRDefault="00A263AD" w:rsidP="007D2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E0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1,01</w:t>
            </w:r>
          </w:p>
        </w:tc>
      </w:tr>
      <w:tr w:rsidR="006C6C13" w:rsidRPr="005F6E29" w:rsidTr="009F219D">
        <w:trPr>
          <w:trHeight w:val="283"/>
          <w:jc w:val="center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C6C13" w:rsidRPr="006C6C13" w:rsidRDefault="006C6C13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C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tekuće likvidnosti</w:t>
            </w:r>
            <w:r w:rsid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="00F1505E"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 w:rsid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C13" w:rsidRPr="006C6C13" w:rsidRDefault="004611B0" w:rsidP="006C6C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0,25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C13" w:rsidRPr="006C6C13" w:rsidRDefault="00A263AD" w:rsidP="006C6C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0,26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6C6C13" w:rsidRPr="006C6C13" w:rsidRDefault="004611B0" w:rsidP="006C6C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0,30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C6C13" w:rsidRPr="006C6C13" w:rsidRDefault="004611B0" w:rsidP="006C6C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0,31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</w:tcPr>
          <w:p w:rsidR="006C6C13" w:rsidRPr="00375E07" w:rsidRDefault="00A263AD" w:rsidP="006C6C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E07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0,27</w:t>
            </w:r>
          </w:p>
        </w:tc>
      </w:tr>
    </w:tbl>
    <w:p w:rsidR="006C39DD" w:rsidRPr="004946AC" w:rsidRDefault="006C39DD" w:rsidP="009F219D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066CD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C7CCB" w:rsidRPr="004420CF" w:rsidRDefault="0018415A" w:rsidP="009F219D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roduktivnost poduzetnika u 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Urbanoj aglomeraciji Zagreb u 201</w:t>
      </w:r>
      <w:r w:rsidR="00066CDA" w:rsidRPr="00392ACB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. godini iznosila je 9</w:t>
      </w:r>
      <w:r w:rsidR="00392ACB" w:rsidRPr="00392ACB">
        <w:rPr>
          <w:rFonts w:ascii="Arial" w:hAnsi="Arial" w:cs="Arial"/>
          <w:color w:val="244061" w:themeColor="accent1" w:themeShade="80"/>
          <w:sz w:val="20"/>
          <w:szCs w:val="20"/>
        </w:rPr>
        <w:t>52 473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tisuće kuna i za 28,</w:t>
      </w:r>
      <w:r w:rsidR="00392ACB" w:rsidRPr="00392ACB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% veća je od </w:t>
      </w:r>
      <w:r w:rsidR="004F7B3C" w:rsidRPr="00392ACB">
        <w:rPr>
          <w:rFonts w:ascii="Arial" w:hAnsi="Arial" w:cs="Arial"/>
          <w:color w:val="244061" w:themeColor="accent1" w:themeShade="80"/>
          <w:sz w:val="20"/>
          <w:szCs w:val="20"/>
        </w:rPr>
        <w:t>produktivnost poduzetnika na razini RH u 201</w:t>
      </w:r>
      <w:r w:rsidR="00066CDA" w:rsidRPr="00392ACB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4F7B3C"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godini 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F7B3C" w:rsidRPr="00392ACB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392ACB" w:rsidRPr="00392ACB">
        <w:rPr>
          <w:rFonts w:ascii="Arial" w:hAnsi="Arial" w:cs="Arial"/>
          <w:color w:val="244061" w:themeColor="accent1" w:themeShade="80"/>
          <w:sz w:val="20"/>
          <w:szCs w:val="20"/>
        </w:rPr>
        <w:t>42 112</w:t>
      </w:r>
      <w:r w:rsid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F7B3C" w:rsidRPr="00392ACB">
        <w:rPr>
          <w:rFonts w:ascii="Arial" w:hAnsi="Arial" w:cs="Arial"/>
          <w:color w:val="244061" w:themeColor="accent1" w:themeShade="80"/>
          <w:sz w:val="20"/>
          <w:szCs w:val="20"/>
        </w:rPr>
        <w:t>tisuć</w:t>
      </w:r>
      <w:r w:rsidR="00392AC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4F7B3C"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).</w:t>
      </w:r>
      <w:r w:rsidR="000822AC"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A4FF3" w:rsidRPr="004420CF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0822AC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 rada mjeren</w:t>
      </w:r>
      <w:r w:rsidR="004A4FF3" w:rsidRPr="004420C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822AC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iznosom dobiti/gubitka razdoblja po zaposlenom, u </w:t>
      </w:r>
      <w:r w:rsidR="00F64B22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Urbanoj aglomeraciji </w:t>
      </w:r>
      <w:r w:rsidR="000822AC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veća je </w:t>
      </w:r>
      <w:r w:rsidR="009F4241" w:rsidRPr="004420CF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0822AC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 puta u odnosu na </w:t>
      </w:r>
      <w:r w:rsidR="00F64B22" w:rsidRPr="004420CF">
        <w:rPr>
          <w:rFonts w:ascii="Arial" w:hAnsi="Arial" w:cs="Arial"/>
          <w:color w:val="244061" w:themeColor="accent1" w:themeShade="80"/>
          <w:sz w:val="20"/>
          <w:szCs w:val="20"/>
        </w:rPr>
        <w:t>Urban</w:t>
      </w:r>
      <w:r w:rsidR="00375E07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F64B22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 aglomeracij</w:t>
      </w:r>
      <w:r w:rsidR="00375E07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F64B22" w:rsidRPr="004420C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822AC" w:rsidRPr="004420CF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="00375E07">
        <w:rPr>
          <w:rFonts w:ascii="Arial" w:hAnsi="Arial" w:cs="Arial"/>
          <w:color w:val="244061" w:themeColor="accent1" w:themeShade="80"/>
          <w:sz w:val="20"/>
          <w:szCs w:val="20"/>
        </w:rPr>
        <w:t xml:space="preserve"> i Split i 2 puta u odnosu na Urbanu aglomeraciju Rijeka.</w:t>
      </w:r>
    </w:p>
    <w:p w:rsidR="003427FB" w:rsidRDefault="00173321" w:rsidP="009F219D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73321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pokazatelju ekonomičnosti </w:t>
      </w:r>
      <w:r w:rsidR="002A75D6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91509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poslovanja </w:t>
      </w:r>
      <w:r w:rsidRPr="003427FB">
        <w:rPr>
          <w:rFonts w:ascii="Arial" w:hAnsi="Arial" w:cs="Arial"/>
          <w:color w:val="244061" w:themeColor="accent1" w:themeShade="80"/>
          <w:sz w:val="20"/>
          <w:szCs w:val="20"/>
        </w:rPr>
        <w:t>Urban</w:t>
      </w:r>
      <w:r w:rsidR="0038053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3427FB">
        <w:rPr>
          <w:rFonts w:ascii="Arial" w:hAnsi="Arial" w:cs="Arial"/>
          <w:color w:val="244061" w:themeColor="accent1" w:themeShade="80"/>
          <w:sz w:val="20"/>
          <w:szCs w:val="20"/>
        </w:rPr>
        <w:t xml:space="preserve"> aglomeracij</w:t>
      </w:r>
      <w:r w:rsidR="0038053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3427F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B36EA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</w:t>
      </w:r>
      <w:r w:rsidR="003427FB" w:rsidRPr="00FB36EA">
        <w:rPr>
          <w:rFonts w:ascii="Arial" w:hAnsi="Arial" w:cs="Arial"/>
          <w:color w:val="244061" w:themeColor="accent1" w:themeShade="80"/>
          <w:sz w:val="20"/>
          <w:szCs w:val="20"/>
        </w:rPr>
        <w:t>(10</w:t>
      </w:r>
      <w:r w:rsidR="00FB36EA" w:rsidRPr="00FB36EA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3427FB" w:rsidRPr="00FB36E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FB36EA" w:rsidRPr="00FB36EA">
        <w:rPr>
          <w:rFonts w:ascii="Arial" w:hAnsi="Arial" w:cs="Arial"/>
          <w:color w:val="244061" w:themeColor="accent1" w:themeShade="80"/>
          <w:sz w:val="20"/>
          <w:szCs w:val="20"/>
        </w:rPr>
        <w:t>94</w:t>
      </w:r>
      <w:r w:rsidR="003427FB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%)</w:t>
      </w:r>
      <w:r w:rsidR="0038053F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FB36EA">
        <w:rPr>
          <w:rFonts w:ascii="Arial" w:hAnsi="Arial" w:cs="Arial"/>
          <w:color w:val="244061" w:themeColor="accent1" w:themeShade="80"/>
          <w:sz w:val="20"/>
          <w:szCs w:val="20"/>
        </w:rPr>
        <w:t>iskazuj</w:t>
      </w:r>
      <w:r w:rsidR="00C728F5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veće vrijednosti u odnosu na ostale </w:t>
      </w:r>
      <w:r w:rsidR="0091509F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Urbane </w:t>
      </w:r>
      <w:r w:rsidRPr="00FB36EA">
        <w:rPr>
          <w:rFonts w:ascii="Arial" w:hAnsi="Arial" w:cs="Arial"/>
          <w:color w:val="244061" w:themeColor="accent1" w:themeShade="80"/>
          <w:sz w:val="20"/>
          <w:szCs w:val="20"/>
        </w:rPr>
        <w:t>aglomeracije</w:t>
      </w:r>
      <w:r w:rsidR="0038053F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2A75D6">
        <w:rPr>
          <w:rFonts w:ascii="Arial" w:hAnsi="Arial" w:cs="Arial"/>
          <w:color w:val="244061" w:themeColor="accent1" w:themeShade="80"/>
          <w:sz w:val="20"/>
          <w:szCs w:val="20"/>
        </w:rPr>
        <w:t xml:space="preserve">Rijeka, </w:t>
      </w:r>
      <w:r w:rsidR="0038053F" w:rsidRPr="00FB36EA">
        <w:rPr>
          <w:rFonts w:ascii="Arial" w:hAnsi="Arial" w:cs="Arial"/>
          <w:color w:val="244061" w:themeColor="accent1" w:themeShade="80"/>
          <w:sz w:val="20"/>
          <w:szCs w:val="20"/>
        </w:rPr>
        <w:t>Split i Osijek) kao</w:t>
      </w:r>
      <w:r w:rsidR="0091509F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i u odnosu </w:t>
      </w:r>
      <w:r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38053F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pokazatelj ekonomičnosti </w:t>
      </w:r>
      <w:r w:rsidR="002A75D6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38053F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poslovanja </w:t>
      </w:r>
      <w:r w:rsidR="0091509F" w:rsidRPr="00FB36EA">
        <w:rPr>
          <w:rFonts w:ascii="Arial" w:hAnsi="Arial" w:cs="Arial"/>
          <w:color w:val="244061" w:themeColor="accent1" w:themeShade="80"/>
          <w:sz w:val="20"/>
          <w:szCs w:val="20"/>
        </w:rPr>
        <w:t>poduzetnika u RH (10</w:t>
      </w:r>
      <w:r w:rsidR="00FB36EA" w:rsidRPr="00FB36EA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91509F" w:rsidRPr="00FB36E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FB36EA" w:rsidRPr="00FB36EA">
        <w:rPr>
          <w:rFonts w:ascii="Arial" w:hAnsi="Arial" w:cs="Arial"/>
          <w:color w:val="244061" w:themeColor="accent1" w:themeShade="80"/>
          <w:sz w:val="20"/>
          <w:szCs w:val="20"/>
        </w:rPr>
        <w:t>16</w:t>
      </w:r>
      <w:r w:rsidR="00F64B22" w:rsidRPr="00FB36E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1509F" w:rsidRPr="00FB36EA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3427FB" w:rsidRPr="00FB36EA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C05ED4" w:rsidRPr="006D51E8" w:rsidRDefault="00C05ED4" w:rsidP="00653A4C">
      <w:pPr>
        <w:widowControl w:val="0"/>
        <w:tabs>
          <w:tab w:val="left" w:pos="1134"/>
          <w:tab w:val="left" w:pos="7655"/>
          <w:tab w:val="left" w:pos="8222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Pokazatelji ekonomičnosti </w:t>
      </w:r>
      <w:r w:rsidR="00FB36E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ukupnog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u 201</w:t>
      </w:r>
      <w:r w:rsidR="001651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9F2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CE007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C05ED4" w:rsidRDefault="00C05ED4" w:rsidP="009F219D">
      <w:pPr>
        <w:tabs>
          <w:tab w:val="left" w:pos="1134"/>
          <w:tab w:val="left" w:pos="7655"/>
          <w:tab w:val="left" w:pos="8222"/>
        </w:tabs>
        <w:spacing w:before="20"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u % na </w:t>
      </w:r>
      <w:r w:rsidR="00FB36EA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dvije decimale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C05ED4" w:rsidRPr="009F219D" w:rsidRDefault="00F42486" w:rsidP="009F219D">
      <w:pPr>
        <w:tabs>
          <w:tab w:val="left" w:pos="567"/>
        </w:tabs>
        <w:spacing w:after="0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20"/>
          <w:szCs w:val="20"/>
          <w:lang w:eastAsia="hr-HR"/>
        </w:rPr>
        <w:drawing>
          <wp:inline distT="0" distB="0" distL="0" distR="0" wp14:anchorId="69B6632E" wp14:editId="1507CC42">
            <wp:extent cx="5868000" cy="2088000"/>
            <wp:effectExtent l="0" t="0" r="0" b="7620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ED4" w:rsidRPr="004946AC" w:rsidRDefault="00C05ED4" w:rsidP="009F219D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16514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Default="009F219D" w:rsidP="009F219D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Prema koeficijentu financijske stabilnosti najbolja je Urbana aglomeracija Zagreb (0,99 %), dok je prema koeficijentu tekuće likvidnosti najbolja Urbana aglomeracija Osijek (0,31 %).</w:t>
      </w:r>
    </w:p>
    <w:p w:rsidR="00173321" w:rsidRDefault="007D3434" w:rsidP="00653A4C">
      <w:pPr>
        <w:tabs>
          <w:tab w:val="left" w:pos="1134"/>
          <w:tab w:val="left" w:pos="7655"/>
          <w:tab w:val="left" w:pos="8222"/>
        </w:tabs>
        <w:spacing w:before="180" w:after="6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Pokazatelji </w:t>
      </w:r>
      <w:r w:rsidR="00FB386D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uspješnosti 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poslovanja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1651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 na razini Urbanih aglomeracija</w:t>
      </w:r>
      <w:r w:rsidR="007965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173321"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 w:rsidR="00A26BB1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 % na dvije decimale</w:t>
      </w:r>
      <w:r w:rsidR="00173321"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tbl>
      <w:tblPr>
        <w:tblW w:w="994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07"/>
        <w:gridCol w:w="992"/>
        <w:gridCol w:w="992"/>
        <w:gridCol w:w="820"/>
        <w:gridCol w:w="964"/>
        <w:gridCol w:w="964"/>
        <w:gridCol w:w="964"/>
        <w:gridCol w:w="1134"/>
        <w:gridCol w:w="1134"/>
      </w:tblGrid>
      <w:tr w:rsidR="007D0A08" w:rsidRPr="007C7850" w:rsidTr="009F219D">
        <w:trPr>
          <w:trHeight w:val="397"/>
          <w:tblHeader/>
          <w:jc w:val="center"/>
        </w:trPr>
        <w:tc>
          <w:tcPr>
            <w:tcW w:w="1984" w:type="dxa"/>
            <w:gridSpan w:val="2"/>
            <w:shd w:val="clear" w:color="000000" w:fill="003366"/>
            <w:noWrap/>
            <w:vAlign w:val="center"/>
          </w:tcPr>
          <w:p w:rsidR="007D0A08" w:rsidRPr="007D3434" w:rsidRDefault="007D0A08" w:rsidP="007D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84" w:type="dxa"/>
            <w:gridSpan w:val="2"/>
            <w:shd w:val="clear" w:color="000000" w:fill="003366"/>
            <w:noWrap/>
            <w:vAlign w:val="center"/>
          </w:tcPr>
          <w:p w:rsidR="007D0A08" w:rsidRPr="007D3434" w:rsidRDefault="007D0A08" w:rsidP="00B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</w:t>
            </w:r>
            <w:r w:rsidR="00F15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redovnog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poslovanja</w:t>
            </w:r>
            <w:bookmarkStart w:id="1" w:name="_GoBack"/>
            <w:bookmarkEnd w:id="1"/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84" w:type="dxa"/>
            <w:gridSpan w:val="2"/>
            <w:shd w:val="clear" w:color="000000" w:fill="003366"/>
            <w:noWrap/>
            <w:vAlign w:val="center"/>
          </w:tcPr>
          <w:p w:rsidR="007D0A08" w:rsidRPr="007D3434" w:rsidRDefault="00FA0477" w:rsidP="00A26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prometa neto</w:t>
            </w:r>
            <w:r w:rsidR="007D0A08"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shd w:val="clear" w:color="000000" w:fill="003366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000000" w:fill="003366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7D0A08" w:rsidRPr="007C7850" w:rsidTr="009F219D">
        <w:trPr>
          <w:trHeight w:val="567"/>
          <w:tblHeader/>
          <w:jc w:val="center"/>
        </w:trPr>
        <w:tc>
          <w:tcPr>
            <w:tcW w:w="107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3434" w:rsidRDefault="007D0A08" w:rsidP="0065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</w:t>
            </w:r>
            <w:r w:rsidR="00CD1F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3434" w:rsidRDefault="007D0A08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uz.</w:t>
            </w:r>
          </w:p>
        </w:tc>
        <w:tc>
          <w:tcPr>
            <w:tcW w:w="1984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784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(dobit ili gubitak razdoblja /ukupni prihod)*100)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razdoblja / ukupna aktiva)*100) </w:t>
            </w:r>
          </w:p>
        </w:tc>
        <w:tc>
          <w:tcPr>
            <w:tcW w:w="226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razdoblja / (kapital i rezerve + rezerviranja)) *100) </w:t>
            </w:r>
          </w:p>
        </w:tc>
      </w:tr>
      <w:tr w:rsidR="007D0A08" w:rsidRPr="007C7850" w:rsidTr="009F219D">
        <w:trPr>
          <w:trHeight w:val="255"/>
          <w:tblHeader/>
          <w:jc w:val="center"/>
        </w:trPr>
        <w:tc>
          <w:tcPr>
            <w:tcW w:w="107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7D0A08" w:rsidRPr="007D3434" w:rsidRDefault="007D0A08" w:rsidP="007C7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7D0A08" w:rsidRPr="007D3434" w:rsidRDefault="007D0A08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0A08" w:rsidRDefault="007D0A08" w:rsidP="00165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1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DB6D36" w:rsidRPr="007C7850" w:rsidTr="009F219D">
        <w:trPr>
          <w:trHeight w:val="255"/>
          <w:jc w:val="center"/>
        </w:trPr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DB6D36" w:rsidRPr="007D3434" w:rsidRDefault="00DB6D36" w:rsidP="007D343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45.005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106,37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2,89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4,34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5,28</w:t>
            </w:r>
          </w:p>
        </w:tc>
      </w:tr>
      <w:tr w:rsidR="00DB6D36" w:rsidRPr="007C7850" w:rsidTr="009F219D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B6D36" w:rsidRPr="007D3434" w:rsidRDefault="00DB6D36" w:rsidP="007D3434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9.640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104,49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104,90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1,83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2,07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1,16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1,35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4,90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5,48</w:t>
            </w:r>
          </w:p>
        </w:tc>
      </w:tr>
      <w:tr w:rsidR="00DB6D36" w:rsidRPr="007C7850" w:rsidTr="009F219D">
        <w:trPr>
          <w:trHeight w:val="255"/>
          <w:jc w:val="center"/>
        </w:trPr>
        <w:tc>
          <w:tcPr>
            <w:tcW w:w="1077" w:type="dxa"/>
            <w:shd w:val="clear" w:color="auto" w:fill="DBE5F1" w:themeFill="accent1" w:themeFillTint="33"/>
            <w:noWrap/>
            <w:vAlign w:val="center"/>
            <w:hideMark/>
          </w:tcPr>
          <w:p w:rsidR="00DB6D36" w:rsidRPr="00CE0072" w:rsidRDefault="00DB6D36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907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6.612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106,42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107,28</w:t>
            </w:r>
          </w:p>
        </w:tc>
        <w:tc>
          <w:tcPr>
            <w:tcW w:w="820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3,05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3,98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2,26</w:t>
            </w:r>
          </w:p>
        </w:tc>
        <w:tc>
          <w:tcPr>
            <w:tcW w:w="964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2,92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7,39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="00DB6D36" w:rsidRPr="00CE0072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CE0072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9,13</w:t>
            </w:r>
          </w:p>
        </w:tc>
      </w:tr>
      <w:tr w:rsidR="00DB6D36" w:rsidRPr="007C7850" w:rsidTr="009F219D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B6D36" w:rsidRPr="007D3434" w:rsidRDefault="00DB6D36" w:rsidP="004C662B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O</w:t>
            </w:r>
            <w:r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sijek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3.532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103,39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103,81</w:t>
            </w:r>
          </w:p>
        </w:tc>
        <w:tc>
          <w:tcPr>
            <w:tcW w:w="820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1,14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1,87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0,85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1,46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2,75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4,80</w:t>
            </w:r>
          </w:p>
        </w:tc>
      </w:tr>
      <w:tr w:rsidR="00DB6D36" w:rsidRPr="007C7850" w:rsidTr="009F219D">
        <w:trPr>
          <w:trHeight w:val="255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6D36" w:rsidRPr="007D0A08" w:rsidRDefault="00DB6D36" w:rsidP="007D3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114.483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104,71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106,00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2,89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3,80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1,69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2,24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4,28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DB6D36" w:rsidRPr="00DB6D36" w:rsidRDefault="00DB6D36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DB6D36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5,54</w:t>
            </w:r>
          </w:p>
        </w:tc>
      </w:tr>
    </w:tbl>
    <w:p w:rsidR="003C7CCB" w:rsidRPr="004946AC" w:rsidRDefault="003C7CCB" w:rsidP="009F219D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16514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Pr="00DB6D36" w:rsidRDefault="009F219D" w:rsidP="009F219D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Financijski pokazatelji profitabilnosti poduzetnika s područja </w:t>
      </w:r>
      <w:r w:rsidRPr="007B4F6C">
        <w:rPr>
          <w:rFonts w:ascii="Arial" w:hAnsi="Arial" w:cs="Arial"/>
          <w:color w:val="244061" w:themeColor="accent1" w:themeShade="80"/>
          <w:sz w:val="20"/>
          <w:szCs w:val="20"/>
        </w:rPr>
        <w:t>Urban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7B4F6C">
        <w:rPr>
          <w:rFonts w:ascii="Arial" w:hAnsi="Arial" w:cs="Arial"/>
          <w:color w:val="244061" w:themeColor="accent1" w:themeShade="80"/>
          <w:sz w:val="20"/>
          <w:szCs w:val="20"/>
        </w:rPr>
        <w:t xml:space="preserve"> aglomeracij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7B4F6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Rijeka (ekonomičnost redovnog poslovanja, rentabilnosti ukupne imovine neto te rentabilnosti vlastitog kapitala) bolji su u odnosu na </w:t>
      </w:r>
      <w:r w:rsidRPr="00DB6D36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financijske pokazatelje poduzetnika u ostalim urbanim aglomeracijama, dok je Urbana aglomeracija Zagreb iskazala najbolji pokazatelj rentabilnosti prometa neto.</w:t>
      </w:r>
    </w:p>
    <w:p w:rsidR="009E77E8" w:rsidRPr="00DB6D36" w:rsidRDefault="00416765" w:rsidP="009F219D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C7CCB">
        <w:rPr>
          <w:rFonts w:ascii="Arial" w:hAnsi="Arial" w:cs="Arial"/>
          <w:color w:val="244061" w:themeColor="accent1" w:themeShade="80"/>
          <w:sz w:val="20"/>
          <w:szCs w:val="20"/>
        </w:rPr>
        <w:t>Najveća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</w:t>
      </w:r>
      <w:r w:rsidR="003912E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rosječna 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neto plaća </w:t>
      </w:r>
      <w:r w:rsidR="00E339D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201</w:t>
      </w:r>
      <w:r w:rsidR="0016514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5B59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F56A6D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Urbane aglomeracije </w:t>
      </w:r>
      <w:r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i 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iznosila je </w:t>
      </w:r>
      <w:r w:rsidRPr="00DB6D36">
        <w:rPr>
          <w:rFonts w:ascii="Arial" w:hAnsi="Arial" w:cs="Arial"/>
          <w:color w:val="244061" w:themeColor="accent1" w:themeShade="80"/>
          <w:sz w:val="20"/>
          <w:szCs w:val="20"/>
        </w:rPr>
        <w:t>5.</w:t>
      </w:r>
      <w:r w:rsidR="00DB6D36" w:rsidRPr="00DB6D36">
        <w:rPr>
          <w:rFonts w:ascii="Arial" w:hAnsi="Arial" w:cs="Arial"/>
          <w:color w:val="244061" w:themeColor="accent1" w:themeShade="80"/>
          <w:sz w:val="20"/>
          <w:szCs w:val="20"/>
        </w:rPr>
        <w:t>890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odnosno </w:t>
      </w:r>
      <w:r w:rsidR="007B4F6C" w:rsidRPr="00DB6D36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DB6D36" w:rsidRPr="00DB6D36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7B4F6C" w:rsidRPr="00DB6D3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DB6D36" w:rsidRPr="00DB6D36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F64B22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% više 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>od iznosa prosječne mjesečne neto plaće zaposlenih</w:t>
      </w:r>
      <w:r w:rsidR="003912E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kod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Urbane aglomeracije Split, </w:t>
      </w:r>
      <w:r w:rsidR="00DB6D36" w:rsidRPr="00DB6D36">
        <w:rPr>
          <w:rFonts w:ascii="Arial" w:hAnsi="Arial" w:cs="Arial"/>
          <w:color w:val="244061" w:themeColor="accent1" w:themeShade="80"/>
          <w:sz w:val="20"/>
          <w:szCs w:val="20"/>
        </w:rPr>
        <w:t>14,2</w:t>
      </w:r>
      <w:r w:rsidR="00F64B22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 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>od iznosa prosječne mjesečne neto plaće zaposlenih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912E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Urbane aglomeracije Rijeka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te </w:t>
      </w:r>
      <w:r w:rsidR="00DB6D36" w:rsidRPr="00DB6D36">
        <w:rPr>
          <w:rFonts w:ascii="Arial" w:hAnsi="Arial" w:cs="Arial"/>
          <w:color w:val="244061" w:themeColor="accent1" w:themeShade="80"/>
          <w:sz w:val="20"/>
          <w:szCs w:val="20"/>
        </w:rPr>
        <w:t>39,9</w:t>
      </w:r>
      <w:r w:rsidR="00F64B22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F56A6D" w:rsidRPr="00DB6D36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 od iznosa prosječne mjesečne neto plaće zaposlenih </w:t>
      </w:r>
      <w:r w:rsidR="003912E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480B0A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</w:t>
      </w:r>
      <w:r w:rsidR="00DC6008" w:rsidRPr="00DB6D36">
        <w:rPr>
          <w:rFonts w:ascii="Arial" w:hAnsi="Arial" w:cs="Arial"/>
          <w:color w:val="244061" w:themeColor="accent1" w:themeShade="80"/>
          <w:sz w:val="20"/>
          <w:szCs w:val="20"/>
        </w:rPr>
        <w:t>Urbane aglomeracije Osijek</w:t>
      </w:r>
      <w:r w:rsidR="00765899" w:rsidRPr="00DB6D3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E1622B" w:rsidRDefault="00E1622B" w:rsidP="00653A4C">
      <w:pPr>
        <w:tabs>
          <w:tab w:val="left" w:pos="567"/>
          <w:tab w:val="left" w:pos="1134"/>
          <w:tab w:val="left" w:pos="8931"/>
        </w:tabs>
        <w:spacing w:before="180" w:after="4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D51E8">
        <w:rPr>
          <w:rFonts w:ascii="Arial" w:hAnsi="Arial" w:cs="Arial"/>
          <w:b/>
          <w:color w:val="244061" w:themeColor="accent1" w:themeShade="80"/>
          <w:sz w:val="18"/>
          <w:szCs w:val="18"/>
        </w:rPr>
        <w:t>Grafikon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C05ED4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Prosječna mjesečna neto plaća po zaposlenom u 201</w:t>
      </w:r>
      <w:r w:rsidR="001651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 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aglomeracij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ma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kn)</w:t>
      </w:r>
    </w:p>
    <w:p w:rsidR="00F36406" w:rsidRPr="00E1622B" w:rsidRDefault="00DB6D36" w:rsidP="006D51E8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6733ACB5" wp14:editId="44758674">
            <wp:extent cx="5713171" cy="2179929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368" cy="21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7D0A08" w:rsidRDefault="00713E71" w:rsidP="00520E8F">
      <w:pPr>
        <w:spacing w:before="40" w:after="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E1622B" w:rsidRPr="007D0A08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520E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16514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="00520E8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D72C1" w:rsidRPr="005B590A" w:rsidRDefault="006D51E8" w:rsidP="00252FC8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5B59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prosječna mjesečna neto plaća kod poduzetnika </w:t>
      </w:r>
      <w:r w:rsidR="00252FC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</w:t>
      </w:r>
      <w:r w:rsidR="00252FC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oj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aglomeracij</w:t>
      </w:r>
      <w:r w:rsidR="00252FC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7840B5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Zagreb</w:t>
      </w:r>
      <w:r w:rsidR="00252FC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201</w:t>
      </w:r>
      <w:r w:rsidR="0016514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5B590A">
        <w:rPr>
          <w:rFonts w:ascii="Arial" w:hAnsi="Arial" w:cs="Arial"/>
          <w:color w:val="244061" w:themeColor="accent1" w:themeShade="80"/>
          <w:sz w:val="20"/>
          <w:szCs w:val="20"/>
        </w:rPr>
        <w:t>godini (5.</w:t>
      </w:r>
      <w:r w:rsidR="005B590A" w:rsidRPr="005B590A">
        <w:rPr>
          <w:rFonts w:ascii="Arial" w:hAnsi="Arial" w:cs="Arial"/>
          <w:color w:val="244061" w:themeColor="accent1" w:themeShade="80"/>
          <w:sz w:val="20"/>
          <w:szCs w:val="20"/>
        </w:rPr>
        <w:t>890</w:t>
      </w:r>
      <w:r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 veća je za 14,</w:t>
      </w:r>
      <w:r w:rsidR="005B590A" w:rsidRPr="005B590A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% od prosječne obračunane mjesečne neto plaće zaposlenih kod poduzetnika na razini RH (5.</w:t>
      </w:r>
      <w:r w:rsidR="005B590A" w:rsidRPr="005B590A">
        <w:rPr>
          <w:rFonts w:ascii="Arial" w:hAnsi="Arial" w:cs="Arial"/>
          <w:color w:val="244061" w:themeColor="accent1" w:themeShade="80"/>
          <w:sz w:val="20"/>
          <w:szCs w:val="20"/>
        </w:rPr>
        <w:t>140</w:t>
      </w:r>
      <w:r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kuna).</w:t>
      </w:r>
      <w:r w:rsidR="00252FC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D72C1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Najniža prosječna </w:t>
      </w:r>
      <w:r w:rsidR="00163545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mjesečna </w:t>
      </w:r>
      <w:r w:rsidR="007D72C1" w:rsidRPr="005B590A">
        <w:rPr>
          <w:rFonts w:ascii="Arial" w:hAnsi="Arial" w:cs="Arial"/>
          <w:color w:val="244061" w:themeColor="accent1" w:themeShade="80"/>
          <w:sz w:val="20"/>
          <w:szCs w:val="20"/>
        </w:rPr>
        <w:t>neto plaća obračuna</w:t>
      </w:r>
      <w:r w:rsidR="005B590A">
        <w:rPr>
          <w:rFonts w:ascii="Arial" w:hAnsi="Arial" w:cs="Arial"/>
          <w:color w:val="244061" w:themeColor="accent1" w:themeShade="80"/>
          <w:sz w:val="20"/>
          <w:szCs w:val="20"/>
        </w:rPr>
        <w:t>t</w:t>
      </w:r>
      <w:r w:rsidR="007D72C1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a je zaposlenima </w:t>
      </w:r>
      <w:r w:rsidR="00252FC8">
        <w:rPr>
          <w:rFonts w:ascii="Arial" w:hAnsi="Arial" w:cs="Arial"/>
          <w:color w:val="244061" w:themeColor="accent1" w:themeShade="80"/>
          <w:sz w:val="20"/>
          <w:szCs w:val="20"/>
        </w:rPr>
        <w:t xml:space="preserve">kod poduzetnika sa sjedištem na području </w:t>
      </w:r>
      <w:r w:rsidR="00C64F46" w:rsidRPr="005B590A">
        <w:rPr>
          <w:rFonts w:ascii="Arial" w:hAnsi="Arial" w:cs="Arial"/>
          <w:color w:val="244061" w:themeColor="accent1" w:themeShade="80"/>
          <w:sz w:val="20"/>
          <w:szCs w:val="20"/>
        </w:rPr>
        <w:t>Urban</w:t>
      </w:r>
      <w:r w:rsidR="00252FC8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C64F46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aglomeracij</w:t>
      </w:r>
      <w:r w:rsidR="00252FC8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C64F46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Osijek</w:t>
      </w:r>
      <w:r w:rsidR="007D72C1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C64F46" w:rsidRPr="005B590A">
        <w:rPr>
          <w:rFonts w:ascii="Arial" w:hAnsi="Arial" w:cs="Arial"/>
          <w:color w:val="244061" w:themeColor="accent1" w:themeShade="80"/>
          <w:sz w:val="20"/>
          <w:szCs w:val="20"/>
        </w:rPr>
        <w:t>4.</w:t>
      </w:r>
      <w:r w:rsidR="005B590A" w:rsidRPr="005B590A">
        <w:rPr>
          <w:rFonts w:ascii="Arial" w:hAnsi="Arial" w:cs="Arial"/>
          <w:color w:val="244061" w:themeColor="accent1" w:themeShade="80"/>
          <w:sz w:val="20"/>
          <w:szCs w:val="20"/>
        </w:rPr>
        <w:t>210</w:t>
      </w:r>
      <w:r w:rsidR="007D72C1" w:rsidRPr="005B590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</w:t>
      </w:r>
      <w:r w:rsidR="0018415A" w:rsidRPr="005B590A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132FFE" w:rsidRPr="00132FFE" w:rsidRDefault="00132FFE" w:rsidP="00132FFE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B24003" w:rsidRPr="00132FFE" w:rsidRDefault="00B24003" w:rsidP="00B24003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B24003" w:rsidRPr="007D1396" w:rsidRDefault="00B24003" w:rsidP="00B24003">
      <w:pPr>
        <w:spacing w:before="60" w:after="0"/>
        <w:jc w:val="both"/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  <w:t>O urbanim aglomeracijama i većim i manjim urbanim područjima</w:t>
      </w:r>
    </w:p>
    <w:p w:rsidR="00B24003" w:rsidRPr="007D1396" w:rsidRDefault="00B24003" w:rsidP="00653A4C">
      <w:pPr>
        <w:spacing w:before="120" w:after="0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Izdvajanje urbanih (i ruralnih odnosno ruralnih i mješovitih) područja predstavlja jedan od izazovnijih zadataka suvremene politike regionalnog razvoja. Vrlo često se urbana područja odnosno granice urbanih područja određuju ovisno o namjeni i nisu izdvojena jednom jedinstvenom definicijom. Za politiku regionalnog razvoja izdvajanje urbanih područja znači naći kompromis između različitih sektora, lokalnih želja za uključivanjem/isključivanjem dijela teritorija u urbani prostor i administrativnih granica (koje osiguravaju pravo odlučivanja u nekom prostoru). Zakon o regionalnom razvoju odredio je tri tipa urbanih područja</w:t>
      </w:r>
      <w:r w:rsidRPr="007D1396">
        <w:rPr>
          <w:rFonts w:ascii="Arial" w:eastAsia="Times New Roman" w:hAnsi="Arial" w:cs="Arial"/>
          <w:color w:val="244061" w:themeColor="accent1" w:themeShade="80"/>
          <w:sz w:val="18"/>
          <w:szCs w:val="18"/>
          <w:vertAlign w:val="superscript"/>
          <w:lang w:eastAsia="hr-HR"/>
        </w:rPr>
        <w:footnoteReference w:id="1"/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:</w:t>
      </w:r>
      <w:r w:rsidR="00AB124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</w:t>
      </w:r>
    </w:p>
    <w:p w:rsidR="00B24003" w:rsidRPr="007D1396" w:rsidRDefault="00B24003" w:rsidP="00361944">
      <w:pPr>
        <w:widowControl w:val="0"/>
        <w:numPr>
          <w:ilvl w:val="0"/>
          <w:numId w:val="1"/>
        </w:numPr>
        <w:tabs>
          <w:tab w:val="left" w:pos="567"/>
        </w:tabs>
        <w:spacing w:before="120" w:after="0"/>
        <w:ind w:left="714" w:hanging="357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4 gradske aglomeracije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(sjedišta u Zagrebu, Splitu, Rijeci i Osijeku)</w:t>
      </w:r>
      <w:r w:rsidR="00E41D49">
        <w:rPr>
          <w:rStyle w:val="FootnoteReference"/>
          <w:rFonts w:ascii="Arial" w:eastAsia="Times New Roman" w:hAnsi="Arial" w:cs="Arial"/>
          <w:color w:val="244061"/>
          <w:sz w:val="18"/>
          <w:szCs w:val="18"/>
          <w:lang w:eastAsia="hr-HR"/>
        </w:rPr>
        <w:footnoteReference w:id="2"/>
      </w:r>
    </w:p>
    <w:p w:rsidR="00B24003" w:rsidRPr="007D1396" w:rsidRDefault="00B24003" w:rsidP="00653A4C">
      <w:pPr>
        <w:numPr>
          <w:ilvl w:val="0"/>
          <w:numId w:val="1"/>
        </w:numPr>
        <w:spacing w:after="0"/>
        <w:ind w:left="567" w:hanging="210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veća urban</w:t>
      </w:r>
      <w:r w:rsidRPr="00653A4C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a</w:t>
      </w: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područja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- gradovi koji na razini jedinica lokalne samouprave imaju više od 35</w:t>
      </w:r>
      <w:r>
        <w:rPr>
          <w:rFonts w:ascii="Arial" w:eastAsia="Times New Roman" w:hAnsi="Arial" w:cs="Arial"/>
          <w:color w:val="244061"/>
          <w:sz w:val="18"/>
          <w:szCs w:val="18"/>
          <w:lang w:eastAsia="hr-HR"/>
        </w:rPr>
        <w:t> 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000 stanovnika, a nisu uključeni u urbane aglomeracije</w:t>
      </w:r>
    </w:p>
    <w:p w:rsidR="00B24003" w:rsidRPr="007D1396" w:rsidRDefault="00B24003" w:rsidP="009F219D">
      <w:pPr>
        <w:numPr>
          <w:ilvl w:val="0"/>
          <w:numId w:val="1"/>
        </w:numPr>
        <w:spacing w:before="60" w:after="0"/>
        <w:ind w:left="567" w:hanging="210"/>
        <w:jc w:val="both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manja urbana područja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- gradovi koji imaju manje od 35</w:t>
      </w:r>
      <w:r>
        <w:rPr>
          <w:rFonts w:ascii="Arial" w:eastAsia="Times New Roman" w:hAnsi="Arial" w:cs="Arial"/>
          <w:color w:val="244061"/>
          <w:sz w:val="18"/>
          <w:szCs w:val="18"/>
          <w:lang w:eastAsia="hr-HR"/>
        </w:rPr>
        <w:t> 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000 stanovnika, ali njihova središnja naselja imaju više od 10</w:t>
      </w:r>
      <w:r>
        <w:rPr>
          <w:rFonts w:ascii="Arial" w:eastAsia="Times New Roman" w:hAnsi="Arial" w:cs="Arial"/>
          <w:color w:val="244061"/>
          <w:sz w:val="18"/>
          <w:szCs w:val="18"/>
          <w:lang w:eastAsia="hr-HR"/>
        </w:rPr>
        <w:t> 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000 stanovnika ili su sjedišta županija.</w:t>
      </w:r>
    </w:p>
    <w:p w:rsidR="00B24003" w:rsidRPr="00CF0673" w:rsidRDefault="00B24003" w:rsidP="009F219D">
      <w:pPr>
        <w:pBdr>
          <w:bottom w:val="single" w:sz="12" w:space="1" w:color="auto"/>
        </w:pBdr>
        <w:spacing w:after="0"/>
        <w:jc w:val="both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B24003" w:rsidRPr="009F219D" w:rsidRDefault="00B24003" w:rsidP="009F219D">
      <w:pPr>
        <w:spacing w:before="120" w:after="0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12" w:history="1">
        <w:r w:rsidRPr="009F219D">
          <w:rPr>
            <w:rFonts w:ascii="Arial" w:eastAsia="Times New Roman" w:hAnsi="Arial"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2016. g. </w:t>
      </w:r>
    </w:p>
    <w:p w:rsidR="00B24003" w:rsidRPr="009F219D" w:rsidRDefault="00B24003" w:rsidP="009F219D">
      <w:pPr>
        <w:spacing w:before="60" w:after="0"/>
        <w:jc w:val="both"/>
        <w:rPr>
          <w:rFonts w:ascii="Arial" w:eastAsia="Calibri" w:hAnsi="Arial" w:cs="Arial"/>
          <w:i/>
          <w:color w:val="0000FF"/>
          <w:sz w:val="17"/>
          <w:szCs w:val="17"/>
          <w:u w:val="single"/>
          <w:lang w:eastAsia="hr-HR"/>
        </w:rPr>
      </w:pPr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9F219D">
        <w:rPr>
          <w:rFonts w:ascii="Arial" w:eastAsia="Calibri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13" w:history="1">
        <w:r w:rsidRPr="009F219D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9F219D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9F219D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9F219D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14" w:history="1">
        <w:r w:rsidRPr="009F219D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p w:rsidR="00520E8F" w:rsidRPr="009F219D" w:rsidRDefault="00132FFE" w:rsidP="009F219D">
      <w:pPr>
        <w:spacing w:before="60" w:after="0"/>
        <w:jc w:val="both"/>
        <w:rPr>
          <w:rFonts w:ascii="Arial" w:eastAsia="Calibri" w:hAnsi="Arial" w:cs="Arial"/>
          <w:bCs/>
          <w:i/>
          <w:color w:val="17365D"/>
          <w:sz w:val="17"/>
          <w:szCs w:val="17"/>
        </w:rPr>
      </w:pPr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15" w:history="1">
        <w:r w:rsidRPr="009F219D">
          <w:rPr>
            <w:rFonts w:ascii="Arial" w:eastAsia="Calibri" w:hAnsi="Arial"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16" w:history="1">
        <w:r w:rsidRPr="009F219D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17" w:history="1">
        <w:r w:rsidRPr="009F219D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sectPr w:rsidR="00520E8F" w:rsidRPr="009F219D" w:rsidSect="009F219D">
      <w:headerReference w:type="default" r:id="rId18"/>
      <w:pgSz w:w="11906" w:h="16838"/>
      <w:pgMar w:top="1134" w:right="907" w:bottom="1021" w:left="102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86" w:rsidRDefault="00F40486" w:rsidP="008E7389">
      <w:pPr>
        <w:spacing w:after="0" w:line="240" w:lineRule="auto"/>
      </w:pPr>
      <w:r>
        <w:separator/>
      </w:r>
    </w:p>
  </w:endnote>
  <w:endnote w:type="continuationSeparator" w:id="0">
    <w:p w:rsidR="00F40486" w:rsidRDefault="00F40486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86" w:rsidRDefault="00F40486" w:rsidP="008E7389">
      <w:pPr>
        <w:spacing w:after="0" w:line="240" w:lineRule="auto"/>
      </w:pPr>
      <w:r>
        <w:separator/>
      </w:r>
    </w:p>
  </w:footnote>
  <w:footnote w:type="continuationSeparator" w:id="0">
    <w:p w:rsidR="00F40486" w:rsidRDefault="00F40486" w:rsidP="008E7389">
      <w:pPr>
        <w:spacing w:after="0" w:line="240" w:lineRule="auto"/>
      </w:pPr>
      <w:r>
        <w:continuationSeparator/>
      </w:r>
    </w:p>
  </w:footnote>
  <w:footnote w:id="1">
    <w:p w:rsidR="00B24003" w:rsidRPr="007D1396" w:rsidRDefault="00B24003" w:rsidP="00E41D49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7D1396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7D1396">
        <w:rPr>
          <w:rFonts w:ascii="Arial" w:hAnsi="Arial" w:cs="Arial"/>
          <w:color w:val="244061" w:themeColor="accent1" w:themeShade="80"/>
          <w:sz w:val="17"/>
          <w:szCs w:val="17"/>
        </w:rPr>
        <w:t xml:space="preserve"> Regionalni razvoj, preuzeto 19.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rujna </w:t>
      </w:r>
      <w:r w:rsidRPr="007D1396">
        <w:rPr>
          <w:rFonts w:ascii="Arial" w:hAnsi="Arial" w:cs="Arial"/>
          <w:color w:val="244061" w:themeColor="accent1" w:themeShade="80"/>
          <w:sz w:val="17"/>
          <w:szCs w:val="17"/>
        </w:rPr>
        <w:t xml:space="preserve">2016. </w:t>
      </w:r>
      <w:hyperlink r:id="rId1" w:history="1">
        <w:r w:rsidRPr="007D1396">
          <w:rPr>
            <w:rStyle w:val="Hyperlink"/>
            <w:rFonts w:ascii="Arial" w:hAnsi="Arial" w:cs="Arial"/>
            <w:sz w:val="17"/>
            <w:szCs w:val="17"/>
          </w:rPr>
          <w:t>mailto:http://regionalni.weebly.com/urbana-podru269ja.html</w:t>
        </w:r>
      </w:hyperlink>
      <w:r w:rsidRPr="007D1396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</w:p>
  </w:footnote>
  <w:footnote w:id="2">
    <w:p w:rsidR="00E41D49" w:rsidRPr="00653A4C" w:rsidRDefault="00E41D49" w:rsidP="00653A4C">
      <w:pPr>
        <w:tabs>
          <w:tab w:val="left" w:pos="567"/>
        </w:tabs>
        <w:spacing w:before="4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361944">
        <w:rPr>
          <w:rStyle w:val="FootnoteReference"/>
          <w:rFonts w:ascii="Arial" w:hAnsi="Arial" w:cs="Arial"/>
          <w:sz w:val="17"/>
          <w:szCs w:val="17"/>
        </w:rPr>
        <w:footnoteRef/>
      </w:r>
      <w:r w:rsidRPr="00361944">
        <w:rPr>
          <w:rFonts w:ascii="Arial" w:hAnsi="Arial" w:cs="Arial"/>
          <w:b/>
          <w:sz w:val="17"/>
          <w:szCs w:val="17"/>
        </w:rPr>
        <w:t xml:space="preserve"> </w:t>
      </w:r>
      <w:r w:rsidRPr="00361944">
        <w:rPr>
          <w:rFonts w:ascii="Arial" w:hAnsi="Arial" w:cs="Arial"/>
          <w:b/>
          <w:color w:val="244061" w:themeColor="accent1" w:themeShade="80"/>
          <w:sz w:val="17"/>
          <w:szCs w:val="17"/>
        </w:rPr>
        <w:t>Urbanu</w:t>
      </w:r>
      <w:r w:rsidRPr="00E41D49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 aglomeraciju Rijeka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 xml:space="preserve"> čine gradovi: Rijeka, Kastav, Kraljevica, Opatija te općine: Čavle, Klana, Kostrena, Lovran, Mošćenička Draga 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i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 xml:space="preserve"> Viškovo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E41D49">
        <w:rPr>
          <w:rFonts w:ascii="Arial" w:hAnsi="Arial" w:cs="Arial"/>
          <w:b/>
          <w:color w:val="244061" w:themeColor="accent1" w:themeShade="80"/>
          <w:sz w:val="17"/>
          <w:szCs w:val="17"/>
        </w:rPr>
        <w:t>Urbanu aglomeraciju Split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 xml:space="preserve"> čine gradovi: Split, Kaštela, Omiš, Sinj, Solin i Trogir te općine: Dicmo, Dugi Rat, Dugopolje, Klis, Lećevica, Muć i Podstrana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E41D49">
        <w:rPr>
          <w:rFonts w:ascii="Arial" w:hAnsi="Arial" w:cs="Arial"/>
          <w:b/>
          <w:color w:val="244061" w:themeColor="accent1" w:themeShade="80"/>
          <w:sz w:val="17"/>
          <w:szCs w:val="17"/>
        </w:rPr>
        <w:t>Urbanu aglomeraciju Osijek</w:t>
      </w:r>
      <w:r w:rsidRPr="00E41D49">
        <w:rPr>
          <w:sz w:val="17"/>
          <w:szCs w:val="17"/>
        </w:rPr>
        <w:t xml:space="preserve"> 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>čine gradovi: Osijek, Belišće i Valpovo te općine: Antunovac, Bilje, Bizovac, Čeminac, Čepin, Darda, Erdut, Ernestinovo, Kneževi Vinogradi, Koška, Petrijevci, Punitovci, Šodolovci, Tordinci, Vladislavci i Vuka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. </w:t>
      </w:r>
      <w:r w:rsidRPr="00E41D49">
        <w:rPr>
          <w:rFonts w:ascii="Arial" w:hAnsi="Arial" w:cs="Arial"/>
          <w:b/>
          <w:color w:val="244061" w:themeColor="accent1" w:themeShade="80"/>
          <w:sz w:val="17"/>
          <w:szCs w:val="17"/>
        </w:rPr>
        <w:t>Urbanu aglomeraciju Zagreb</w:t>
      </w:r>
      <w:r w:rsidRPr="00E41D49">
        <w:rPr>
          <w:rFonts w:ascii="Arial" w:hAnsi="Arial" w:cs="Arial"/>
          <w:color w:val="244061" w:themeColor="accent1" w:themeShade="80"/>
          <w:sz w:val="17"/>
          <w:szCs w:val="17"/>
        </w:rPr>
        <w:t xml:space="preserve"> čine gradovi: Zagreb, Donja Stubica, Dugo Selo, Jastrebarsko, Oroslavje, Samobor, Sveta Nedelja, Sveti Ivan Zelina, Velika Gorica, Zabok i Zaprešić te općine: Bistra, Brckovljani, Brdovec, Dubravica, Gornja Stubica, Jakovlje, Klinča Sela, Kravarsko, Luka, Marija Bistrica, Marija Gorica, Orle, Pisarovina, Pokupsko, Pušća, Rugvica, Stubičke Toplice, Stupnik i Veliko Trgovišće.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C1" w:rsidRPr="007D72C1" w:rsidRDefault="007D72C1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07FDFEE3" wp14:editId="3627F4F3">
          <wp:extent cx="996315" cy="218440"/>
          <wp:effectExtent l="0" t="0" r="0" b="0"/>
          <wp:docPr id="1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4AA3"/>
    <w:rsid w:val="000249D2"/>
    <w:rsid w:val="00043B7D"/>
    <w:rsid w:val="000462BD"/>
    <w:rsid w:val="000547D5"/>
    <w:rsid w:val="000553EC"/>
    <w:rsid w:val="00055B6A"/>
    <w:rsid w:val="00056E81"/>
    <w:rsid w:val="00060B97"/>
    <w:rsid w:val="00066CDA"/>
    <w:rsid w:val="000776CA"/>
    <w:rsid w:val="000822AC"/>
    <w:rsid w:val="00094E0E"/>
    <w:rsid w:val="000A44B9"/>
    <w:rsid w:val="000A686A"/>
    <w:rsid w:val="000C4BC2"/>
    <w:rsid w:val="000E01AD"/>
    <w:rsid w:val="000E2659"/>
    <w:rsid w:val="000F0243"/>
    <w:rsid w:val="000F3063"/>
    <w:rsid w:val="000F62D0"/>
    <w:rsid w:val="00100B19"/>
    <w:rsid w:val="001047CC"/>
    <w:rsid w:val="00105822"/>
    <w:rsid w:val="00107649"/>
    <w:rsid w:val="001323B9"/>
    <w:rsid w:val="001329B7"/>
    <w:rsid w:val="00132FFE"/>
    <w:rsid w:val="00135BE7"/>
    <w:rsid w:val="001374AF"/>
    <w:rsid w:val="0015087B"/>
    <w:rsid w:val="00153312"/>
    <w:rsid w:val="0015427A"/>
    <w:rsid w:val="001549FF"/>
    <w:rsid w:val="00163545"/>
    <w:rsid w:val="0016514C"/>
    <w:rsid w:val="001715BE"/>
    <w:rsid w:val="00172F70"/>
    <w:rsid w:val="00173321"/>
    <w:rsid w:val="001750A5"/>
    <w:rsid w:val="00181F73"/>
    <w:rsid w:val="0018415A"/>
    <w:rsid w:val="001A264F"/>
    <w:rsid w:val="001B1EB6"/>
    <w:rsid w:val="001C045D"/>
    <w:rsid w:val="001D4D29"/>
    <w:rsid w:val="001D5C2C"/>
    <w:rsid w:val="001E1E6D"/>
    <w:rsid w:val="001E3BFD"/>
    <w:rsid w:val="001E5718"/>
    <w:rsid w:val="001F375B"/>
    <w:rsid w:val="00204F67"/>
    <w:rsid w:val="002139C2"/>
    <w:rsid w:val="002318FB"/>
    <w:rsid w:val="002366DF"/>
    <w:rsid w:val="002400C7"/>
    <w:rsid w:val="002452EF"/>
    <w:rsid w:val="0024575C"/>
    <w:rsid w:val="00252FAC"/>
    <w:rsid w:val="00252FC8"/>
    <w:rsid w:val="00270706"/>
    <w:rsid w:val="002710A9"/>
    <w:rsid w:val="0027247E"/>
    <w:rsid w:val="00276D16"/>
    <w:rsid w:val="00281D0D"/>
    <w:rsid w:val="00284DA1"/>
    <w:rsid w:val="00285C48"/>
    <w:rsid w:val="002A041F"/>
    <w:rsid w:val="002A75D6"/>
    <w:rsid w:val="002B0D6F"/>
    <w:rsid w:val="002B453C"/>
    <w:rsid w:val="002B5A87"/>
    <w:rsid w:val="002C13DB"/>
    <w:rsid w:val="002C1F91"/>
    <w:rsid w:val="002C4E15"/>
    <w:rsid w:val="002C77E3"/>
    <w:rsid w:val="002D1CED"/>
    <w:rsid w:val="00303ADE"/>
    <w:rsid w:val="00305F99"/>
    <w:rsid w:val="00312B69"/>
    <w:rsid w:val="003254DB"/>
    <w:rsid w:val="003355BC"/>
    <w:rsid w:val="003365CB"/>
    <w:rsid w:val="003367C8"/>
    <w:rsid w:val="00340AAB"/>
    <w:rsid w:val="003427FB"/>
    <w:rsid w:val="00355BA8"/>
    <w:rsid w:val="00356572"/>
    <w:rsid w:val="00357B9E"/>
    <w:rsid w:val="0036105B"/>
    <w:rsid w:val="00361944"/>
    <w:rsid w:val="0036329D"/>
    <w:rsid w:val="00363743"/>
    <w:rsid w:val="00364A39"/>
    <w:rsid w:val="0036706D"/>
    <w:rsid w:val="00371B92"/>
    <w:rsid w:val="00375E07"/>
    <w:rsid w:val="0038053F"/>
    <w:rsid w:val="00382A31"/>
    <w:rsid w:val="003912E9"/>
    <w:rsid w:val="00392ACB"/>
    <w:rsid w:val="003A5631"/>
    <w:rsid w:val="003C0074"/>
    <w:rsid w:val="003C116E"/>
    <w:rsid w:val="003C7CCB"/>
    <w:rsid w:val="003C7EA2"/>
    <w:rsid w:val="003D176E"/>
    <w:rsid w:val="003D6CD2"/>
    <w:rsid w:val="003E6262"/>
    <w:rsid w:val="003E7842"/>
    <w:rsid w:val="003F56E6"/>
    <w:rsid w:val="003F6FFE"/>
    <w:rsid w:val="004007A5"/>
    <w:rsid w:val="00416765"/>
    <w:rsid w:val="0043302F"/>
    <w:rsid w:val="00433592"/>
    <w:rsid w:val="00437059"/>
    <w:rsid w:val="004420CF"/>
    <w:rsid w:val="00447FF7"/>
    <w:rsid w:val="004611B0"/>
    <w:rsid w:val="00466FEA"/>
    <w:rsid w:val="004762F8"/>
    <w:rsid w:val="00480B0A"/>
    <w:rsid w:val="004860C9"/>
    <w:rsid w:val="004900C4"/>
    <w:rsid w:val="004935C2"/>
    <w:rsid w:val="004946AC"/>
    <w:rsid w:val="004950DA"/>
    <w:rsid w:val="004A4FF3"/>
    <w:rsid w:val="004A7451"/>
    <w:rsid w:val="004B64D6"/>
    <w:rsid w:val="004C662B"/>
    <w:rsid w:val="004D07C8"/>
    <w:rsid w:val="004D1701"/>
    <w:rsid w:val="004F3E69"/>
    <w:rsid w:val="004F7B3C"/>
    <w:rsid w:val="0051465F"/>
    <w:rsid w:val="00520E8F"/>
    <w:rsid w:val="00521BFD"/>
    <w:rsid w:val="00523A67"/>
    <w:rsid w:val="005257CD"/>
    <w:rsid w:val="00550376"/>
    <w:rsid w:val="005517C3"/>
    <w:rsid w:val="005639C7"/>
    <w:rsid w:val="00577C8F"/>
    <w:rsid w:val="0059036E"/>
    <w:rsid w:val="0059321B"/>
    <w:rsid w:val="005A2248"/>
    <w:rsid w:val="005A4452"/>
    <w:rsid w:val="005A7042"/>
    <w:rsid w:val="005A7B46"/>
    <w:rsid w:val="005B0164"/>
    <w:rsid w:val="005B590A"/>
    <w:rsid w:val="005C03C7"/>
    <w:rsid w:val="005C22E5"/>
    <w:rsid w:val="005D29E9"/>
    <w:rsid w:val="005D3134"/>
    <w:rsid w:val="005F6E29"/>
    <w:rsid w:val="00605509"/>
    <w:rsid w:val="006102D3"/>
    <w:rsid w:val="00623A94"/>
    <w:rsid w:val="0062663F"/>
    <w:rsid w:val="00626B41"/>
    <w:rsid w:val="00632811"/>
    <w:rsid w:val="00634BA9"/>
    <w:rsid w:val="00646922"/>
    <w:rsid w:val="00652B3B"/>
    <w:rsid w:val="00653A4C"/>
    <w:rsid w:val="00656197"/>
    <w:rsid w:val="006600AF"/>
    <w:rsid w:val="006610AB"/>
    <w:rsid w:val="00665692"/>
    <w:rsid w:val="00666461"/>
    <w:rsid w:val="00670C25"/>
    <w:rsid w:val="00673A57"/>
    <w:rsid w:val="00692E66"/>
    <w:rsid w:val="006A2DA1"/>
    <w:rsid w:val="006A577B"/>
    <w:rsid w:val="006B2067"/>
    <w:rsid w:val="006B7677"/>
    <w:rsid w:val="006C2AE8"/>
    <w:rsid w:val="006C2C83"/>
    <w:rsid w:val="006C39DD"/>
    <w:rsid w:val="006C60ED"/>
    <w:rsid w:val="006C6526"/>
    <w:rsid w:val="006C6C13"/>
    <w:rsid w:val="006D51E8"/>
    <w:rsid w:val="006E0369"/>
    <w:rsid w:val="006E36A4"/>
    <w:rsid w:val="006E5731"/>
    <w:rsid w:val="006F5DE7"/>
    <w:rsid w:val="006F63EE"/>
    <w:rsid w:val="00705A5A"/>
    <w:rsid w:val="00713E71"/>
    <w:rsid w:val="007317D6"/>
    <w:rsid w:val="00733A0F"/>
    <w:rsid w:val="0073533A"/>
    <w:rsid w:val="007428CF"/>
    <w:rsid w:val="0075179D"/>
    <w:rsid w:val="007575DE"/>
    <w:rsid w:val="00765899"/>
    <w:rsid w:val="00773234"/>
    <w:rsid w:val="007840B5"/>
    <w:rsid w:val="00786C8F"/>
    <w:rsid w:val="00787744"/>
    <w:rsid w:val="00787E73"/>
    <w:rsid w:val="00793E44"/>
    <w:rsid w:val="00796596"/>
    <w:rsid w:val="007A08C5"/>
    <w:rsid w:val="007A4050"/>
    <w:rsid w:val="007B4F6C"/>
    <w:rsid w:val="007C257E"/>
    <w:rsid w:val="007C2D38"/>
    <w:rsid w:val="007C7850"/>
    <w:rsid w:val="007D0A08"/>
    <w:rsid w:val="007D2A97"/>
    <w:rsid w:val="007D3434"/>
    <w:rsid w:val="007D72C1"/>
    <w:rsid w:val="007E6457"/>
    <w:rsid w:val="007F341C"/>
    <w:rsid w:val="007F46E2"/>
    <w:rsid w:val="00812E69"/>
    <w:rsid w:val="00834EFD"/>
    <w:rsid w:val="00847429"/>
    <w:rsid w:val="0085016D"/>
    <w:rsid w:val="00851803"/>
    <w:rsid w:val="008918AD"/>
    <w:rsid w:val="00894ABC"/>
    <w:rsid w:val="008A15B9"/>
    <w:rsid w:val="008B005A"/>
    <w:rsid w:val="008B0A32"/>
    <w:rsid w:val="008E6BFB"/>
    <w:rsid w:val="008E7389"/>
    <w:rsid w:val="008F4D6E"/>
    <w:rsid w:val="00901842"/>
    <w:rsid w:val="0091509F"/>
    <w:rsid w:val="009243B9"/>
    <w:rsid w:val="00934E6A"/>
    <w:rsid w:val="00941507"/>
    <w:rsid w:val="009505E1"/>
    <w:rsid w:val="00950BE1"/>
    <w:rsid w:val="00972390"/>
    <w:rsid w:val="009774F2"/>
    <w:rsid w:val="0098220F"/>
    <w:rsid w:val="009958C5"/>
    <w:rsid w:val="009B3838"/>
    <w:rsid w:val="009C2ABA"/>
    <w:rsid w:val="009C4557"/>
    <w:rsid w:val="009D16FF"/>
    <w:rsid w:val="009D44A3"/>
    <w:rsid w:val="009D5EA3"/>
    <w:rsid w:val="009E5312"/>
    <w:rsid w:val="009E77E8"/>
    <w:rsid w:val="009F219D"/>
    <w:rsid w:val="009F4241"/>
    <w:rsid w:val="00A02A9D"/>
    <w:rsid w:val="00A13B7F"/>
    <w:rsid w:val="00A2230C"/>
    <w:rsid w:val="00A263AD"/>
    <w:rsid w:val="00A26BB1"/>
    <w:rsid w:val="00A324E2"/>
    <w:rsid w:val="00A37DE7"/>
    <w:rsid w:val="00A44F6B"/>
    <w:rsid w:val="00A47B47"/>
    <w:rsid w:val="00A564B1"/>
    <w:rsid w:val="00A61724"/>
    <w:rsid w:val="00A64A4A"/>
    <w:rsid w:val="00A73DC0"/>
    <w:rsid w:val="00A76B10"/>
    <w:rsid w:val="00A8003D"/>
    <w:rsid w:val="00A80450"/>
    <w:rsid w:val="00A92014"/>
    <w:rsid w:val="00A9552D"/>
    <w:rsid w:val="00A95E07"/>
    <w:rsid w:val="00AB1246"/>
    <w:rsid w:val="00AD0A58"/>
    <w:rsid w:val="00AD60DF"/>
    <w:rsid w:val="00AE0240"/>
    <w:rsid w:val="00AE32FF"/>
    <w:rsid w:val="00AF1B08"/>
    <w:rsid w:val="00B00EE2"/>
    <w:rsid w:val="00B205FA"/>
    <w:rsid w:val="00B24003"/>
    <w:rsid w:val="00B3418F"/>
    <w:rsid w:val="00B453B4"/>
    <w:rsid w:val="00B52676"/>
    <w:rsid w:val="00B66F45"/>
    <w:rsid w:val="00B87221"/>
    <w:rsid w:val="00BA0F3D"/>
    <w:rsid w:val="00BA5704"/>
    <w:rsid w:val="00BB44BC"/>
    <w:rsid w:val="00BB6A22"/>
    <w:rsid w:val="00BB74CF"/>
    <w:rsid w:val="00BD35C4"/>
    <w:rsid w:val="00BF34C0"/>
    <w:rsid w:val="00BF577F"/>
    <w:rsid w:val="00BF6698"/>
    <w:rsid w:val="00C03FBF"/>
    <w:rsid w:val="00C0423D"/>
    <w:rsid w:val="00C05ED4"/>
    <w:rsid w:val="00C10538"/>
    <w:rsid w:val="00C2592E"/>
    <w:rsid w:val="00C273E9"/>
    <w:rsid w:val="00C343B3"/>
    <w:rsid w:val="00C35193"/>
    <w:rsid w:val="00C36557"/>
    <w:rsid w:val="00C4467F"/>
    <w:rsid w:val="00C51D4A"/>
    <w:rsid w:val="00C535B6"/>
    <w:rsid w:val="00C55817"/>
    <w:rsid w:val="00C56E87"/>
    <w:rsid w:val="00C64F46"/>
    <w:rsid w:val="00C6623E"/>
    <w:rsid w:val="00C728F5"/>
    <w:rsid w:val="00C74919"/>
    <w:rsid w:val="00C768DB"/>
    <w:rsid w:val="00C8090C"/>
    <w:rsid w:val="00C81014"/>
    <w:rsid w:val="00C8410D"/>
    <w:rsid w:val="00C8565F"/>
    <w:rsid w:val="00CA13CC"/>
    <w:rsid w:val="00CA5187"/>
    <w:rsid w:val="00CB4F88"/>
    <w:rsid w:val="00CC3877"/>
    <w:rsid w:val="00CD1F96"/>
    <w:rsid w:val="00CD78CC"/>
    <w:rsid w:val="00CE0072"/>
    <w:rsid w:val="00CE4FEA"/>
    <w:rsid w:val="00CF1A71"/>
    <w:rsid w:val="00CF1F24"/>
    <w:rsid w:val="00D04AC5"/>
    <w:rsid w:val="00D11A71"/>
    <w:rsid w:val="00D1505F"/>
    <w:rsid w:val="00D203A6"/>
    <w:rsid w:val="00D22921"/>
    <w:rsid w:val="00D3198A"/>
    <w:rsid w:val="00D33776"/>
    <w:rsid w:val="00D459C2"/>
    <w:rsid w:val="00D67A2C"/>
    <w:rsid w:val="00D827B9"/>
    <w:rsid w:val="00D84450"/>
    <w:rsid w:val="00D858BC"/>
    <w:rsid w:val="00D866BD"/>
    <w:rsid w:val="00DA0338"/>
    <w:rsid w:val="00DA68D6"/>
    <w:rsid w:val="00DB6D36"/>
    <w:rsid w:val="00DC4FFC"/>
    <w:rsid w:val="00DC6008"/>
    <w:rsid w:val="00DD6AA5"/>
    <w:rsid w:val="00DD7687"/>
    <w:rsid w:val="00DE6659"/>
    <w:rsid w:val="00DF5A6F"/>
    <w:rsid w:val="00E134A9"/>
    <w:rsid w:val="00E1622B"/>
    <w:rsid w:val="00E338FD"/>
    <w:rsid w:val="00E339DF"/>
    <w:rsid w:val="00E33EF9"/>
    <w:rsid w:val="00E4037A"/>
    <w:rsid w:val="00E41D49"/>
    <w:rsid w:val="00E44319"/>
    <w:rsid w:val="00E447F3"/>
    <w:rsid w:val="00E5410B"/>
    <w:rsid w:val="00E61FB9"/>
    <w:rsid w:val="00E64FF7"/>
    <w:rsid w:val="00E6539B"/>
    <w:rsid w:val="00EA50CE"/>
    <w:rsid w:val="00EC7E91"/>
    <w:rsid w:val="00ED0D2E"/>
    <w:rsid w:val="00ED3EA0"/>
    <w:rsid w:val="00EF49A4"/>
    <w:rsid w:val="00F1505E"/>
    <w:rsid w:val="00F2234A"/>
    <w:rsid w:val="00F33B5A"/>
    <w:rsid w:val="00F36406"/>
    <w:rsid w:val="00F40486"/>
    <w:rsid w:val="00F42486"/>
    <w:rsid w:val="00F44AA0"/>
    <w:rsid w:val="00F5225E"/>
    <w:rsid w:val="00F56A6D"/>
    <w:rsid w:val="00F64B22"/>
    <w:rsid w:val="00F71EBA"/>
    <w:rsid w:val="00F72860"/>
    <w:rsid w:val="00F82721"/>
    <w:rsid w:val="00F852EB"/>
    <w:rsid w:val="00F858C0"/>
    <w:rsid w:val="00FA0477"/>
    <w:rsid w:val="00FA1366"/>
    <w:rsid w:val="00FA4B87"/>
    <w:rsid w:val="00FB36EA"/>
    <w:rsid w:val="00FB386D"/>
    <w:rsid w:val="00FC0AC5"/>
    <w:rsid w:val="00FC6D55"/>
    <w:rsid w:val="00FD11F3"/>
    <w:rsid w:val="00FD1E2A"/>
    <w:rsid w:val="00FD3DCC"/>
    <w:rsid w:val="00FD4331"/>
    <w:rsid w:val="00FE058F"/>
    <w:rsid w:val="00FE74C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paragraph" w:styleId="Normal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paragraph" w:styleId="Normal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gfi.fina.hr/JavnaObjava-web/jsp/prijavaKorisnika.js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na.hr/Default.aspx?sec=1279" TargetMode="External"/><Relationship Id="rId17" Type="http://schemas.openxmlformats.org/officeDocument/2006/relationships/hyperlink" Target="http://www.fina.hr/Default.aspx?sec=9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rr.fina.h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gfi.fina.hr/JavnaObjava-web/jsp/prijavaKorisnika.jsp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www.transparentno.h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http://regionalni.weebly.com/urbana-podru269j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097-9B09-4154-ADE4-EC671863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1522</Words>
  <Characters>8681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9</cp:revision>
  <cp:lastPrinted>2015-09-11T13:33:00Z</cp:lastPrinted>
  <dcterms:created xsi:type="dcterms:W3CDTF">2017-11-04T10:47:00Z</dcterms:created>
  <dcterms:modified xsi:type="dcterms:W3CDTF">2017-11-06T11:30:00Z</dcterms:modified>
</cp:coreProperties>
</file>