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A5D" w:rsidRDefault="00015C55" w:rsidP="008E63E2">
      <w:pPr>
        <w:tabs>
          <w:tab w:val="left" w:pos="993"/>
        </w:tabs>
        <w:spacing w:after="0" w:line="240" w:lineRule="auto"/>
        <w:jc w:val="center"/>
        <w:rPr>
          <w:rFonts w:ascii="Arial" w:eastAsia="Calibri" w:hAnsi="Arial" w:cs="Arial"/>
          <w:b/>
          <w:color w:val="17365D"/>
          <w:sz w:val="21"/>
          <w:szCs w:val="21"/>
        </w:rPr>
      </w:pPr>
      <w:r w:rsidRPr="00015C55">
        <w:rPr>
          <w:rFonts w:ascii="Arial" w:eastAsia="Calibri" w:hAnsi="Arial" w:cs="Arial"/>
          <w:b/>
          <w:color w:val="17365D"/>
          <w:sz w:val="21"/>
          <w:szCs w:val="21"/>
        </w:rPr>
        <w:t xml:space="preserve">REZULTATI PODUZETNIKA SA SJEDIŠTEM U VUKOVARU U RAZDOBLJU </w:t>
      </w:r>
    </w:p>
    <w:p w:rsidR="00015C55" w:rsidRPr="00015C55" w:rsidRDefault="00015C55" w:rsidP="00015C55">
      <w:pPr>
        <w:tabs>
          <w:tab w:val="left" w:pos="993"/>
        </w:tabs>
        <w:spacing w:after="0" w:line="240" w:lineRule="auto"/>
        <w:jc w:val="center"/>
        <w:rPr>
          <w:rFonts w:ascii="Arial" w:eastAsia="Calibri" w:hAnsi="Arial" w:cs="Arial"/>
          <w:b/>
          <w:color w:val="17365D"/>
          <w:sz w:val="21"/>
          <w:szCs w:val="21"/>
        </w:rPr>
      </w:pPr>
      <w:r w:rsidRPr="00015C55">
        <w:rPr>
          <w:rFonts w:ascii="Arial" w:eastAsia="Calibri" w:hAnsi="Arial" w:cs="Arial"/>
          <w:b/>
          <w:color w:val="17365D"/>
          <w:sz w:val="21"/>
          <w:szCs w:val="21"/>
        </w:rPr>
        <w:t>OD 2012. DO 2016. GODINE</w:t>
      </w:r>
    </w:p>
    <w:p w:rsidR="00015C55" w:rsidRPr="008E63E2" w:rsidRDefault="00015C55" w:rsidP="008E63E2">
      <w:pPr>
        <w:tabs>
          <w:tab w:val="left" w:pos="993"/>
        </w:tabs>
        <w:spacing w:before="120" w:after="0"/>
        <w:jc w:val="both"/>
        <w:rPr>
          <w:rFonts w:ascii="Arial" w:eastAsia="Calibri" w:hAnsi="Arial" w:cs="Arial"/>
          <w:color w:val="17365D"/>
          <w:sz w:val="20"/>
          <w:szCs w:val="20"/>
        </w:rPr>
      </w:pPr>
      <w:r w:rsidRPr="00015C55">
        <w:rPr>
          <w:rFonts w:ascii="Arial" w:eastAsia="Calibri" w:hAnsi="Arial" w:cs="Arial"/>
          <w:color w:val="17365D"/>
          <w:sz w:val="20"/>
          <w:szCs w:val="20"/>
        </w:rPr>
        <w:t xml:space="preserve">Analiza poslovanja poduzetnika </w:t>
      </w:r>
      <w:r w:rsidR="00462373">
        <w:rPr>
          <w:rFonts w:ascii="Arial" w:eastAsia="Calibri" w:hAnsi="Arial" w:cs="Arial"/>
          <w:color w:val="17365D"/>
          <w:sz w:val="20"/>
          <w:szCs w:val="20"/>
        </w:rPr>
        <w:t xml:space="preserve">sa sjedištem u </w:t>
      </w:r>
      <w:r w:rsidRPr="00015C55">
        <w:rPr>
          <w:rFonts w:ascii="Arial" w:eastAsia="Calibri" w:hAnsi="Arial" w:cs="Arial"/>
          <w:color w:val="17365D"/>
          <w:sz w:val="20"/>
          <w:szCs w:val="20"/>
        </w:rPr>
        <w:t>Vukovar</w:t>
      </w:r>
      <w:r w:rsidR="00462373">
        <w:rPr>
          <w:rFonts w:ascii="Arial" w:eastAsia="Calibri" w:hAnsi="Arial" w:cs="Arial"/>
          <w:color w:val="17365D"/>
          <w:sz w:val="20"/>
          <w:szCs w:val="20"/>
        </w:rPr>
        <w:t xml:space="preserve">u, </w:t>
      </w:r>
      <w:r w:rsidRPr="00015C55">
        <w:rPr>
          <w:rFonts w:ascii="Arial" w:eastAsia="Calibri" w:hAnsi="Arial" w:cs="Arial"/>
          <w:color w:val="17365D"/>
          <w:sz w:val="20"/>
          <w:szCs w:val="20"/>
        </w:rPr>
        <w:t>u razdoblju od 2012. do 2016. godine</w:t>
      </w:r>
      <w:r w:rsidRPr="00015C55">
        <w:rPr>
          <w:rFonts w:ascii="Arial" w:eastAsia="Calibri" w:hAnsi="Arial" w:cs="Times New Roman"/>
          <w:color w:val="17365D"/>
          <w:sz w:val="20"/>
          <w:szCs w:val="20"/>
          <w:vertAlign w:val="superscript"/>
        </w:rPr>
        <w:footnoteReference w:id="1"/>
      </w:r>
      <w:r w:rsidR="00462373">
        <w:rPr>
          <w:rFonts w:ascii="Arial" w:eastAsia="Calibri" w:hAnsi="Arial" w:cs="Arial"/>
          <w:color w:val="17365D"/>
          <w:sz w:val="20"/>
          <w:szCs w:val="20"/>
        </w:rPr>
        <w:t>,</w:t>
      </w:r>
      <w:r w:rsidRPr="00015C55">
        <w:rPr>
          <w:rFonts w:ascii="Arial" w:eastAsia="Calibri" w:hAnsi="Arial" w:cs="Arial"/>
          <w:color w:val="17365D"/>
          <w:sz w:val="20"/>
          <w:szCs w:val="20"/>
        </w:rPr>
        <w:t xml:space="preserve"> pokaz</w:t>
      </w:r>
      <w:r w:rsidR="00462373">
        <w:rPr>
          <w:rFonts w:ascii="Arial" w:eastAsia="Calibri" w:hAnsi="Arial" w:cs="Arial"/>
          <w:color w:val="17365D"/>
          <w:sz w:val="20"/>
          <w:szCs w:val="20"/>
        </w:rPr>
        <w:t xml:space="preserve">ala je da </w:t>
      </w:r>
      <w:r w:rsidRPr="00015C55">
        <w:rPr>
          <w:rFonts w:ascii="Arial" w:eastAsia="Calibri" w:hAnsi="Arial" w:cs="Arial"/>
          <w:color w:val="17365D"/>
          <w:sz w:val="20"/>
          <w:szCs w:val="20"/>
        </w:rPr>
        <w:t>je u 2016. godini bilo najviše poduzetnika u tom gradu, njih 454, što je 20,1 % više u odnosu na početnu promatranu godinu, 2012.</w:t>
      </w:r>
      <w:r w:rsidRPr="00015C55">
        <w:rPr>
          <w:rFonts w:ascii="Arial" w:eastAsia="Calibri" w:hAnsi="Arial" w:cs="Arial"/>
          <w:color w:val="FF0000"/>
          <w:sz w:val="20"/>
          <w:szCs w:val="20"/>
        </w:rPr>
        <w:t xml:space="preserve"> </w:t>
      </w:r>
      <w:r w:rsidRPr="00015C55">
        <w:rPr>
          <w:rFonts w:ascii="Arial" w:eastAsia="Calibri" w:hAnsi="Arial" w:cs="Arial"/>
          <w:color w:val="17365D"/>
          <w:sz w:val="20"/>
          <w:szCs w:val="20"/>
        </w:rPr>
        <w:t>Najviše zaposlenih (4803 radnika) bilo je</w:t>
      </w:r>
      <w:r w:rsidR="00462373" w:rsidRPr="00462373">
        <w:t xml:space="preserve"> </w:t>
      </w:r>
      <w:r w:rsidR="00462373" w:rsidRPr="00462373">
        <w:rPr>
          <w:rFonts w:ascii="Arial" w:eastAsia="Calibri" w:hAnsi="Arial" w:cs="Arial"/>
          <w:color w:val="17365D"/>
          <w:sz w:val="20"/>
          <w:szCs w:val="20"/>
        </w:rPr>
        <w:t xml:space="preserve">u 2012. godini, </w:t>
      </w:r>
      <w:r w:rsidR="00462373">
        <w:rPr>
          <w:rFonts w:ascii="Arial" w:eastAsia="Calibri" w:hAnsi="Arial" w:cs="Arial"/>
          <w:color w:val="17365D"/>
          <w:sz w:val="20"/>
          <w:szCs w:val="20"/>
        </w:rPr>
        <w:t xml:space="preserve">što je </w:t>
      </w:r>
      <w:r w:rsidR="00462373" w:rsidRPr="00462373">
        <w:rPr>
          <w:rFonts w:ascii="Arial" w:eastAsia="Calibri" w:hAnsi="Arial" w:cs="Arial"/>
          <w:color w:val="17365D"/>
          <w:sz w:val="20"/>
          <w:szCs w:val="20"/>
        </w:rPr>
        <w:t xml:space="preserve">više za 10,9 % ili 474 radnika </w:t>
      </w:r>
      <w:r w:rsidRPr="00015C55">
        <w:rPr>
          <w:rFonts w:ascii="Arial" w:eastAsia="Calibri" w:hAnsi="Arial" w:cs="Arial"/>
          <w:color w:val="17365D"/>
          <w:sz w:val="20"/>
          <w:szCs w:val="20"/>
        </w:rPr>
        <w:t>u usporedbi sa 2016. godinom.</w:t>
      </w:r>
      <w:r w:rsidR="008E63E2" w:rsidRPr="008E63E2">
        <w:rPr>
          <w:rFonts w:ascii="Calibri" w:eastAsia="Calibri" w:hAnsi="Calibri" w:cs="Arial"/>
          <w:color w:val="17365D"/>
          <w:sz w:val="24"/>
          <w:szCs w:val="24"/>
        </w:rPr>
        <w:t xml:space="preserve"> </w:t>
      </w:r>
      <w:r w:rsidR="008E63E2" w:rsidRPr="008E63E2">
        <w:rPr>
          <w:rFonts w:ascii="Arial" w:eastAsia="Calibri" w:hAnsi="Arial" w:cs="Arial"/>
          <w:color w:val="17365D"/>
          <w:sz w:val="20"/>
          <w:szCs w:val="20"/>
        </w:rPr>
        <w:t>Najviše zaposlenih (4803 radnika) bilo je u 2012. godini, što je više za 10,9 % ili 474 radnika u usporedbi sa 2016. godinom.</w:t>
      </w:r>
      <w:r w:rsidR="008E63E2" w:rsidRPr="008E63E2">
        <w:rPr>
          <w:rFonts w:ascii="Arial" w:eastAsia="Calibri" w:hAnsi="Arial" w:cs="Arial"/>
          <w:sz w:val="20"/>
          <w:szCs w:val="20"/>
        </w:rPr>
        <w:t xml:space="preserve"> </w:t>
      </w:r>
      <w:hyperlink r:id="rId7" w:history="1">
        <w:r w:rsidR="008E63E2" w:rsidRPr="008E63E2">
          <w:rPr>
            <w:rFonts w:ascii="Arial" w:eastAsia="Calibri" w:hAnsi="Arial" w:cs="Arial"/>
            <w:color w:val="0000FF"/>
            <w:sz w:val="20"/>
            <w:szCs w:val="20"/>
            <w:u w:val="single"/>
          </w:rPr>
          <w:t>BOROVO d.d.</w:t>
        </w:r>
      </w:hyperlink>
      <w:r w:rsidR="008E63E2" w:rsidRPr="008E63E2">
        <w:rPr>
          <w:rFonts w:ascii="Arial" w:eastAsia="Calibri" w:hAnsi="Arial" w:cs="Arial"/>
          <w:color w:val="0000FF"/>
          <w:sz w:val="20"/>
          <w:szCs w:val="20"/>
          <w:u w:val="single"/>
        </w:rPr>
        <w:t xml:space="preserve">, </w:t>
      </w:r>
      <w:r w:rsidR="008E63E2" w:rsidRPr="008E63E2">
        <w:rPr>
          <w:rFonts w:ascii="Arial" w:eastAsia="Calibri" w:hAnsi="Arial" w:cs="Arial"/>
          <w:color w:val="17365D"/>
          <w:sz w:val="20"/>
          <w:szCs w:val="20"/>
        </w:rPr>
        <w:t>veliki poduzetnik u prerađivačkoj industriji (proizvodnja obuće), prvi je prema broju zaposlenih u 2016. godini sa 663 radnika</w:t>
      </w:r>
      <w:r w:rsidR="008E63E2">
        <w:rPr>
          <w:rFonts w:ascii="Arial" w:eastAsia="Calibri" w:hAnsi="Arial" w:cs="Arial"/>
          <w:color w:val="17365D"/>
          <w:sz w:val="20"/>
          <w:szCs w:val="20"/>
        </w:rPr>
        <w:t>. I</w:t>
      </w:r>
      <w:r w:rsidR="008E63E2" w:rsidRPr="008E63E2">
        <w:rPr>
          <w:rFonts w:ascii="Arial" w:eastAsia="Calibri" w:hAnsi="Arial" w:cs="Arial"/>
          <w:color w:val="17365D"/>
          <w:sz w:val="20"/>
          <w:szCs w:val="20"/>
        </w:rPr>
        <w:t>ako je ostvari</w:t>
      </w:r>
      <w:r w:rsidR="008E63E2">
        <w:rPr>
          <w:rFonts w:ascii="Arial" w:eastAsia="Calibri" w:hAnsi="Arial" w:cs="Arial"/>
          <w:color w:val="17365D"/>
          <w:sz w:val="20"/>
          <w:szCs w:val="20"/>
        </w:rPr>
        <w:t>l</w:t>
      </w:r>
      <w:r w:rsidR="008E63E2" w:rsidRPr="008E63E2">
        <w:rPr>
          <w:rFonts w:ascii="Arial" w:eastAsia="Calibri" w:hAnsi="Arial" w:cs="Arial"/>
          <w:color w:val="17365D"/>
          <w:sz w:val="20"/>
          <w:szCs w:val="20"/>
        </w:rPr>
        <w:t xml:space="preserve">o 110,1 milijun kuna ukupnih prihoda, </w:t>
      </w:r>
      <w:hyperlink r:id="rId8" w:history="1">
        <w:r w:rsidR="008E63E2" w:rsidRPr="008E63E2">
          <w:rPr>
            <w:rFonts w:ascii="Arial" w:eastAsia="Calibri" w:hAnsi="Arial" w:cs="Arial"/>
            <w:color w:val="0000FF"/>
            <w:sz w:val="20"/>
            <w:szCs w:val="20"/>
            <w:u w:val="single"/>
          </w:rPr>
          <w:t>BOROVO d.d.</w:t>
        </w:r>
      </w:hyperlink>
      <w:r w:rsidR="00E479FE">
        <w:rPr>
          <w:rFonts w:ascii="Arial" w:eastAsia="Calibri" w:hAnsi="Arial" w:cs="Arial"/>
          <w:color w:val="17365D"/>
          <w:sz w:val="20"/>
          <w:szCs w:val="20"/>
        </w:rPr>
        <w:t xml:space="preserve"> </w:t>
      </w:r>
      <w:r w:rsidR="008E63E2" w:rsidRPr="008E63E2">
        <w:rPr>
          <w:rFonts w:ascii="Arial" w:eastAsia="Calibri" w:hAnsi="Arial" w:cs="Arial"/>
          <w:color w:val="17365D"/>
          <w:sz w:val="20"/>
          <w:szCs w:val="20"/>
        </w:rPr>
        <w:t>poslovnu je godinu završilo s negativnim rezultatom, odnosno s</w:t>
      </w:r>
      <w:r w:rsidR="00384C3F">
        <w:rPr>
          <w:rFonts w:ascii="Arial" w:eastAsia="Calibri" w:hAnsi="Arial" w:cs="Arial"/>
          <w:color w:val="17365D"/>
          <w:sz w:val="20"/>
          <w:szCs w:val="20"/>
        </w:rPr>
        <w:t>a</w:t>
      </w:r>
      <w:r w:rsidR="008E63E2" w:rsidRPr="008E63E2">
        <w:rPr>
          <w:rFonts w:ascii="Arial" w:eastAsia="Calibri" w:hAnsi="Arial" w:cs="Arial"/>
          <w:color w:val="17365D"/>
          <w:sz w:val="20"/>
          <w:szCs w:val="20"/>
        </w:rPr>
        <w:t xml:space="preserve"> 17,6 milijuna kuna gubitka razdoblja.</w:t>
      </w:r>
    </w:p>
    <w:p w:rsidR="00015C55" w:rsidRPr="00015C55" w:rsidRDefault="00015C55" w:rsidP="004E1329">
      <w:pPr>
        <w:tabs>
          <w:tab w:val="right" w:pos="9923"/>
        </w:tabs>
        <w:spacing w:before="180" w:after="40" w:line="240" w:lineRule="auto"/>
        <w:ind w:left="992" w:hanging="992"/>
        <w:rPr>
          <w:rFonts w:ascii="Arial" w:eastAsia="Calibri" w:hAnsi="Arial" w:cs="Arial"/>
          <w:color w:val="17365D"/>
          <w:sz w:val="16"/>
          <w:szCs w:val="16"/>
        </w:rPr>
      </w:pPr>
      <w:r w:rsidRPr="00015C55">
        <w:rPr>
          <w:rFonts w:ascii="Arial" w:eastAsia="Calibri" w:hAnsi="Arial" w:cs="Arial"/>
          <w:b/>
          <w:color w:val="17365D"/>
          <w:sz w:val="18"/>
          <w:szCs w:val="18"/>
        </w:rPr>
        <w:t>Grafikon 1.</w:t>
      </w:r>
      <w:r w:rsidRPr="00015C55">
        <w:rPr>
          <w:rFonts w:ascii="Arial" w:eastAsia="Calibri" w:hAnsi="Arial" w:cs="Arial"/>
          <w:b/>
          <w:color w:val="17365D"/>
          <w:sz w:val="18"/>
          <w:szCs w:val="18"/>
        </w:rPr>
        <w:tab/>
        <w:t xml:space="preserve">Prikaz konsolidiranog financijskog rezultata – neto dobiti/gubitka poduzetnika sa sjedištem u Vukovaru, u razdoblju 2012. – 2016. godine </w:t>
      </w:r>
      <w:r w:rsidRPr="00015C55">
        <w:rPr>
          <w:rFonts w:ascii="Arial" w:eastAsia="Calibri" w:hAnsi="Arial" w:cs="Arial"/>
          <w:color w:val="17365D"/>
          <w:sz w:val="19"/>
          <w:szCs w:val="19"/>
        </w:rPr>
        <w:tab/>
      </w:r>
      <w:r w:rsidRPr="00015C55">
        <w:rPr>
          <w:rFonts w:ascii="Arial" w:eastAsia="Calibri" w:hAnsi="Arial" w:cs="Arial"/>
          <w:color w:val="17365D"/>
          <w:sz w:val="16"/>
          <w:szCs w:val="16"/>
        </w:rPr>
        <w:t>(iznosi u tisućama kuna)</w:t>
      </w:r>
    </w:p>
    <w:p w:rsidR="00015C55" w:rsidRPr="00015C55" w:rsidRDefault="00015C55" w:rsidP="00CF79CB">
      <w:pPr>
        <w:tabs>
          <w:tab w:val="right" w:pos="9923"/>
        </w:tabs>
        <w:spacing w:after="60" w:line="240" w:lineRule="auto"/>
        <w:ind w:left="994" w:hanging="994"/>
        <w:jc w:val="center"/>
        <w:rPr>
          <w:rFonts w:ascii="Arial" w:eastAsia="Calibri" w:hAnsi="Arial" w:cs="Arial"/>
          <w:color w:val="17365D"/>
          <w:sz w:val="16"/>
          <w:szCs w:val="16"/>
        </w:rPr>
      </w:pPr>
      <w:r>
        <w:rPr>
          <w:rFonts w:ascii="Arial" w:eastAsia="Calibri" w:hAnsi="Arial" w:cs="Arial"/>
          <w:noProof/>
          <w:color w:val="17365D"/>
          <w:sz w:val="16"/>
          <w:szCs w:val="16"/>
          <w:lang w:eastAsia="hr-HR"/>
        </w:rPr>
        <w:drawing>
          <wp:inline distT="0" distB="0" distL="0" distR="0">
            <wp:extent cx="6154309" cy="21600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4309" cy="21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5C55" w:rsidRPr="00015C55" w:rsidRDefault="00015C55" w:rsidP="00015C55">
      <w:pPr>
        <w:tabs>
          <w:tab w:val="left" w:pos="993"/>
        </w:tabs>
        <w:spacing w:before="60" w:after="0"/>
        <w:jc w:val="both"/>
        <w:rPr>
          <w:rFonts w:ascii="Arial" w:eastAsia="Calibri" w:hAnsi="Arial" w:cs="Arial"/>
          <w:i/>
          <w:color w:val="17365D"/>
          <w:sz w:val="16"/>
          <w:szCs w:val="16"/>
        </w:rPr>
      </w:pPr>
      <w:r w:rsidRPr="00015C55">
        <w:rPr>
          <w:rFonts w:ascii="Arial" w:eastAsia="Calibri" w:hAnsi="Arial" w:cs="Arial"/>
          <w:i/>
          <w:color w:val="17365D"/>
          <w:sz w:val="16"/>
          <w:szCs w:val="16"/>
        </w:rPr>
        <w:t>Izvor: Fina, Registar godišnjih financijskih izvještaja, obrada izvornih podataka tekuće godine za 2012. – 2016. godinu</w:t>
      </w:r>
    </w:p>
    <w:p w:rsidR="008E63E2" w:rsidRPr="00015C55" w:rsidRDefault="008E63E2" w:rsidP="004E1329">
      <w:pPr>
        <w:tabs>
          <w:tab w:val="left" w:pos="993"/>
        </w:tabs>
        <w:spacing w:before="180" w:after="0"/>
        <w:jc w:val="both"/>
        <w:rPr>
          <w:rFonts w:ascii="Arial" w:eastAsia="Calibri" w:hAnsi="Arial" w:cs="Arial"/>
          <w:color w:val="17365D"/>
          <w:sz w:val="20"/>
          <w:szCs w:val="20"/>
        </w:rPr>
      </w:pPr>
      <w:r w:rsidRPr="00015C55">
        <w:rPr>
          <w:rFonts w:ascii="Arial" w:eastAsia="Calibri" w:hAnsi="Arial" w:cs="Arial"/>
          <w:color w:val="17365D"/>
          <w:sz w:val="20"/>
          <w:szCs w:val="20"/>
        </w:rPr>
        <w:t xml:space="preserve">Kroz razdoblje od </w:t>
      </w:r>
      <w:r>
        <w:rPr>
          <w:rFonts w:ascii="Arial" w:eastAsia="Calibri" w:hAnsi="Arial" w:cs="Arial"/>
          <w:color w:val="17365D"/>
          <w:sz w:val="20"/>
          <w:szCs w:val="20"/>
        </w:rPr>
        <w:t>pet</w:t>
      </w:r>
      <w:r w:rsidRPr="00015C55">
        <w:rPr>
          <w:rFonts w:ascii="Arial" w:eastAsia="Calibri" w:hAnsi="Arial" w:cs="Arial"/>
          <w:color w:val="17365D"/>
          <w:sz w:val="20"/>
          <w:szCs w:val="20"/>
        </w:rPr>
        <w:t xml:space="preserve"> godina poduzetnici sa sjedištem u Vukovaru poslovali su pozitivno te iskazivali pozitivan financijski rezultat (neto dobit), u svim promatranim godinama osim u prvoj, 2012. godini, kada su iskazali neto gubitak u iznosu od 237,3 milijuna kuna (tablica 1. i grafikon 1.). Najmanja dobit ostvarena je 2013. godine, kada je iznosila 25,3 milijuna kuna. Na kraju promatranog razdoblja, u 2016. godini iskazana je najveća neto dobit, u iznosu od 402,3 milijuna kuna. </w:t>
      </w:r>
    </w:p>
    <w:p w:rsidR="00015C55" w:rsidRPr="00015C55" w:rsidRDefault="00015C55" w:rsidP="004E1329">
      <w:pPr>
        <w:widowControl w:val="0"/>
        <w:tabs>
          <w:tab w:val="left" w:pos="1134"/>
          <w:tab w:val="right" w:pos="9967"/>
        </w:tabs>
        <w:spacing w:before="180" w:after="40" w:line="240" w:lineRule="auto"/>
        <w:ind w:left="1134" w:hanging="1134"/>
        <w:rPr>
          <w:rFonts w:ascii="Arial" w:eastAsia="Times New Roman" w:hAnsi="Arial" w:cs="Arial"/>
          <w:color w:val="17365D"/>
          <w:sz w:val="16"/>
          <w:szCs w:val="16"/>
          <w:lang w:eastAsia="hr-HR"/>
        </w:rPr>
      </w:pPr>
      <w:r w:rsidRPr="00015C55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>Tablica 1.</w:t>
      </w:r>
      <w:r w:rsidRPr="00015C55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ab/>
        <w:t>Broj poduzetnika, broj zaposlenih te osnovni rezultati poslovanja poduzetnika grada Vukovara u razdoblju 2012. - 2016. godine</w:t>
      </w:r>
      <w:r w:rsidRPr="00015C55">
        <w:rPr>
          <w:rFonts w:ascii="Arial" w:eastAsia="Times New Roman" w:hAnsi="Arial" w:cs="Arial"/>
          <w:b/>
          <w:color w:val="17365D"/>
          <w:sz w:val="18"/>
          <w:szCs w:val="18"/>
          <w:lang w:eastAsia="hr-HR"/>
        </w:rPr>
        <w:tab/>
      </w:r>
      <w:r w:rsidRPr="00015C55">
        <w:rPr>
          <w:rFonts w:ascii="Arial" w:eastAsia="Times New Roman" w:hAnsi="Arial" w:cs="Arial"/>
          <w:color w:val="17365D"/>
          <w:sz w:val="16"/>
          <w:szCs w:val="16"/>
          <w:lang w:eastAsia="hr-HR"/>
        </w:rPr>
        <w:t>(iznosi u tisućama kuna, plaće u kunama)</w:t>
      </w:r>
    </w:p>
    <w:tbl>
      <w:tblPr>
        <w:tblW w:w="9690" w:type="dxa"/>
        <w:jc w:val="center"/>
        <w:tblInd w:w="233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149"/>
        <w:gridCol w:w="1109"/>
        <w:gridCol w:w="1108"/>
        <w:gridCol w:w="1108"/>
        <w:gridCol w:w="1108"/>
        <w:gridCol w:w="1108"/>
      </w:tblGrid>
      <w:tr w:rsidR="00015C55" w:rsidRPr="00015C55" w:rsidTr="00D163DD">
        <w:trPr>
          <w:trHeight w:val="283"/>
          <w:jc w:val="center"/>
        </w:trPr>
        <w:tc>
          <w:tcPr>
            <w:tcW w:w="414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44061"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Opis</w:t>
            </w:r>
          </w:p>
        </w:tc>
        <w:tc>
          <w:tcPr>
            <w:tcW w:w="110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44061"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2012.</w:t>
            </w:r>
          </w:p>
        </w:tc>
        <w:tc>
          <w:tcPr>
            <w:tcW w:w="110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44061"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2013.</w:t>
            </w:r>
          </w:p>
        </w:tc>
        <w:tc>
          <w:tcPr>
            <w:tcW w:w="110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44061"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2014.</w:t>
            </w:r>
          </w:p>
        </w:tc>
        <w:tc>
          <w:tcPr>
            <w:tcW w:w="110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44061"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2015.</w:t>
            </w:r>
          </w:p>
        </w:tc>
        <w:tc>
          <w:tcPr>
            <w:tcW w:w="1108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44061"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2016.</w:t>
            </w:r>
          </w:p>
        </w:tc>
      </w:tr>
      <w:tr w:rsidR="00015C55" w:rsidRPr="00015C55" w:rsidTr="004E1329">
        <w:trPr>
          <w:trHeight w:val="255"/>
          <w:jc w:val="center"/>
        </w:trPr>
        <w:tc>
          <w:tcPr>
            <w:tcW w:w="41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Broj poduzetnika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378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390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408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435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454</w:t>
            </w:r>
          </w:p>
        </w:tc>
      </w:tr>
      <w:tr w:rsidR="00015C55" w:rsidRPr="00015C55" w:rsidTr="004E1329">
        <w:trPr>
          <w:trHeight w:val="255"/>
          <w:jc w:val="center"/>
        </w:trPr>
        <w:tc>
          <w:tcPr>
            <w:tcW w:w="41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Broj zaposlenih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4.803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4.351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4.101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4.338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4.329</w:t>
            </w:r>
          </w:p>
        </w:tc>
      </w:tr>
      <w:tr w:rsidR="00015C55" w:rsidRPr="00015C55" w:rsidTr="004E1329">
        <w:trPr>
          <w:trHeight w:val="255"/>
          <w:jc w:val="center"/>
        </w:trPr>
        <w:tc>
          <w:tcPr>
            <w:tcW w:w="41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2.716.102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3.032.190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5.197.028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6.063.724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5.334.832</w:t>
            </w:r>
          </w:p>
        </w:tc>
      </w:tr>
      <w:tr w:rsidR="00015C55" w:rsidRPr="00015C55" w:rsidTr="004E1329">
        <w:trPr>
          <w:trHeight w:val="255"/>
          <w:jc w:val="center"/>
        </w:trPr>
        <w:tc>
          <w:tcPr>
            <w:tcW w:w="41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2.946.710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2.990.193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5.064.512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5.730.323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4.868.838</w:t>
            </w:r>
          </w:p>
        </w:tc>
      </w:tr>
      <w:tr w:rsidR="00015C55" w:rsidRPr="00015C55" w:rsidTr="004E1329">
        <w:trPr>
          <w:trHeight w:val="255"/>
          <w:jc w:val="center"/>
        </w:trPr>
        <w:tc>
          <w:tcPr>
            <w:tcW w:w="41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Dobit razdoblja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98.696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002060"/>
                <w:sz w:val="18"/>
                <w:szCs w:val="18"/>
                <w:lang w:eastAsia="hr-HR"/>
              </w:rPr>
              <w:t>158.646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2060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002060"/>
                <w:sz w:val="18"/>
                <w:szCs w:val="18"/>
                <w:lang w:eastAsia="hr-HR"/>
              </w:rPr>
              <w:t>254.170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373.578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483.238</w:t>
            </w:r>
          </w:p>
        </w:tc>
      </w:tr>
      <w:tr w:rsidR="00015C55" w:rsidRPr="00015C55" w:rsidTr="004E1329">
        <w:trPr>
          <w:trHeight w:val="255"/>
          <w:jc w:val="center"/>
        </w:trPr>
        <w:tc>
          <w:tcPr>
            <w:tcW w:w="41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Gubitak razdoblja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336.015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133.319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147.399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101.307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80.937</w:t>
            </w:r>
          </w:p>
        </w:tc>
      </w:tr>
      <w:tr w:rsidR="00015C55" w:rsidRPr="00015C55" w:rsidTr="004E1329">
        <w:trPr>
          <w:trHeight w:val="255"/>
          <w:jc w:val="center"/>
        </w:trPr>
        <w:tc>
          <w:tcPr>
            <w:tcW w:w="41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EEEEEE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Neto dobit/gubitak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EEEEE"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  <w:lang w:eastAsia="hr-HR"/>
              </w:rPr>
              <w:t>-237.319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EEEEE"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25.326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EEEEE"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106.771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EEEEE"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272.271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EEEEEE"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b/>
                <w:bCs/>
                <w:color w:val="244061"/>
                <w:sz w:val="18"/>
                <w:szCs w:val="18"/>
                <w:lang w:eastAsia="hr-HR"/>
              </w:rPr>
              <w:t>402.300</w:t>
            </w:r>
          </w:p>
        </w:tc>
      </w:tr>
      <w:tr w:rsidR="00015C55" w:rsidRPr="00015C55" w:rsidTr="004E1329">
        <w:trPr>
          <w:trHeight w:val="255"/>
          <w:jc w:val="center"/>
        </w:trPr>
        <w:tc>
          <w:tcPr>
            <w:tcW w:w="41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Investicije u novu dugotrajnu imovinu</w:t>
            </w: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vertAlign w:val="superscript"/>
                <w:lang w:eastAsia="hr-HR"/>
              </w:rPr>
              <w:footnoteReference w:id="2"/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180.742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148.273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40.731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66.935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159.546</w:t>
            </w:r>
          </w:p>
        </w:tc>
      </w:tr>
      <w:tr w:rsidR="00015C55" w:rsidRPr="00015C55" w:rsidTr="004E1329">
        <w:trPr>
          <w:trHeight w:val="255"/>
          <w:jc w:val="center"/>
        </w:trPr>
        <w:tc>
          <w:tcPr>
            <w:tcW w:w="414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Prosječne mjesečne neto plaće po zaposlenom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3.607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3.400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3.766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00325A"/>
                <w:sz w:val="18"/>
                <w:szCs w:val="18"/>
                <w:lang w:eastAsia="hr-HR"/>
              </w:rPr>
              <w:t>3.749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003366"/>
                <w:sz w:val="18"/>
                <w:szCs w:val="18"/>
                <w:lang w:eastAsia="hr-HR"/>
              </w:rPr>
              <w:t>3.757</w:t>
            </w:r>
          </w:p>
        </w:tc>
      </w:tr>
    </w:tbl>
    <w:p w:rsidR="00015C55" w:rsidRPr="00015C55" w:rsidRDefault="00015C55" w:rsidP="00015C55">
      <w:pPr>
        <w:tabs>
          <w:tab w:val="left" w:pos="993"/>
        </w:tabs>
        <w:spacing w:before="60" w:after="0"/>
        <w:jc w:val="both"/>
        <w:rPr>
          <w:rFonts w:ascii="Arial" w:eastAsia="Calibri" w:hAnsi="Arial" w:cs="Arial"/>
          <w:i/>
          <w:color w:val="17365D"/>
          <w:sz w:val="16"/>
          <w:szCs w:val="16"/>
        </w:rPr>
      </w:pPr>
      <w:r w:rsidRPr="00015C55">
        <w:rPr>
          <w:rFonts w:ascii="Arial" w:eastAsia="Calibri" w:hAnsi="Arial" w:cs="Arial"/>
          <w:i/>
          <w:color w:val="17365D"/>
          <w:sz w:val="16"/>
          <w:szCs w:val="16"/>
        </w:rPr>
        <w:t>Izvor: Fina, Registar godišnjih financijskih izvještaja, obrada GFI-a za 2012. – 2016. godinu</w:t>
      </w:r>
    </w:p>
    <w:p w:rsidR="008E63E2" w:rsidRPr="00015C55" w:rsidRDefault="008E63E2" w:rsidP="008E63E2">
      <w:pPr>
        <w:widowControl w:val="0"/>
        <w:tabs>
          <w:tab w:val="left" w:pos="993"/>
        </w:tabs>
        <w:spacing w:before="180" w:after="0"/>
        <w:jc w:val="both"/>
        <w:rPr>
          <w:rFonts w:ascii="Arial" w:eastAsia="Calibri" w:hAnsi="Arial" w:cs="Arial"/>
          <w:color w:val="17365D"/>
          <w:sz w:val="20"/>
          <w:szCs w:val="20"/>
        </w:rPr>
      </w:pPr>
      <w:r w:rsidRPr="00015C55">
        <w:rPr>
          <w:rFonts w:ascii="Arial" w:eastAsia="Calibri" w:hAnsi="Arial" w:cs="Arial"/>
          <w:color w:val="17365D"/>
          <w:sz w:val="20"/>
          <w:szCs w:val="20"/>
        </w:rPr>
        <w:t xml:space="preserve">Prema rezultatima koje su poduzetnici sa sjedištem u gradu Vukovaru iskazali u godišnjim financijskim izvještajima evidentiranim u Registru godišnjih financijskih izvještaja, u razdoblju od 2012. do 2016. godine, </w:t>
      </w:r>
      <w:r w:rsidRPr="00015C55">
        <w:rPr>
          <w:rFonts w:ascii="Arial" w:eastAsia="Calibri" w:hAnsi="Arial" w:cs="Arial"/>
          <w:color w:val="17365D"/>
          <w:sz w:val="20"/>
          <w:szCs w:val="20"/>
        </w:rPr>
        <w:lastRenderedPageBreak/>
        <w:t xml:space="preserve">najveći ukupan prihod ostvaren je u 2015. godini i iznosio je 6,1 milijardu kuna, odnosno 13,7 % više u usporedbi s 2016. godinom. Najveći ukupni rashodi također su ostvareni 2015. godine. </w:t>
      </w:r>
    </w:p>
    <w:p w:rsidR="00015C55" w:rsidRPr="00015C55" w:rsidRDefault="00015C55" w:rsidP="008E63E2">
      <w:pPr>
        <w:widowControl w:val="0"/>
        <w:tabs>
          <w:tab w:val="left" w:pos="993"/>
        </w:tabs>
        <w:spacing w:before="120" w:after="0"/>
        <w:jc w:val="both"/>
        <w:rPr>
          <w:rFonts w:ascii="Arial" w:eastAsia="Calibri" w:hAnsi="Arial" w:cs="Arial"/>
          <w:color w:val="17365D"/>
          <w:sz w:val="20"/>
          <w:szCs w:val="20"/>
        </w:rPr>
      </w:pPr>
      <w:r w:rsidRPr="00015C55">
        <w:rPr>
          <w:rFonts w:ascii="Arial" w:eastAsia="Calibri" w:hAnsi="Arial" w:cs="Arial"/>
          <w:color w:val="17365D"/>
          <w:sz w:val="20"/>
          <w:szCs w:val="20"/>
        </w:rPr>
        <w:t xml:space="preserve">Dinamika investicija u novu dugotrajnu imovinu, prema prezentiranim podacima i s obzirom na početno promatranu godinu koja je ujedno i godina s najvećim iznosom investicija, bilježi pad u razdoblju 2013. - 2015. godine, da bi u 2016. godini zabilježila značajan rast, za 92,6 milijuna kuna ili 138,4 % u odnosu na 2015. godinu. </w:t>
      </w:r>
      <w:r w:rsidR="00D163DD" w:rsidRPr="003B565B">
        <w:rPr>
          <w:rFonts w:ascii="Arial" w:eastAsia="Calibri" w:hAnsi="Arial" w:cs="Arial"/>
          <w:color w:val="17365D"/>
          <w:sz w:val="20"/>
          <w:szCs w:val="20"/>
        </w:rPr>
        <w:t xml:space="preserve">Na prvom mjestu rang liste prema iznosu investicija u novu dugotrajnu imovinu, 2012. i 2016. godine, bilo je društvo </w:t>
      </w:r>
      <w:hyperlink r:id="rId10" w:history="1">
        <w:r w:rsidR="00D163DD" w:rsidRPr="003B565B">
          <w:rPr>
            <w:rStyle w:val="Hyperlink"/>
            <w:rFonts w:ascii="Arial" w:eastAsia="Calibri" w:hAnsi="Arial" w:cs="Arial"/>
            <w:sz w:val="20"/>
            <w:szCs w:val="20"/>
          </w:rPr>
          <w:t>VODOVOD GRADA VUKOVARA d.o.o.</w:t>
        </w:r>
      </w:hyperlink>
      <w:r w:rsidR="00D163DD" w:rsidRPr="003B565B">
        <w:rPr>
          <w:rFonts w:ascii="Arial" w:eastAsia="Calibri" w:hAnsi="Arial" w:cs="Arial"/>
          <w:color w:val="17365D"/>
          <w:sz w:val="20"/>
          <w:szCs w:val="20"/>
        </w:rPr>
        <w:t xml:space="preserve"> s ostvarenih 59,6 milijuna kuna u 2012. i 124,6 milijuna kuna </w:t>
      </w:r>
      <w:r w:rsidR="00BB3973" w:rsidRPr="003B565B">
        <w:rPr>
          <w:rFonts w:ascii="Arial" w:eastAsia="Calibri" w:hAnsi="Arial" w:cs="Arial"/>
          <w:color w:val="17365D"/>
          <w:sz w:val="20"/>
          <w:szCs w:val="20"/>
        </w:rPr>
        <w:t xml:space="preserve">investicija </w:t>
      </w:r>
      <w:r w:rsidR="00D163DD" w:rsidRPr="003B565B">
        <w:rPr>
          <w:rFonts w:ascii="Arial" w:eastAsia="Calibri" w:hAnsi="Arial" w:cs="Arial"/>
          <w:color w:val="17365D"/>
          <w:sz w:val="20"/>
          <w:szCs w:val="20"/>
        </w:rPr>
        <w:t xml:space="preserve">u 2016. godini. Društva </w:t>
      </w:r>
      <w:hyperlink r:id="rId11" w:history="1">
        <w:r w:rsidR="00D163DD" w:rsidRPr="003B565B">
          <w:rPr>
            <w:rStyle w:val="Hyperlink"/>
            <w:rFonts w:ascii="Arial" w:eastAsia="Calibri" w:hAnsi="Arial" w:cs="Arial"/>
            <w:sz w:val="20"/>
            <w:szCs w:val="20"/>
          </w:rPr>
          <w:t>VUPIK d.d.</w:t>
        </w:r>
      </w:hyperlink>
      <w:r w:rsidR="00D163DD" w:rsidRPr="003B565B">
        <w:rPr>
          <w:rFonts w:ascii="Arial" w:eastAsia="Calibri" w:hAnsi="Arial" w:cs="Arial"/>
          <w:color w:val="17365D"/>
          <w:sz w:val="20"/>
          <w:szCs w:val="20"/>
        </w:rPr>
        <w:t xml:space="preserve"> i </w:t>
      </w:r>
      <w:hyperlink r:id="rId12" w:history="1">
        <w:r w:rsidR="00D163DD" w:rsidRPr="003B565B">
          <w:rPr>
            <w:rStyle w:val="Hyperlink"/>
            <w:rFonts w:ascii="Arial" w:eastAsia="Calibri" w:hAnsi="Arial" w:cs="Arial"/>
            <w:sz w:val="20"/>
            <w:szCs w:val="20"/>
          </w:rPr>
          <w:t>AUTOPRAONICE SLAVONIJA d.o.o.</w:t>
        </w:r>
      </w:hyperlink>
      <w:r w:rsidR="00D163DD" w:rsidRPr="003B565B">
        <w:rPr>
          <w:rFonts w:ascii="Arial" w:eastAsia="Calibri" w:hAnsi="Arial" w:cs="Arial"/>
          <w:color w:val="17365D"/>
          <w:sz w:val="20"/>
          <w:szCs w:val="20"/>
        </w:rPr>
        <w:t xml:space="preserve"> također su 2012. godine doprinijele sveukupnom iznosu investicija sa svojih ukupno ostvarenih 62,5 milijuna kuna.</w:t>
      </w:r>
    </w:p>
    <w:p w:rsidR="008E63E2" w:rsidRPr="008E63E2" w:rsidRDefault="008E63E2" w:rsidP="008E63E2">
      <w:pPr>
        <w:tabs>
          <w:tab w:val="left" w:pos="993"/>
        </w:tabs>
        <w:spacing w:before="120" w:after="0"/>
        <w:jc w:val="both"/>
        <w:rPr>
          <w:rFonts w:ascii="Arial" w:eastAsia="Calibri" w:hAnsi="Arial" w:cs="Arial"/>
          <w:color w:val="17365D"/>
          <w:sz w:val="20"/>
          <w:szCs w:val="20"/>
        </w:rPr>
      </w:pPr>
      <w:r w:rsidRPr="008E63E2">
        <w:rPr>
          <w:rFonts w:ascii="Arial" w:eastAsia="Calibri" w:hAnsi="Arial" w:cs="Arial"/>
          <w:color w:val="17365D"/>
          <w:sz w:val="20"/>
          <w:szCs w:val="20"/>
        </w:rPr>
        <w:t xml:space="preserve">Od 454 poduzetnika sa sjedištem u Vukovaru, po ostvarenoj dobiti u 2016. godini izdvaja se srednje veliki poduzetnik </w:t>
      </w:r>
      <w:hyperlink r:id="rId13" w:history="1">
        <w:r w:rsidRPr="008E63E2">
          <w:rPr>
            <w:rFonts w:ascii="Arial" w:eastAsia="Calibri" w:hAnsi="Arial" w:cs="Arial"/>
            <w:color w:val="0000FF"/>
            <w:sz w:val="20"/>
            <w:szCs w:val="20"/>
            <w:u w:val="single"/>
          </w:rPr>
          <w:t>ENERGIA NATURALIS d.o.o.</w:t>
        </w:r>
      </w:hyperlink>
      <w:r w:rsidRPr="008E63E2">
        <w:rPr>
          <w:rFonts w:ascii="Arial" w:eastAsia="Calibri" w:hAnsi="Arial" w:cs="Arial"/>
          <w:color w:val="17365D"/>
          <w:sz w:val="20"/>
          <w:szCs w:val="20"/>
        </w:rPr>
        <w:t xml:space="preserve">, čija je pretežita djelatnost 35.11 Proizvodnja električne energije. Sa 12 zaposlenih društvo je ostvarilo 223,5 milijuna kuna prihoda i dobit razdoblja od 209,4 milijuna kuna. </w:t>
      </w:r>
    </w:p>
    <w:p w:rsidR="00D163DD" w:rsidRDefault="00D163DD" w:rsidP="00015C55">
      <w:pPr>
        <w:spacing w:before="120" w:after="0" w:line="264" w:lineRule="auto"/>
        <w:jc w:val="both"/>
        <w:rPr>
          <w:rFonts w:ascii="Arial" w:eastAsia="Times New Roman" w:hAnsi="Arial" w:cs="Times New Roman"/>
          <w:color w:val="244061"/>
          <w:sz w:val="20"/>
          <w:szCs w:val="20"/>
          <w:lang w:eastAsia="hr-HR"/>
        </w:rPr>
      </w:pPr>
      <w:r w:rsidRPr="00D163DD">
        <w:rPr>
          <w:rFonts w:ascii="Arial" w:eastAsia="Times New Roman" w:hAnsi="Arial" w:cs="Times New Roman"/>
          <w:color w:val="244061"/>
          <w:sz w:val="20"/>
          <w:szCs w:val="20"/>
          <w:lang w:eastAsia="hr-HR"/>
        </w:rPr>
        <w:t>Najviša prosječna mjesečna plaća obračunata je u 2014. godini i iznosila je 3.766 kuna ili 366 kuna više s obzirom na prosječnu plaću obračunatu u 2013. godini koja je bila najniža u promatranom periodu, ali i 9 kuna više u odnosu na prosječnu plaću obračunatu u 2016. godini.</w:t>
      </w:r>
    </w:p>
    <w:p w:rsidR="00015C55" w:rsidRPr="00182954" w:rsidRDefault="00015C55" w:rsidP="00015C55">
      <w:pPr>
        <w:spacing w:before="120" w:after="0" w:line="264" w:lineRule="auto"/>
        <w:jc w:val="both"/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</w:pPr>
      <w:r w:rsidRPr="00015C55">
        <w:rPr>
          <w:rFonts w:ascii="Arial" w:eastAsia="Times New Roman" w:hAnsi="Arial" w:cs="Times New Roman"/>
          <w:color w:val="244061"/>
          <w:sz w:val="20"/>
          <w:szCs w:val="20"/>
          <w:lang w:eastAsia="hr-HR"/>
        </w:rPr>
        <w:t xml:space="preserve">Kroz razdoblje od 2012. do 2016. godine, </w:t>
      </w:r>
      <w:hyperlink r:id="rId14" w:history="1">
        <w:r w:rsidRPr="00B92EC5">
          <w:rPr>
            <w:rStyle w:val="Hyperlink"/>
            <w:rFonts w:ascii="Arial" w:eastAsia="Times New Roman" w:hAnsi="Arial" w:cs="Times New Roman"/>
            <w:sz w:val="20"/>
            <w:szCs w:val="20"/>
            <w:lang w:eastAsia="hr-HR"/>
          </w:rPr>
          <w:t>PRVO PLINARSKO DRUŠTVO d.o.o.</w:t>
        </w:r>
      </w:hyperlink>
      <w:r w:rsidRPr="00015C55">
        <w:rPr>
          <w:rFonts w:ascii="Arial" w:eastAsia="Times New Roman" w:hAnsi="Arial" w:cs="Times New Roman"/>
          <w:color w:val="244061"/>
          <w:sz w:val="20"/>
          <w:szCs w:val="20"/>
          <w:lang w:eastAsia="hr-HR"/>
        </w:rPr>
        <w:t xml:space="preserve"> posluje s dobiti uz ostvarenje značajnih prihoda. </w:t>
      </w:r>
      <w:r>
        <w:rPr>
          <w:rFonts w:ascii="Arial" w:eastAsia="Times New Roman" w:hAnsi="Arial" w:cs="Times New Roman"/>
          <w:color w:val="244061"/>
          <w:sz w:val="20"/>
          <w:szCs w:val="20"/>
          <w:lang w:eastAsia="hr-HR"/>
        </w:rPr>
        <w:t xml:space="preserve">U odnosu na prvu promatranu godinu (2012.), prihod ovog poduzetnika je u 2016. godini veći za 11 puta (1129 %). </w:t>
      </w:r>
      <w:r w:rsidR="00182954" w:rsidRPr="00182954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Broj zaposl</w:t>
      </w:r>
      <w:bookmarkStart w:id="0" w:name="_GoBack"/>
      <w:bookmarkEnd w:id="0"/>
      <w:r w:rsidR="00182954" w:rsidRPr="00182954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 xml:space="preserve">enih varira, dok prihodi i dobit razdoblja u pravilu rastu, s iznimkom2016. godine kada je ostvaren manji prihod u odnosu na 2015. godinu, kao i manja dobit razdoblja u odnosu na prethodno poslovno razdoblje </w:t>
      </w:r>
      <w:r w:rsidRPr="00182954">
        <w:rPr>
          <w:rFonts w:ascii="Arial" w:eastAsia="Times New Roman" w:hAnsi="Arial" w:cs="Times New Roman"/>
          <w:color w:val="244061" w:themeColor="accent1" w:themeShade="80"/>
          <w:sz w:val="20"/>
          <w:szCs w:val="20"/>
          <w:lang w:eastAsia="hr-HR"/>
        </w:rPr>
        <w:t>(tablica 2.).</w:t>
      </w:r>
    </w:p>
    <w:p w:rsidR="00015C55" w:rsidRPr="00015C55" w:rsidRDefault="00015C55" w:rsidP="00015C55">
      <w:pPr>
        <w:widowControl w:val="0"/>
        <w:tabs>
          <w:tab w:val="right" w:pos="9781"/>
        </w:tabs>
        <w:spacing w:before="180" w:after="40" w:line="240" w:lineRule="auto"/>
        <w:ind w:left="992" w:hanging="992"/>
        <w:rPr>
          <w:rFonts w:ascii="Arial" w:eastAsia="Times New Roman" w:hAnsi="Arial" w:cs="Arial"/>
          <w:color w:val="17365D"/>
          <w:sz w:val="16"/>
          <w:szCs w:val="16"/>
          <w:lang w:eastAsia="hr-HR"/>
        </w:rPr>
      </w:pPr>
      <w:r w:rsidRPr="00015C55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>Tablica 2.</w:t>
      </w:r>
      <w:r w:rsidRPr="00015C55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ab/>
        <w:t xml:space="preserve">Veliko društvo </w:t>
      </w:r>
      <w:hyperlink r:id="rId15" w:history="1">
        <w:r w:rsidRPr="00015C55">
          <w:rPr>
            <w:rFonts w:ascii="Arial" w:eastAsia="Times New Roman" w:hAnsi="Arial" w:cs="Times New Roman"/>
            <w:b/>
            <w:color w:val="0000FF"/>
            <w:sz w:val="18"/>
            <w:szCs w:val="18"/>
            <w:u w:val="single"/>
            <w:lang w:eastAsia="hr-HR"/>
          </w:rPr>
          <w:t>PRVO PLINARSKO DRUŠTVO d.o.o.</w:t>
        </w:r>
      </w:hyperlink>
      <w:r w:rsidRPr="00015C55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 xml:space="preserve"> – broj zaposlenih, ukupan prihod i neto dobit/gubitak u razdoblju od 2012. do 2016. godine </w:t>
      </w:r>
      <w:r w:rsidRPr="00015C55">
        <w:rPr>
          <w:rFonts w:ascii="Arial" w:eastAsia="Times New Roman" w:hAnsi="Arial" w:cs="Times New Roman"/>
          <w:b/>
          <w:color w:val="17365D"/>
          <w:sz w:val="18"/>
          <w:szCs w:val="18"/>
          <w:lang w:eastAsia="hr-HR"/>
        </w:rPr>
        <w:tab/>
      </w:r>
      <w:r w:rsidRPr="00015C55">
        <w:rPr>
          <w:rFonts w:ascii="Arial" w:eastAsia="Times New Roman" w:hAnsi="Arial" w:cs="Arial"/>
          <w:color w:val="17365D"/>
          <w:sz w:val="16"/>
          <w:szCs w:val="16"/>
          <w:lang w:eastAsia="hr-HR"/>
        </w:rPr>
        <w:t>(iznosi u kunama)</w:t>
      </w:r>
    </w:p>
    <w:tbl>
      <w:tblPr>
        <w:tblW w:w="9771" w:type="dxa"/>
        <w:jc w:val="center"/>
        <w:tblInd w:w="142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95"/>
        <w:gridCol w:w="709"/>
        <w:gridCol w:w="4252"/>
        <w:gridCol w:w="992"/>
        <w:gridCol w:w="1636"/>
        <w:gridCol w:w="1587"/>
      </w:tblGrid>
      <w:tr w:rsidR="00015C55" w:rsidRPr="00015C55" w:rsidTr="00D163DD">
        <w:trPr>
          <w:cantSplit/>
          <w:jc w:val="center"/>
        </w:trPr>
        <w:tc>
          <w:tcPr>
            <w:tcW w:w="5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16365C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God</w:t>
            </w: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709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NKD 2007.</w:t>
            </w:r>
          </w:p>
        </w:tc>
        <w:tc>
          <w:tcPr>
            <w:tcW w:w="425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Opis pretežite djelatnosti</w:t>
            </w:r>
          </w:p>
        </w:tc>
        <w:tc>
          <w:tcPr>
            <w:tcW w:w="992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Zaposleni</w:t>
            </w:r>
          </w:p>
        </w:tc>
        <w:tc>
          <w:tcPr>
            <w:tcW w:w="163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Prihod</w:t>
            </w:r>
          </w:p>
        </w:tc>
        <w:tc>
          <w:tcPr>
            <w:tcW w:w="158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16365C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Neto dobit/gubitak</w:t>
            </w:r>
          </w:p>
        </w:tc>
      </w:tr>
      <w:tr w:rsidR="00015C55" w:rsidRPr="00015C55" w:rsidTr="00D163DD">
        <w:trPr>
          <w:cantSplit/>
          <w:trHeight w:val="227"/>
          <w:jc w:val="center"/>
        </w:trPr>
        <w:tc>
          <w:tcPr>
            <w:tcW w:w="5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2012.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35.23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Trgovina plinom distribucijskom mrežom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32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292.539.426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17.296.607</w:t>
            </w:r>
          </w:p>
        </w:tc>
      </w:tr>
      <w:tr w:rsidR="00015C55" w:rsidRPr="00015C55" w:rsidTr="00D163DD">
        <w:trPr>
          <w:cantSplit/>
          <w:trHeight w:val="227"/>
          <w:jc w:val="center"/>
        </w:trPr>
        <w:tc>
          <w:tcPr>
            <w:tcW w:w="5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2013.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35.23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Trgovina plinom distribucijskom mrežom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40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910.159.132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67.600.764</w:t>
            </w:r>
          </w:p>
        </w:tc>
      </w:tr>
      <w:tr w:rsidR="00015C55" w:rsidRPr="00015C55" w:rsidTr="00D163DD">
        <w:trPr>
          <w:cantSplit/>
          <w:trHeight w:val="227"/>
          <w:jc w:val="center"/>
        </w:trPr>
        <w:tc>
          <w:tcPr>
            <w:tcW w:w="5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2014.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35.23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Trgovina plinom distribucijskom mrežom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51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2.884.135.578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128.718.121</w:t>
            </w:r>
          </w:p>
        </w:tc>
      </w:tr>
      <w:tr w:rsidR="00015C55" w:rsidRPr="00015C55" w:rsidTr="00D163DD">
        <w:trPr>
          <w:cantSplit/>
          <w:trHeight w:val="227"/>
          <w:jc w:val="center"/>
        </w:trPr>
        <w:tc>
          <w:tcPr>
            <w:tcW w:w="5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2015.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35.23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Trgovina plinom distribucijskom mrežom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15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3.752.368.234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206.505.416</w:t>
            </w:r>
          </w:p>
        </w:tc>
      </w:tr>
      <w:tr w:rsidR="00015C55" w:rsidRPr="00015C55" w:rsidTr="00D163DD">
        <w:trPr>
          <w:cantSplit/>
          <w:trHeight w:val="227"/>
          <w:jc w:val="center"/>
        </w:trPr>
        <w:tc>
          <w:tcPr>
            <w:tcW w:w="595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2016.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35.22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Distribucija plinovitih goriva distribucijskom mrežom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3.302.722.249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:rsidR="00015C55" w:rsidRPr="00015C55" w:rsidRDefault="00015C55" w:rsidP="00015C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</w:pPr>
            <w:r w:rsidRPr="00015C55">
              <w:rPr>
                <w:rFonts w:ascii="Arial" w:eastAsia="Times New Roman" w:hAnsi="Arial" w:cs="Arial"/>
                <w:color w:val="244061"/>
                <w:sz w:val="18"/>
                <w:szCs w:val="18"/>
                <w:lang w:eastAsia="hr-HR"/>
              </w:rPr>
              <w:t>179.872.944</w:t>
            </w:r>
          </w:p>
        </w:tc>
      </w:tr>
    </w:tbl>
    <w:p w:rsidR="00015C55" w:rsidRDefault="00015C55" w:rsidP="00015C55">
      <w:pPr>
        <w:spacing w:before="60" w:after="0"/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</w:pPr>
      <w:r w:rsidRPr="00015C55">
        <w:rPr>
          <w:rFonts w:ascii="Arial" w:eastAsia="Times New Roman" w:hAnsi="Arial" w:cs="Times New Roman"/>
          <w:i/>
          <w:color w:val="17365D"/>
          <w:sz w:val="16"/>
          <w:szCs w:val="16"/>
          <w:lang w:eastAsia="hr-HR"/>
        </w:rPr>
        <w:t>Izvor: Fina, Registar godišnjih financijskih izvještaja</w:t>
      </w:r>
    </w:p>
    <w:p w:rsidR="00D97A89" w:rsidRPr="004E1329" w:rsidRDefault="00D97A89" w:rsidP="004E1329">
      <w:pPr>
        <w:pBdr>
          <w:bottom w:val="single" w:sz="12" w:space="1" w:color="auto"/>
        </w:pBdr>
        <w:spacing w:after="0"/>
        <w:rPr>
          <w:rFonts w:ascii="Arial" w:eastAsia="Times New Roman" w:hAnsi="Arial" w:cs="Times New Roman"/>
          <w:color w:val="17365D"/>
          <w:sz w:val="16"/>
          <w:szCs w:val="16"/>
          <w:lang w:eastAsia="hr-HR"/>
        </w:rPr>
      </w:pPr>
    </w:p>
    <w:p w:rsidR="00D97A89" w:rsidRPr="00D97A89" w:rsidRDefault="00D97A89" w:rsidP="00D97A89">
      <w:pPr>
        <w:spacing w:before="120" w:after="0" w:line="240" w:lineRule="auto"/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</w:pPr>
      <w:r w:rsidRPr="00D97A89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 xml:space="preserve">Više o rezultatima poslovanja poduzetnika po područjima djelatnosti i po drugim kriterijima, prezentirano je u </w:t>
      </w:r>
      <w:hyperlink r:id="rId16" w:history="1">
        <w:r w:rsidRPr="00D97A89">
          <w:rPr>
            <w:rFonts w:ascii="Arial" w:eastAsia="Times New Roman" w:hAnsi="Arial" w:cs="Arial"/>
            <w:i/>
            <w:color w:val="0000FF"/>
            <w:sz w:val="18"/>
            <w:szCs w:val="18"/>
            <w:u w:val="single"/>
            <w:lang w:eastAsia="hr-HR"/>
          </w:rPr>
          <w:t>standardnim analizama</w:t>
        </w:r>
      </w:hyperlink>
      <w:r w:rsidRPr="00D97A89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 xml:space="preserve"> rezultata poslovanja poduzetnika RH, po županijama i po gradovima i općinama u 2015. godini. </w:t>
      </w:r>
    </w:p>
    <w:p w:rsidR="00D97A89" w:rsidRPr="00D97A89" w:rsidRDefault="00D97A89" w:rsidP="00D97A89">
      <w:pPr>
        <w:spacing w:before="120" w:after="0" w:line="240" w:lineRule="auto"/>
        <w:rPr>
          <w:rFonts w:ascii="Arial" w:eastAsia="Calibri" w:hAnsi="Arial" w:cs="Arial"/>
          <w:i/>
          <w:color w:val="244061"/>
          <w:sz w:val="18"/>
          <w:szCs w:val="18"/>
          <w:lang w:eastAsia="hr-HR"/>
        </w:rPr>
      </w:pPr>
      <w:r w:rsidRPr="00D97A89">
        <w:rPr>
          <w:rFonts w:ascii="Arial" w:eastAsia="Times New Roman" w:hAnsi="Arial" w:cs="Arial"/>
          <w:i/>
          <w:color w:val="17365D"/>
          <w:sz w:val="18"/>
          <w:szCs w:val="18"/>
          <w:lang w:eastAsia="hr-HR"/>
        </w:rPr>
        <w:t>Pojedinačni podaci o rezultatima poslovanja poduzetnika dostupni su besplatno na</w:t>
      </w:r>
      <w:r w:rsidRPr="00D97A89">
        <w:rPr>
          <w:rFonts w:ascii="Arial" w:eastAsia="Calibri" w:hAnsi="Arial" w:cs="Arial"/>
          <w:i/>
          <w:color w:val="17365D"/>
          <w:sz w:val="18"/>
          <w:szCs w:val="18"/>
          <w:lang w:eastAsia="hr-HR"/>
        </w:rPr>
        <w:t xml:space="preserve"> </w:t>
      </w:r>
      <w:hyperlink r:id="rId17" w:history="1">
        <w:r w:rsidRPr="00D97A89">
          <w:rPr>
            <w:rFonts w:ascii="Arial" w:eastAsia="Calibri" w:hAnsi="Arial" w:cs="Arial"/>
            <w:i/>
            <w:color w:val="0000FF"/>
            <w:sz w:val="18"/>
            <w:szCs w:val="18"/>
            <w:u w:val="single"/>
            <w:lang w:eastAsia="hr-HR"/>
          </w:rPr>
          <w:t>RGFI – javna objava</w:t>
        </w:r>
      </w:hyperlink>
      <w:r w:rsidRPr="00D97A89">
        <w:rPr>
          <w:rFonts w:ascii="Arial" w:eastAsia="Calibri" w:hAnsi="Arial" w:cs="Arial"/>
          <w:i/>
          <w:color w:val="0F243E"/>
          <w:sz w:val="18"/>
          <w:szCs w:val="18"/>
          <w:lang w:eastAsia="hr-HR"/>
        </w:rPr>
        <w:t xml:space="preserve"> </w:t>
      </w:r>
      <w:r w:rsidRPr="00D97A89">
        <w:rPr>
          <w:rFonts w:ascii="Arial" w:eastAsia="Times New Roman" w:hAnsi="Arial" w:cs="Arial"/>
          <w:i/>
          <w:color w:val="17375E"/>
          <w:sz w:val="18"/>
          <w:szCs w:val="18"/>
          <w:lang w:eastAsia="hr-HR"/>
        </w:rPr>
        <w:t>i na</w:t>
      </w:r>
      <w:r w:rsidRPr="00D97A89">
        <w:rPr>
          <w:rFonts w:ascii="Arial" w:eastAsia="Calibri" w:hAnsi="Arial" w:cs="Arial"/>
          <w:i/>
          <w:color w:val="0F243E"/>
          <w:sz w:val="18"/>
          <w:szCs w:val="18"/>
          <w:lang w:eastAsia="hr-HR"/>
        </w:rPr>
        <w:t xml:space="preserve"> </w:t>
      </w:r>
      <w:hyperlink r:id="rId18" w:history="1">
        <w:r w:rsidRPr="00D97A89">
          <w:rPr>
            <w:rFonts w:ascii="Arial" w:eastAsia="Calibri" w:hAnsi="Arial" w:cs="Arial"/>
            <w:i/>
            <w:color w:val="0000FF"/>
            <w:sz w:val="18"/>
            <w:szCs w:val="18"/>
            <w:u w:val="single"/>
            <w:lang w:eastAsia="hr-HR"/>
          </w:rPr>
          <w:t>Transparentno.hr</w:t>
        </w:r>
      </w:hyperlink>
      <w:r w:rsidRPr="00D97A89">
        <w:rPr>
          <w:rFonts w:ascii="Arial" w:eastAsia="Calibri" w:hAnsi="Arial" w:cs="Arial"/>
          <w:i/>
          <w:color w:val="0000FF"/>
          <w:sz w:val="18"/>
          <w:szCs w:val="18"/>
          <w:u w:val="single"/>
          <w:lang w:eastAsia="hr-HR"/>
        </w:rPr>
        <w:t>,</w:t>
      </w:r>
      <w:r w:rsidRPr="00D97A89">
        <w:rPr>
          <w:rFonts w:ascii="Arial" w:eastAsia="Calibri" w:hAnsi="Arial" w:cs="Arial"/>
          <w:i/>
          <w:color w:val="0000FF"/>
          <w:sz w:val="18"/>
          <w:szCs w:val="18"/>
          <w:lang w:eastAsia="hr-HR"/>
        </w:rPr>
        <w:t xml:space="preserve"> </w:t>
      </w:r>
      <w:r w:rsidRPr="00D97A89">
        <w:rPr>
          <w:rFonts w:ascii="Arial" w:eastAsia="Calibri" w:hAnsi="Arial" w:cs="Arial"/>
          <w:i/>
          <w:color w:val="244061"/>
          <w:sz w:val="18"/>
          <w:szCs w:val="18"/>
          <w:lang w:eastAsia="hr-HR"/>
        </w:rPr>
        <w:t xml:space="preserve">a agregirani i pojedinačni podaci dostupni su uz naknadu na servisu </w:t>
      </w:r>
      <w:hyperlink r:id="rId19" w:history="1">
        <w:r w:rsidRPr="00D97A89">
          <w:rPr>
            <w:rFonts w:ascii="Arial" w:eastAsia="Calibri" w:hAnsi="Arial" w:cs="Arial"/>
            <w:i/>
            <w:color w:val="0000FF"/>
            <w:sz w:val="18"/>
            <w:szCs w:val="18"/>
            <w:u w:val="single"/>
            <w:lang w:eastAsia="hr-HR"/>
          </w:rPr>
          <w:t>info.BIZ</w:t>
        </w:r>
      </w:hyperlink>
    </w:p>
    <w:p w:rsidR="00D97A89" w:rsidRPr="00D97A89" w:rsidRDefault="00D97A89" w:rsidP="00D97A89">
      <w:pPr>
        <w:spacing w:before="120" w:after="120"/>
        <w:rPr>
          <w:rFonts w:ascii="Arial" w:eastAsia="Calibri" w:hAnsi="Arial" w:cs="Arial"/>
          <w:bCs/>
          <w:i/>
          <w:color w:val="17365D"/>
          <w:sz w:val="18"/>
          <w:szCs w:val="18"/>
        </w:rPr>
      </w:pPr>
      <w:r w:rsidRPr="00D97A89">
        <w:rPr>
          <w:rFonts w:ascii="Arial" w:eastAsia="Calibri" w:hAnsi="Arial" w:cs="Arial"/>
          <w:bCs/>
          <w:i/>
          <w:color w:val="17365D"/>
          <w:sz w:val="18"/>
          <w:szCs w:val="18"/>
        </w:rPr>
        <w:t xml:space="preserve">Informacija o tome je li poslovni subjekt u blokadi ili ne, dostupna je korištenjem usluge </w:t>
      </w:r>
      <w:hyperlink r:id="rId20" w:history="1">
        <w:r w:rsidRPr="00D97A89">
          <w:rPr>
            <w:rFonts w:ascii="Arial" w:eastAsia="Calibri" w:hAnsi="Arial" w:cs="Arial"/>
            <w:bCs/>
            <w:i/>
            <w:color w:val="0000FF"/>
            <w:sz w:val="18"/>
            <w:szCs w:val="18"/>
            <w:u w:val="single"/>
          </w:rPr>
          <w:t>FINA InfoBlokade</w:t>
        </w:r>
      </w:hyperlink>
      <w:r w:rsidRPr="00D97A89">
        <w:rPr>
          <w:rFonts w:ascii="Arial" w:eastAsia="Calibri" w:hAnsi="Arial" w:cs="Arial"/>
          <w:bCs/>
          <w:i/>
          <w:color w:val="17365D"/>
          <w:sz w:val="18"/>
          <w:szCs w:val="18"/>
        </w:rPr>
        <w:t xml:space="preserve"> slanjem SMS poruke na broj 818058, te korištenjem </w:t>
      </w:r>
      <w:hyperlink r:id="rId21" w:history="1">
        <w:r w:rsidRPr="00D97A89">
          <w:rPr>
            <w:rFonts w:ascii="Arial" w:eastAsia="Calibri" w:hAnsi="Arial" w:cs="Arial"/>
            <w:bCs/>
            <w:i/>
            <w:color w:val="0000FF"/>
            <w:sz w:val="18"/>
            <w:szCs w:val="18"/>
            <w:u w:val="single"/>
          </w:rPr>
          <w:t>WEB aplikacije JRR</w:t>
        </w:r>
      </w:hyperlink>
      <w:r w:rsidRPr="00D97A89">
        <w:rPr>
          <w:rFonts w:ascii="Arial" w:eastAsia="Calibri" w:hAnsi="Arial" w:cs="Arial"/>
          <w:bCs/>
          <w:i/>
          <w:color w:val="17365D"/>
          <w:sz w:val="18"/>
          <w:szCs w:val="18"/>
        </w:rPr>
        <w:t xml:space="preserve"> tj. uvidom u podatke o računima i statusu blokade poslovnih subjekata, koji se ažuriraju u </w:t>
      </w:r>
      <w:hyperlink r:id="rId22" w:history="1">
        <w:r w:rsidRPr="00D97A89">
          <w:rPr>
            <w:rFonts w:ascii="Arial" w:eastAsia="Calibri" w:hAnsi="Arial" w:cs="Arial"/>
            <w:bCs/>
            <w:i/>
            <w:color w:val="0000FF"/>
            <w:sz w:val="18"/>
            <w:szCs w:val="18"/>
            <w:u w:val="single"/>
          </w:rPr>
          <w:t>Jedinstvenom registru računa</w:t>
        </w:r>
      </w:hyperlink>
      <w:r w:rsidRPr="00D97A89">
        <w:rPr>
          <w:rFonts w:ascii="Arial" w:eastAsia="Calibri" w:hAnsi="Arial" w:cs="Arial"/>
          <w:bCs/>
          <w:i/>
          <w:color w:val="17365D"/>
          <w:sz w:val="18"/>
          <w:szCs w:val="18"/>
        </w:rPr>
        <w:t xml:space="preserve"> kojega u skladu sa zakonskim propisima, od 2002. godine, vodi Financijska agencija.</w:t>
      </w:r>
    </w:p>
    <w:tbl>
      <w:tblPr>
        <w:tblW w:w="9245" w:type="dxa"/>
        <w:jc w:val="center"/>
        <w:tblInd w:w="10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blBorders>
        <w:tblLayout w:type="fixed"/>
        <w:tblLook w:val="00A0" w:firstRow="1" w:lastRow="0" w:firstColumn="1" w:lastColumn="0" w:noHBand="0" w:noVBand="0"/>
      </w:tblPr>
      <w:tblGrid>
        <w:gridCol w:w="3291"/>
        <w:gridCol w:w="2606"/>
        <w:gridCol w:w="3348"/>
      </w:tblGrid>
      <w:tr w:rsidR="00D97A89" w:rsidRPr="00D97A89" w:rsidTr="00190084">
        <w:trPr>
          <w:trHeight w:val="1616"/>
          <w:jc w:val="center"/>
        </w:trPr>
        <w:tc>
          <w:tcPr>
            <w:tcW w:w="3291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nil"/>
            </w:tcBorders>
            <w:vAlign w:val="center"/>
            <w:hideMark/>
          </w:tcPr>
          <w:p w:rsidR="00D97A89" w:rsidRPr="00D97A89" w:rsidRDefault="00D97A89" w:rsidP="00D97A89">
            <w:pPr>
              <w:jc w:val="center"/>
              <w:rPr>
                <w:rFonts w:ascii="Arial" w:eastAsia="Times New Roman" w:hAnsi="Arial" w:cs="Arial"/>
                <w:bCs/>
                <w:i/>
                <w:color w:val="17365D"/>
                <w:sz w:val="19"/>
                <w:szCs w:val="19"/>
                <w:lang w:eastAsia="hr-HR"/>
              </w:rPr>
            </w:pPr>
            <w:r>
              <w:rPr>
                <w:rFonts w:ascii="Arial" w:eastAsia="Times New Roman" w:hAnsi="Arial" w:cs="Arial"/>
                <w:noProof/>
                <w:color w:val="808080"/>
                <w:sz w:val="17"/>
                <w:szCs w:val="17"/>
                <w:lang w:eastAsia="hr-HR"/>
              </w:rPr>
              <w:drawing>
                <wp:inline distT="0" distB="0" distL="0" distR="0">
                  <wp:extent cx="2019935" cy="1797050"/>
                  <wp:effectExtent l="0" t="0" r="0" b="0"/>
                  <wp:docPr id="5" name="Picture 5" descr="Fina info šasija_210x270.jpg">
                    <a:hlinkClick xmlns:a="http://schemas.openxmlformats.org/drawingml/2006/main" r:id="rId23" tooltip="&quot;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68" descr="Fina info šasija_210x270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935" cy="179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6" w:type="dxa"/>
            <w:tcBorders>
              <w:top w:val="single" w:sz="4" w:space="0" w:color="D9D9D9"/>
              <w:left w:val="nil"/>
              <w:bottom w:val="single" w:sz="4" w:space="0" w:color="D9D9D9"/>
              <w:right w:val="nil"/>
            </w:tcBorders>
            <w:vAlign w:val="center"/>
            <w:hideMark/>
          </w:tcPr>
          <w:p w:rsidR="00D97A89" w:rsidRPr="00D97A89" w:rsidRDefault="00D97A89" w:rsidP="00D97A89">
            <w:pPr>
              <w:spacing w:after="0"/>
              <w:jc w:val="center"/>
              <w:rPr>
                <w:rFonts w:ascii="Arial" w:eastAsia="Times New Roman" w:hAnsi="Arial" w:cs="Arial"/>
                <w:bCs/>
                <w:i/>
                <w:color w:val="17365D"/>
                <w:sz w:val="19"/>
                <w:szCs w:val="19"/>
                <w:lang w:eastAsia="hr-HR"/>
              </w:rPr>
            </w:pPr>
            <w:r>
              <w:rPr>
                <w:rFonts w:ascii="Arial" w:eastAsia="Times New Roman" w:hAnsi="Arial" w:cs="Arial"/>
                <w:i/>
                <w:noProof/>
                <w:color w:val="17365D"/>
                <w:sz w:val="19"/>
                <w:szCs w:val="19"/>
                <w:lang w:eastAsia="hr-HR"/>
              </w:rPr>
              <w:drawing>
                <wp:inline distT="0" distB="0" distL="0" distR="0">
                  <wp:extent cx="1566545" cy="1837055"/>
                  <wp:effectExtent l="0" t="0" r="0" b="0"/>
                  <wp:docPr id="4" name="Pictur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9"/>
                          <pic:cNvPicPr>
                            <a:picLocks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545" cy="183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:rsidR="00D97A89" w:rsidRPr="00D97A89" w:rsidRDefault="00D97A89" w:rsidP="00D97A89">
            <w:pPr>
              <w:jc w:val="center"/>
              <w:rPr>
                <w:rFonts w:ascii="Arial" w:eastAsia="Times New Roman" w:hAnsi="Arial" w:cs="Arial"/>
                <w:bCs/>
                <w:i/>
                <w:color w:val="17365D"/>
                <w:sz w:val="19"/>
                <w:szCs w:val="19"/>
                <w:lang w:eastAsia="hr-HR"/>
              </w:rPr>
            </w:pPr>
            <w:r>
              <w:rPr>
                <w:rFonts w:ascii="Arial" w:eastAsia="Times New Roman" w:hAnsi="Arial" w:cs="Arial"/>
                <w:b/>
                <w:noProof/>
                <w:color w:val="808080"/>
                <w:sz w:val="17"/>
                <w:szCs w:val="17"/>
                <w:lang w:eastAsia="hr-HR"/>
              </w:rPr>
              <w:drawing>
                <wp:inline distT="0" distB="0" distL="0" distR="0">
                  <wp:extent cx="2051685" cy="1820545"/>
                  <wp:effectExtent l="0" t="0" r="5715" b="8255"/>
                  <wp:docPr id="3" name="Picture 3" descr="smsBlokade_210x270.jpg">
                    <a:hlinkClick xmlns:a="http://schemas.openxmlformats.org/drawingml/2006/main" r:id="rId26" tooltip="&quot;FINA InfoBlokade&quot; t "/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smsBlokade_210x270.jpg"/>
                          <pic:cNvPicPr>
                            <a:picLocks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1685" cy="1820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5805" w:rsidRDefault="00DB5805" w:rsidP="008E63E2">
      <w:pPr>
        <w:spacing w:after="0" w:line="240" w:lineRule="auto"/>
      </w:pPr>
    </w:p>
    <w:sectPr w:rsidR="00DB5805" w:rsidSect="00207396">
      <w:headerReference w:type="first" r:id="rId28"/>
      <w:type w:val="continuous"/>
      <w:pgSz w:w="11906" w:h="16838" w:code="9"/>
      <w:pgMar w:top="1134" w:right="1021" w:bottom="1134" w:left="1134" w:header="709" w:footer="11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228" w:rsidRDefault="00A80228" w:rsidP="00015C55">
      <w:pPr>
        <w:spacing w:after="0" w:line="240" w:lineRule="auto"/>
      </w:pPr>
      <w:r>
        <w:separator/>
      </w:r>
    </w:p>
  </w:endnote>
  <w:endnote w:type="continuationSeparator" w:id="0">
    <w:p w:rsidR="00A80228" w:rsidRDefault="00A80228" w:rsidP="00015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228" w:rsidRDefault="00A80228" w:rsidP="00015C55">
      <w:pPr>
        <w:spacing w:after="0" w:line="240" w:lineRule="auto"/>
      </w:pPr>
      <w:r>
        <w:separator/>
      </w:r>
    </w:p>
  </w:footnote>
  <w:footnote w:type="continuationSeparator" w:id="0">
    <w:p w:rsidR="00A80228" w:rsidRDefault="00A80228" w:rsidP="00015C55">
      <w:pPr>
        <w:spacing w:after="0" w:line="240" w:lineRule="auto"/>
      </w:pPr>
      <w:r>
        <w:continuationSeparator/>
      </w:r>
    </w:p>
  </w:footnote>
  <w:footnote w:id="1">
    <w:p w:rsidR="00015C55" w:rsidRPr="00015C55" w:rsidRDefault="00015C55" w:rsidP="00015C55">
      <w:pPr>
        <w:pStyle w:val="FootnoteText"/>
        <w:rPr>
          <w:rFonts w:ascii="Arial" w:hAnsi="Arial" w:cs="Arial"/>
          <w:color w:val="244061" w:themeColor="accent1" w:themeShade="80"/>
          <w:sz w:val="17"/>
          <w:szCs w:val="17"/>
          <w:lang w:val="en-US"/>
        </w:rPr>
      </w:pPr>
      <w:r w:rsidRPr="00015C55">
        <w:rPr>
          <w:rStyle w:val="FootnoteReference"/>
          <w:rFonts w:ascii="Arial" w:hAnsi="Arial" w:cs="Arial"/>
          <w:color w:val="244061" w:themeColor="accent1" w:themeShade="80"/>
          <w:sz w:val="17"/>
          <w:szCs w:val="17"/>
        </w:rPr>
        <w:footnoteRef/>
      </w:r>
      <w:r w:rsidRPr="00015C55">
        <w:rPr>
          <w:rFonts w:ascii="Arial" w:hAnsi="Arial" w:cs="Arial"/>
          <w:color w:val="244061" w:themeColor="accent1" w:themeShade="80"/>
          <w:sz w:val="17"/>
          <w:szCs w:val="17"/>
        </w:rPr>
        <w:t xml:space="preserve"> Serija podataka u tekstu za sve prezentirana je iz godišnjeg financijskog izvještaja (GFI) za odnosnu godinu: 2012., 2013., 2014., 2015. i 2016. iz kolone tekuće godine.</w:t>
      </w:r>
    </w:p>
  </w:footnote>
  <w:footnote w:id="2">
    <w:p w:rsidR="00015C55" w:rsidRPr="00015C55" w:rsidRDefault="00015C55" w:rsidP="00015C55">
      <w:pPr>
        <w:pStyle w:val="FootnoteText"/>
        <w:spacing w:before="40"/>
        <w:rPr>
          <w:rFonts w:ascii="Arial" w:hAnsi="Arial" w:cs="Arial"/>
          <w:color w:val="244061" w:themeColor="accent1" w:themeShade="80"/>
          <w:sz w:val="17"/>
          <w:szCs w:val="17"/>
        </w:rPr>
      </w:pPr>
      <w:r w:rsidRPr="00015C55">
        <w:rPr>
          <w:rStyle w:val="FootnoteReference"/>
          <w:rFonts w:ascii="Arial" w:hAnsi="Arial" w:cs="Arial"/>
          <w:color w:val="244061" w:themeColor="accent1" w:themeShade="80"/>
          <w:sz w:val="17"/>
          <w:szCs w:val="17"/>
        </w:rPr>
        <w:footnoteRef/>
      </w:r>
      <w:r w:rsidRPr="00015C55">
        <w:rPr>
          <w:rFonts w:ascii="Arial" w:hAnsi="Arial" w:cs="Arial"/>
          <w:color w:val="244061" w:themeColor="accent1" w:themeShade="80"/>
          <w:sz w:val="17"/>
          <w:szCs w:val="17"/>
        </w:rPr>
        <w:t xml:space="preserve"> AOP 291 iz starog obrasca GFI-a - "Investicije u novu dugotrajnu imovinu", istovjetan je AOP-u 284 - "Bruto investicije samo u novu dugotrajnu imovinu" u novom obrascu GFI-a 2016</w:t>
      </w:r>
      <w:r>
        <w:rPr>
          <w:rFonts w:ascii="Arial" w:hAnsi="Arial" w:cs="Arial"/>
          <w:color w:val="244061" w:themeColor="accent1" w:themeShade="80"/>
          <w:sz w:val="17"/>
          <w:szCs w:val="17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C55" w:rsidRDefault="00015C55">
    <w:pPr>
      <w:pStyle w:val="Header"/>
    </w:pPr>
    <w:r>
      <w:rPr>
        <w:noProof/>
        <w:lang w:eastAsia="hr-H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-34180</wp:posOffset>
          </wp:positionH>
          <wp:positionV relativeFrom="paragraph">
            <wp:posOffset>-65543</wp:posOffset>
          </wp:positionV>
          <wp:extent cx="1085215" cy="215900"/>
          <wp:effectExtent l="0" t="0" r="635" b="0"/>
          <wp:wrapNone/>
          <wp:docPr id="2" name="Picture 2" descr="Opis: Fina - novi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Opis: Fina - novi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21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C55"/>
    <w:rsid w:val="00015C55"/>
    <w:rsid w:val="000E0A5D"/>
    <w:rsid w:val="00182954"/>
    <w:rsid w:val="00207396"/>
    <w:rsid w:val="002E08CD"/>
    <w:rsid w:val="00384C3F"/>
    <w:rsid w:val="003B565B"/>
    <w:rsid w:val="00462373"/>
    <w:rsid w:val="004E1329"/>
    <w:rsid w:val="008E63E2"/>
    <w:rsid w:val="00A80228"/>
    <w:rsid w:val="00AE3FBC"/>
    <w:rsid w:val="00B92EC5"/>
    <w:rsid w:val="00BB3973"/>
    <w:rsid w:val="00C20F85"/>
    <w:rsid w:val="00C63707"/>
    <w:rsid w:val="00CC3CF3"/>
    <w:rsid w:val="00CF79CB"/>
    <w:rsid w:val="00D163DD"/>
    <w:rsid w:val="00D97A89"/>
    <w:rsid w:val="00DB5805"/>
    <w:rsid w:val="00E479FE"/>
    <w:rsid w:val="00F72C4D"/>
    <w:rsid w:val="00F96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15C5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5C55"/>
    <w:rPr>
      <w:sz w:val="20"/>
      <w:szCs w:val="20"/>
    </w:rPr>
  </w:style>
  <w:style w:type="character" w:styleId="FootnoteReference">
    <w:name w:val="footnote reference"/>
    <w:uiPriority w:val="99"/>
    <w:semiHidden/>
    <w:rsid w:val="00015C55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C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5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C55"/>
  </w:style>
  <w:style w:type="paragraph" w:styleId="Footer">
    <w:name w:val="footer"/>
    <w:basedOn w:val="Normal"/>
    <w:link w:val="FooterChar"/>
    <w:uiPriority w:val="99"/>
    <w:unhideWhenUsed/>
    <w:rsid w:val="00015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C55"/>
  </w:style>
  <w:style w:type="character" w:styleId="CommentReference">
    <w:name w:val="annotation reference"/>
    <w:basedOn w:val="DefaultParagraphFont"/>
    <w:uiPriority w:val="99"/>
    <w:semiHidden/>
    <w:unhideWhenUsed/>
    <w:rsid w:val="00015C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C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C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C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C5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FB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2EC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015C5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5C55"/>
    <w:rPr>
      <w:sz w:val="20"/>
      <w:szCs w:val="20"/>
    </w:rPr>
  </w:style>
  <w:style w:type="character" w:styleId="FootnoteReference">
    <w:name w:val="footnote reference"/>
    <w:uiPriority w:val="99"/>
    <w:semiHidden/>
    <w:rsid w:val="00015C55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C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15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5C55"/>
  </w:style>
  <w:style w:type="paragraph" w:styleId="Footer">
    <w:name w:val="footer"/>
    <w:basedOn w:val="Normal"/>
    <w:link w:val="FooterChar"/>
    <w:uiPriority w:val="99"/>
    <w:unhideWhenUsed/>
    <w:rsid w:val="00015C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5C55"/>
  </w:style>
  <w:style w:type="character" w:styleId="CommentReference">
    <w:name w:val="annotation reference"/>
    <w:basedOn w:val="DefaultParagraphFont"/>
    <w:uiPriority w:val="99"/>
    <w:semiHidden/>
    <w:unhideWhenUsed/>
    <w:rsid w:val="00015C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5C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5C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5C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5C5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FB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2E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nsparentno.hr/pregled/73002202488/b72f45322ea0fb0c80e4cfdbab1fbfe880d0ca25a8309f01ca36462dc53f0cc0a1199740ec12439389600db534c9896d5e7907e4f887d023ca1af82c04025dd6" TargetMode="External"/><Relationship Id="rId13" Type="http://schemas.openxmlformats.org/officeDocument/2006/relationships/hyperlink" Target="https://www.transparentno.hr/pregled/65900776536/e5a946bf7cfce1e747bea6a493c586465eb7c23a930af46140188e50c0ad8b14628f568d62b6751607284500c070a2b514863d779f0193b0cf660ffcb5c36851" TargetMode="External"/><Relationship Id="rId18" Type="http://schemas.openxmlformats.org/officeDocument/2006/relationships/hyperlink" Target="https://www.transparentno.hr/" TargetMode="External"/><Relationship Id="rId26" Type="http://schemas.openxmlformats.org/officeDocument/2006/relationships/hyperlink" Target="http://www.fina.hr/lgs.axd?t=24&amp;id=1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jrr.fina.hr/" TargetMode="External"/><Relationship Id="rId7" Type="http://schemas.openxmlformats.org/officeDocument/2006/relationships/hyperlink" Target="https://www.transparentno.hr/pregled/73002202488/b72f45322ea0fb0c80e4cfdbab1fbfe880d0ca25a8309f01ca36462dc53f0cc0a1199740ec12439389600db534c9896d5e7907e4f887d023ca1af82c04025dd6" TargetMode="External"/><Relationship Id="rId12" Type="http://schemas.openxmlformats.org/officeDocument/2006/relationships/hyperlink" Target="https://www.transparentno.hr/pregled/26869300981/5f1dfdc021fd5e027efb8ae73eb2e3ee1e40fdc39572d04844d2ee1836f7860f71839bcbc4967733f550c6d611fd06263b7f72e6679b92abb52dd1ff078da57a" TargetMode="External"/><Relationship Id="rId17" Type="http://schemas.openxmlformats.org/officeDocument/2006/relationships/hyperlink" Target="http://rgfi.fina.hr/JavnaObjava-web/jsp/prijavaKorisnika.jsp" TargetMode="External"/><Relationship Id="rId25" Type="http://schemas.openxmlformats.org/officeDocument/2006/relationships/image" Target="media/image3.jpeg"/><Relationship Id="rId2" Type="http://schemas.microsoft.com/office/2007/relationships/stylesWithEffects" Target="stylesWithEffects.xml"/><Relationship Id="rId16" Type="http://schemas.openxmlformats.org/officeDocument/2006/relationships/hyperlink" Target="http://www.fina.hr/Default.aspx?sec=1279" TargetMode="External"/><Relationship Id="rId20" Type="http://schemas.openxmlformats.org/officeDocument/2006/relationships/hyperlink" Target="http://www.fina.hr/Default.aspx?sec=1538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transparentno.hr/pregled/06849543412/796244e348f52f693267f7b441fd22e84af5e1febc71ede499870cd7c58f5eef5d2f76ccce8dbd557efaa024e381dfbe7b478a74b47a2a474f54e4dfde5f841e" TargetMode="External"/><Relationship Id="rId24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hyperlink" Target="https://www.transparentno.hr/pregled/58292277611/97b3ea6a3edf473c86b6559c291f08125e371034750429454e040b291507699cdb95f635429eb6f60c4c35eaad1f597d92d89da10b7a403af0a61b3ddcb3182d" TargetMode="External"/><Relationship Id="rId23" Type="http://schemas.openxmlformats.org/officeDocument/2006/relationships/hyperlink" Target="http://www.fina.hr/Default.aspx?sec=17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transparentno.hr/pregled/95863787953/5c6ec1b74b7dd24625764513bd2e2b095b640a69dbfae0b7fff406d4201c1a7142a5862b6fc48297b85d28ce64524c7bdffc5e3651b450f0adf1f14444d0c1a1" TargetMode="External"/><Relationship Id="rId19" Type="http://schemas.openxmlformats.org/officeDocument/2006/relationships/hyperlink" Target="http://www.fina.hr/Default.aspx?art=8958&amp;sec=1275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www.transparentno.hr/pregled/58292277611/97b3ea6a3edf473c86b6559c291f08125e371034750429454e040b291507699cdb95f635429eb6f60c4c35eaad1f597d92d89da10b7a403af0a61b3ddcb3182d" TargetMode="External"/><Relationship Id="rId22" Type="http://schemas.openxmlformats.org/officeDocument/2006/relationships/hyperlink" Target="http://www.fina.hr/Default.aspx?sec=972" TargetMode="External"/><Relationship Id="rId27" Type="http://schemas.openxmlformats.org/officeDocument/2006/relationships/image" Target="media/image4.jpeg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1223</Words>
  <Characters>6973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2017-11-08T12:32:00Z</dcterms:created>
  <dcterms:modified xsi:type="dcterms:W3CDTF">2017-11-08T13:08:00Z</dcterms:modified>
</cp:coreProperties>
</file>