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EB73A1" w:rsidRDefault="00466FEA" w:rsidP="00F3759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 w:rsidRPr="00EB73A1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REZULTATI POSLOVANJA PODUZETNIKA SA SJEDIŠTEM NA </w:t>
      </w:r>
      <w:r w:rsidR="00C11723" w:rsidRPr="00EB73A1">
        <w:rPr>
          <w:rFonts w:ascii="Arial" w:hAnsi="Arial" w:cs="Arial"/>
          <w:b/>
          <w:color w:val="244061" w:themeColor="accent1" w:themeShade="80"/>
          <w:sz w:val="21"/>
          <w:szCs w:val="21"/>
        </w:rPr>
        <w:t>URBANO</w:t>
      </w:r>
      <w:r w:rsidR="00F3759C" w:rsidRPr="00EB73A1">
        <w:rPr>
          <w:rFonts w:ascii="Arial" w:hAnsi="Arial" w:cs="Arial"/>
          <w:b/>
          <w:color w:val="244061" w:themeColor="accent1" w:themeShade="80"/>
          <w:sz w:val="21"/>
          <w:szCs w:val="21"/>
        </w:rPr>
        <w:t>M</w:t>
      </w:r>
      <w:r w:rsidR="00C11723" w:rsidRPr="00EB73A1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PODRUČJ</w:t>
      </w:r>
      <w:r w:rsidR="00F3759C" w:rsidRPr="00EB73A1">
        <w:rPr>
          <w:rFonts w:ascii="Arial" w:hAnsi="Arial" w:cs="Arial"/>
          <w:b/>
          <w:color w:val="244061" w:themeColor="accent1" w:themeShade="80"/>
          <w:sz w:val="21"/>
          <w:szCs w:val="21"/>
        </w:rPr>
        <w:t>U</w:t>
      </w:r>
      <w:r w:rsidR="00C11723" w:rsidRPr="00EB73A1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ZAD</w:t>
      </w:r>
      <w:r w:rsidR="00F3759C" w:rsidRPr="00EB73A1">
        <w:rPr>
          <w:rFonts w:ascii="Arial" w:hAnsi="Arial" w:cs="Arial"/>
          <w:b/>
          <w:color w:val="244061" w:themeColor="accent1" w:themeShade="80"/>
          <w:sz w:val="21"/>
          <w:szCs w:val="21"/>
        </w:rPr>
        <w:t>A</w:t>
      </w:r>
      <w:r w:rsidR="00C11723" w:rsidRPr="00EB73A1">
        <w:rPr>
          <w:rFonts w:ascii="Arial" w:hAnsi="Arial" w:cs="Arial"/>
          <w:b/>
          <w:color w:val="244061" w:themeColor="accent1" w:themeShade="80"/>
          <w:sz w:val="21"/>
          <w:szCs w:val="21"/>
        </w:rPr>
        <w:t>R</w:t>
      </w:r>
    </w:p>
    <w:p w:rsidR="00F3759C" w:rsidRDefault="00905837" w:rsidP="00F3759C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>rban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im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Zadar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obuhvaćeno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F3759C" w:rsidRPr="00C910F9">
        <w:rPr>
          <w:rFonts w:ascii="Arial" w:hAnsi="Arial" w:cs="Arial"/>
          <w:b/>
          <w:color w:val="244061" w:themeColor="accent1" w:themeShade="80"/>
          <w:sz w:val="20"/>
          <w:szCs w:val="20"/>
        </w:rPr>
        <w:t>13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101C69">
        <w:rPr>
          <w:rFonts w:ascii="Arial" w:hAnsi="Arial" w:cs="Arial"/>
          <w:b/>
          <w:color w:val="244061" w:themeColor="accent1" w:themeShade="80"/>
          <w:sz w:val="20"/>
          <w:szCs w:val="20"/>
        </w:rPr>
        <w:t>općina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Zadarske županije: Bibinje,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Galovac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Kali, Kukljica, Novigrad,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Poličnik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Posedarje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Preko, Ražanac,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Sukošan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Škabrnj</w:t>
      </w:r>
      <w:r w:rsidR="002E353B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Vrsi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Zemunik Donji te </w:t>
      </w:r>
      <w:r w:rsidR="00C910F9" w:rsidRPr="00F10F22">
        <w:rPr>
          <w:rFonts w:ascii="Arial" w:hAnsi="Arial" w:cs="Arial"/>
          <w:b/>
          <w:color w:val="244061" w:themeColor="accent1" w:themeShade="80"/>
          <w:sz w:val="20"/>
          <w:szCs w:val="20"/>
        </w:rPr>
        <w:t>dva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101C69">
        <w:rPr>
          <w:rFonts w:ascii="Arial" w:hAnsi="Arial" w:cs="Arial"/>
          <w:b/>
          <w:color w:val="244061" w:themeColor="accent1" w:themeShade="80"/>
          <w:sz w:val="20"/>
          <w:szCs w:val="20"/>
        </w:rPr>
        <w:t>grad</w:t>
      </w:r>
      <w:r w:rsidR="00C910F9">
        <w:rPr>
          <w:rFonts w:ascii="Arial" w:hAnsi="Arial" w:cs="Arial"/>
          <w:b/>
          <w:color w:val="244061" w:themeColor="accent1" w:themeShade="80"/>
          <w:sz w:val="20"/>
          <w:szCs w:val="20"/>
        </w:rPr>
        <w:t>a,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Zadar i </w:t>
      </w:r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Nin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u kojima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F369FE" w:rsidRPr="00F369FE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101C69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F369FE" w:rsidRPr="00F369FE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bilo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sjedište </w:t>
      </w:r>
      <w:r w:rsidR="00F369FE" w:rsidRPr="0028355D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6425C6" w:rsidRPr="0028355D">
        <w:rPr>
          <w:rFonts w:ascii="Arial" w:hAnsi="Arial" w:cs="Arial"/>
          <w:color w:val="244061" w:themeColor="accent1" w:themeShade="80"/>
          <w:sz w:val="20"/>
          <w:szCs w:val="20"/>
        </w:rPr>
        <w:t>940</w:t>
      </w:r>
      <w:r w:rsidR="00F369FE" w:rsidRPr="0028355D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</w:t>
      </w:r>
      <w:r w:rsidR="00CF5A62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910F9" w:rsidRPr="00C910F9">
        <w:t xml:space="preserve"> </w:t>
      </w:r>
      <w:r w:rsidR="00C910F9" w:rsidRPr="00C910F9">
        <w:rPr>
          <w:rFonts w:ascii="Arial" w:hAnsi="Arial" w:cs="Arial"/>
          <w:color w:val="244061" w:themeColor="accent1" w:themeShade="80"/>
          <w:sz w:val="20"/>
          <w:szCs w:val="20"/>
        </w:rPr>
        <w:t>Riječ je o poduzetnicima koji su sastavili i u Registar godišnjih financijskih izvještaja podnijeli točan i potpun godišnji financijski izvještaj za 2016. godinu.</w:t>
      </w:r>
    </w:p>
    <w:p w:rsidR="001B2274" w:rsidRPr="001B2274" w:rsidRDefault="001B2274" w:rsidP="00C910F9">
      <w:pPr>
        <w:tabs>
          <w:tab w:val="left" w:pos="567"/>
          <w:tab w:val="left" w:pos="1134"/>
        </w:tabs>
        <w:spacing w:before="180" w:after="60" w:line="240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Shema 1.</w:t>
      </w:r>
      <w:r w:rsidR="004F10EE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Područje 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Veliko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g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urbano područj</w:t>
      </w:r>
      <w:r w:rsidR="00F3759C">
        <w:rPr>
          <w:rFonts w:ascii="Arial" w:hAnsi="Arial" w:cs="Arial"/>
          <w:b/>
          <w:color w:val="244061" w:themeColor="accent1" w:themeShade="80"/>
          <w:sz w:val="18"/>
          <w:szCs w:val="18"/>
        </w:rPr>
        <w:t>a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Zadra</w:t>
      </w:r>
    </w:p>
    <w:tbl>
      <w:tblPr>
        <w:tblStyle w:val="Reetkatablic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F3759C" w:rsidTr="00C910F9">
        <w:trPr>
          <w:trHeight w:val="3615"/>
        </w:trPr>
        <w:tc>
          <w:tcPr>
            <w:tcW w:w="5812" w:type="dxa"/>
            <w:vAlign w:val="center"/>
          </w:tcPr>
          <w:p w:rsidR="00F3759C" w:rsidRPr="00743414" w:rsidRDefault="00F3759C" w:rsidP="00BC0016">
            <w:pPr>
              <w:jc w:val="center"/>
              <w:rPr>
                <w:rFonts w:ascii="Arial" w:eastAsia="Times New Roman" w:hAnsi="Arial" w:cs="Arial"/>
                <w:noProof/>
                <w:color w:val="0000F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244061" w:themeColor="accent1" w:themeShade="80"/>
                <w:sz w:val="20"/>
                <w:szCs w:val="20"/>
                <w:lang w:eastAsia="hr-HR"/>
              </w:rPr>
              <w:drawing>
                <wp:inline distT="0" distB="0" distL="0" distR="0" wp14:anchorId="7D3CBA8A" wp14:editId="1DCD48A8">
                  <wp:extent cx="3564000" cy="2268000"/>
                  <wp:effectExtent l="0" t="0" r="0" b="0"/>
                  <wp:docPr id="6" name="Slik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636"/>
                          <a:stretch/>
                        </pic:blipFill>
                        <pic:spPr bwMode="auto">
                          <a:xfrm>
                            <a:off x="0" y="0"/>
                            <a:ext cx="3564000" cy="22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910F9" w:rsidRPr="00F10F22" w:rsidRDefault="00F369FE" w:rsidP="00C910F9">
            <w:pPr>
              <w:tabs>
                <w:tab w:val="left" w:pos="567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navedenoga broja, najviše je poduzetnika sa područja grada Zadra (2</w:t>
            </w:r>
            <w:r w:rsidR="006425C6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286</w:t>
            </w: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), a najmanji je broj poduzetnika u općini </w:t>
            </w:r>
            <w:proofErr w:type="spellStart"/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Galovac</w:t>
            </w:r>
            <w:proofErr w:type="spellEnd"/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r w:rsidR="006425C6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). </w:t>
            </w:r>
          </w:p>
          <w:p w:rsidR="00C910F9" w:rsidRPr="00F10F22" w:rsidRDefault="00F369FE" w:rsidP="00C910F9">
            <w:pPr>
              <w:tabs>
                <w:tab w:val="left" w:pos="567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Kod 2</w:t>
            </w:r>
            <w:r w:rsidR="006425C6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940</w:t>
            </w: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</w:t>
            </w:r>
            <w:r w:rsidR="006425C6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16</w:t>
            </w:r>
            <w:r w:rsidR="00312459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6425C6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446</w:t>
            </w: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prosječno 5,</w:t>
            </w:r>
            <w:r w:rsidR="006425C6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poduzetniku. </w:t>
            </w:r>
          </w:p>
          <w:p w:rsidR="00F3759C" w:rsidRPr="00466FEA" w:rsidRDefault="00F369FE" w:rsidP="00C910F9">
            <w:pPr>
              <w:tabs>
                <w:tab w:val="left" w:pos="567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Poduzetnici sa sjedištem na urbanom području Zadar, ostvarili su ukupan prihod u iznosu od 9,</w:t>
            </w:r>
            <w:r w:rsidR="006425C6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milijardi kuna te ukupne rashode u iznosu od 9,</w:t>
            </w:r>
            <w:r w:rsidR="006425C6"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milijardi kuna.</w:t>
            </w:r>
          </w:p>
        </w:tc>
      </w:tr>
    </w:tbl>
    <w:p w:rsidR="00E357AF" w:rsidRPr="006425C6" w:rsidRDefault="006F78FA" w:rsidP="006425C6">
      <w:pPr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 2016. godini o</w:t>
      </w:r>
      <w:r w:rsidR="00F369FE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stvaren je </w:t>
      </w:r>
      <w:r w:rsidR="005A2FB9" w:rsidRPr="006425C6">
        <w:rPr>
          <w:rFonts w:ascii="Arial" w:hAnsi="Arial" w:cs="Arial"/>
          <w:color w:val="244061" w:themeColor="accent1" w:themeShade="80"/>
          <w:sz w:val="20"/>
          <w:szCs w:val="20"/>
        </w:rPr>
        <w:t>pozitivan</w:t>
      </w:r>
      <w:r w:rsidR="0084384B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 konsolidirani financijski rezultat </w:t>
      </w:r>
      <w:r w:rsidR="00DA2A99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u iznosu od </w:t>
      </w:r>
      <w:r w:rsidR="006425C6" w:rsidRPr="006425C6">
        <w:rPr>
          <w:rFonts w:ascii="Arial" w:hAnsi="Arial" w:cs="Arial"/>
          <w:color w:val="244061" w:themeColor="accent1" w:themeShade="80"/>
          <w:sz w:val="20"/>
          <w:szCs w:val="20"/>
        </w:rPr>
        <w:t>324,4</w:t>
      </w:r>
      <w:r w:rsidR="0084384B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DA2A99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25C6" w:rsidRPr="006425C6">
        <w:rPr>
          <w:rFonts w:ascii="Arial" w:hAnsi="Arial" w:cs="Arial"/>
          <w:color w:val="244061" w:themeColor="accent1" w:themeShade="80"/>
          <w:sz w:val="20"/>
          <w:szCs w:val="20"/>
        </w:rPr>
        <w:t>što je za 172,3 puta više u odnosu na prethodno razdoblje (118,7 milijuna kuna)</w:t>
      </w:r>
      <w:r w:rsidR="0084384B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5A2FB9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pozitivan konsolidirani financijski rezultat iskazali su poduzetnici grada Zadra </w:t>
      </w:r>
      <w:r w:rsidR="00DA2A99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u iznosu od </w:t>
      </w:r>
      <w:r w:rsidR="006425C6" w:rsidRPr="006425C6">
        <w:rPr>
          <w:rFonts w:ascii="Arial" w:hAnsi="Arial" w:cs="Arial"/>
          <w:color w:val="244061" w:themeColor="accent1" w:themeShade="80"/>
          <w:sz w:val="20"/>
          <w:szCs w:val="20"/>
        </w:rPr>
        <w:t>281,0</w:t>
      </w:r>
      <w:r w:rsidR="005A2FB9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84384B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DA2A99" w:rsidRPr="006425C6">
        <w:rPr>
          <w:rFonts w:ascii="Arial" w:hAnsi="Arial" w:cs="Arial"/>
          <w:color w:val="244061" w:themeColor="accent1" w:themeShade="80"/>
          <w:sz w:val="20"/>
          <w:szCs w:val="20"/>
        </w:rPr>
        <w:t>Slijede poduzetnici općine Kali (</w:t>
      </w:r>
      <w:r w:rsidR="006425C6" w:rsidRPr="006425C6">
        <w:rPr>
          <w:rFonts w:ascii="Arial" w:hAnsi="Arial" w:cs="Arial"/>
          <w:color w:val="244061" w:themeColor="accent1" w:themeShade="80"/>
          <w:sz w:val="20"/>
          <w:szCs w:val="20"/>
        </w:rPr>
        <w:t>21,8</w:t>
      </w:r>
      <w:r w:rsidR="00DA2A99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 i općine Zemunik Donji (</w:t>
      </w:r>
      <w:r w:rsidR="006425C6" w:rsidRPr="006425C6">
        <w:rPr>
          <w:rFonts w:ascii="Arial" w:hAnsi="Arial" w:cs="Arial"/>
          <w:color w:val="244061" w:themeColor="accent1" w:themeShade="80"/>
          <w:sz w:val="20"/>
          <w:szCs w:val="20"/>
        </w:rPr>
        <w:t>7,3</w:t>
      </w:r>
      <w:r w:rsidR="00DA2A99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kuna).</w:t>
      </w:r>
    </w:p>
    <w:p w:rsidR="003C0074" w:rsidRPr="003C0074" w:rsidRDefault="003C0074" w:rsidP="00F369FE">
      <w:pPr>
        <w:widowControl w:val="0"/>
        <w:tabs>
          <w:tab w:val="left" w:pos="567"/>
        </w:tabs>
        <w:spacing w:before="180" w:after="6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9"/>
          <w:szCs w:val="19"/>
        </w:rPr>
      </w:pP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1B2274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</w:t>
      </w:r>
      <w:r w:rsidRPr="001B2274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u gradovima i općinama </w:t>
      </w:r>
      <w:r w:rsidR="00C910F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="009E13D0"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rbanog područja</w:t>
      </w:r>
      <w:r w:rsidR="00522540"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 </w:t>
      </w:r>
      <w:r w:rsidR="009E13D0"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Zadra </w:t>
      </w:r>
      <w:r w:rsidR="00E357AF"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201</w:t>
      </w:r>
      <w:r w:rsidR="00101C6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F369FE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4946AC">
        <w:rPr>
          <w:rFonts w:ascii="Arial" w:eastAsia="Calibri" w:hAnsi="Arial" w:cs="Arial"/>
          <w:color w:val="17365D"/>
          <w:sz w:val="16"/>
          <w:szCs w:val="18"/>
        </w:rPr>
        <w:t>(iznosi u tisućama kuna</w:t>
      </w:r>
      <w:r>
        <w:rPr>
          <w:rFonts w:ascii="Arial" w:eastAsia="Calibri" w:hAnsi="Arial" w:cs="Arial"/>
          <w:color w:val="17365D"/>
          <w:sz w:val="16"/>
          <w:szCs w:val="18"/>
        </w:rPr>
        <w:t>)</w:t>
      </w:r>
    </w:p>
    <w:tbl>
      <w:tblPr>
        <w:tblW w:w="963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608"/>
        <w:gridCol w:w="1281"/>
        <w:gridCol w:w="1171"/>
        <w:gridCol w:w="1226"/>
        <w:gridCol w:w="1115"/>
        <w:gridCol w:w="1115"/>
        <w:gridCol w:w="1115"/>
      </w:tblGrid>
      <w:tr w:rsidR="003C0074" w:rsidRPr="003C116E" w:rsidTr="00BC0016">
        <w:trPr>
          <w:trHeight w:val="454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2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2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  <w:r w:rsidR="00C910F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/ gubitak</w:t>
            </w:r>
          </w:p>
        </w:tc>
      </w:tr>
      <w:tr w:rsidR="00912F71" w:rsidRPr="003C116E" w:rsidTr="00C910F9">
        <w:trPr>
          <w:trHeight w:val="283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in/grad</w:t>
            </w:r>
          </w:p>
        </w:tc>
        <w:tc>
          <w:tcPr>
            <w:tcW w:w="128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 </w:t>
            </w:r>
          </w:p>
        </w:tc>
        <w:tc>
          <w:tcPr>
            <w:tcW w:w="117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174 </w:t>
            </w:r>
          </w:p>
        </w:tc>
        <w:tc>
          <w:tcPr>
            <w:tcW w:w="1226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53.946 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3.776 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552 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3.225 </w:t>
            </w:r>
          </w:p>
        </w:tc>
      </w:tr>
      <w:tr w:rsidR="00912F71" w:rsidRPr="003C116E" w:rsidTr="007568A3">
        <w:trPr>
          <w:trHeight w:val="283"/>
          <w:jc w:val="center"/>
        </w:trPr>
        <w:tc>
          <w:tcPr>
            <w:tcW w:w="2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Zadar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2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2.286 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13.004 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7.058.325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600.328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319.314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281.015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Bibinje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 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187 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57.239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3.263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2.305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958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Galovac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532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80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Kali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589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393.146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22.481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722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21.758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Kukljica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20.880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1.769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1.434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Novigrad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39.650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2.785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957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1.828 </w:t>
            </w:r>
          </w:p>
        </w:tc>
      </w:tr>
      <w:tr w:rsidR="00912F71" w:rsidRPr="003C116E" w:rsidTr="00527D2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073618" w:rsidRDefault="00912F71" w:rsidP="00F10F2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Poličnik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F10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F10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930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F10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1.233.427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F10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14.095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F10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13.177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C910F9" w:rsidRDefault="00912F71" w:rsidP="00F10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918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Posedarje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46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89.207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2.478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604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1.874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Preko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104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95.379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3.611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4.383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-772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Ražanac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23.334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1.020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520 </w:t>
            </w:r>
          </w:p>
        </w:tc>
      </w:tr>
      <w:tr w:rsidR="00912F71" w:rsidRPr="003C116E" w:rsidTr="00E357A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Sukošan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103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462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296.271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21.002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18.844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2.158 </w:t>
            </w:r>
          </w:p>
        </w:tc>
      </w:tr>
      <w:tr w:rsidR="00912F71" w:rsidRPr="003C116E" w:rsidTr="00527D2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Škabrnje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54.683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1.751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1.333 </w:t>
            </w:r>
          </w:p>
        </w:tc>
      </w:tr>
      <w:tr w:rsidR="00912F71" w:rsidRPr="003C116E" w:rsidTr="00527D2F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Vrsi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112.255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1.227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470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757 </w:t>
            </w:r>
          </w:p>
        </w:tc>
      </w:tr>
      <w:tr w:rsidR="00912F71" w:rsidRPr="003C116E" w:rsidTr="00C910F9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073618" w:rsidRDefault="00912F71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Zemunik Donji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279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188.259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7.907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603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7.304 </w:t>
            </w:r>
          </w:p>
        </w:tc>
      </w:tr>
      <w:tr w:rsidR="00912F71" w:rsidRPr="003C116E" w:rsidTr="00BC0016">
        <w:trPr>
          <w:trHeight w:val="283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:rsidR="00912F71" w:rsidRPr="004F7B3C" w:rsidRDefault="00912F71" w:rsidP="004F10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C910F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poduzetnici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UPZ</w:t>
            </w:r>
          </w:p>
        </w:tc>
        <w:tc>
          <w:tcPr>
            <w:tcW w:w="12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12F71" w:rsidRPr="00DF532C" w:rsidRDefault="00912F71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F532C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2.940 </w:t>
            </w:r>
          </w:p>
        </w:tc>
        <w:tc>
          <w:tcPr>
            <w:tcW w:w="11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16.446 </w:t>
            </w:r>
          </w:p>
        </w:tc>
        <w:tc>
          <w:tcPr>
            <w:tcW w:w="12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9.716.534 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687.586 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12F71" w:rsidRPr="00912F71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912F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363.194 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12F71" w:rsidRPr="00C910F9" w:rsidRDefault="00912F71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324.392 </w:t>
            </w:r>
          </w:p>
        </w:tc>
      </w:tr>
      <w:tr w:rsidR="00C910F9" w:rsidRPr="003C116E" w:rsidTr="00BC0016">
        <w:trPr>
          <w:trHeight w:val="283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10F9" w:rsidRPr="004F7B3C" w:rsidRDefault="00C910F9" w:rsidP="004F10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poduzetnici ZŽ</w:t>
            </w:r>
          </w:p>
        </w:tc>
        <w:tc>
          <w:tcPr>
            <w:tcW w:w="12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DF532C" w:rsidRDefault="00C910F9" w:rsidP="00DF53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3.918</w:t>
            </w:r>
          </w:p>
        </w:tc>
        <w:tc>
          <w:tcPr>
            <w:tcW w:w="11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912F71" w:rsidRDefault="00C910F9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21.644</w:t>
            </w:r>
          </w:p>
        </w:tc>
        <w:tc>
          <w:tcPr>
            <w:tcW w:w="12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912F71" w:rsidRDefault="00C910F9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12.694.721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912F71" w:rsidRDefault="00C910F9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941.873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912F71" w:rsidRDefault="00C910F9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450.034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C910F9" w:rsidRDefault="00C910F9" w:rsidP="00912F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491.839</w:t>
            </w:r>
          </w:p>
        </w:tc>
      </w:tr>
      <w:tr w:rsidR="00C910F9" w:rsidRPr="00C910F9" w:rsidTr="00BC0016">
        <w:trPr>
          <w:trHeight w:val="283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C910F9" w:rsidRPr="00C910F9" w:rsidRDefault="00C910F9" w:rsidP="004F10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Udio poduzetnika UPZ</w:t>
            </w:r>
          </w:p>
        </w:tc>
        <w:tc>
          <w:tcPr>
            <w:tcW w:w="12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C910F9" w:rsidRPr="00F10F22" w:rsidRDefault="00C910F9" w:rsidP="00C910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F10F22">
              <w:rPr>
                <w:rFonts w:ascii="Arial" w:hAnsi="Arial" w:cs="Arial"/>
                <w:b/>
                <w:color w:val="244061" w:themeColor="accent1" w:themeShade="80"/>
                <w:sz w:val="17"/>
                <w:szCs w:val="17"/>
              </w:rPr>
              <w:t>75,0%</w:t>
            </w:r>
          </w:p>
        </w:tc>
        <w:tc>
          <w:tcPr>
            <w:tcW w:w="11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C910F9" w:rsidRPr="00F10F22" w:rsidRDefault="00C910F9" w:rsidP="00C910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F10F22">
              <w:rPr>
                <w:rFonts w:ascii="Arial" w:hAnsi="Arial" w:cs="Arial"/>
                <w:b/>
                <w:color w:val="244061" w:themeColor="accent1" w:themeShade="80"/>
                <w:sz w:val="17"/>
                <w:szCs w:val="17"/>
              </w:rPr>
              <w:t>76,0%</w:t>
            </w:r>
          </w:p>
        </w:tc>
        <w:tc>
          <w:tcPr>
            <w:tcW w:w="12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C910F9" w:rsidRPr="00F10F22" w:rsidRDefault="00C910F9" w:rsidP="00C910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F10F22">
              <w:rPr>
                <w:rFonts w:ascii="Arial" w:hAnsi="Arial" w:cs="Arial"/>
                <w:b/>
                <w:color w:val="244061" w:themeColor="accent1" w:themeShade="80"/>
                <w:sz w:val="17"/>
                <w:szCs w:val="17"/>
              </w:rPr>
              <w:t>76,5%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C910F9" w:rsidRPr="00F10F22" w:rsidRDefault="00C910F9" w:rsidP="00C910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F10F22">
              <w:rPr>
                <w:rFonts w:ascii="Arial" w:hAnsi="Arial" w:cs="Arial"/>
                <w:b/>
                <w:color w:val="244061" w:themeColor="accent1" w:themeShade="80"/>
                <w:sz w:val="17"/>
                <w:szCs w:val="17"/>
              </w:rPr>
              <w:t>73,0%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C910F9" w:rsidRPr="00F10F22" w:rsidRDefault="00C910F9" w:rsidP="00C910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F10F22">
              <w:rPr>
                <w:rFonts w:ascii="Arial" w:hAnsi="Arial" w:cs="Arial"/>
                <w:b/>
                <w:color w:val="244061" w:themeColor="accent1" w:themeShade="80"/>
                <w:sz w:val="17"/>
                <w:szCs w:val="17"/>
              </w:rPr>
              <w:t>80,7%</w:t>
            </w:r>
          </w:p>
        </w:tc>
        <w:tc>
          <w:tcPr>
            <w:tcW w:w="11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C910F9" w:rsidRPr="00F10F22" w:rsidRDefault="00C910F9" w:rsidP="00C910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F10F22">
              <w:rPr>
                <w:rFonts w:ascii="Arial" w:hAnsi="Arial" w:cs="Arial"/>
                <w:b/>
                <w:color w:val="244061" w:themeColor="accent1" w:themeShade="80"/>
                <w:sz w:val="17"/>
                <w:szCs w:val="17"/>
              </w:rPr>
              <w:t>66,0%</w:t>
            </w:r>
          </w:p>
        </w:tc>
      </w:tr>
    </w:tbl>
    <w:p w:rsidR="003C0074" w:rsidRPr="004946AC" w:rsidRDefault="003C0074" w:rsidP="00522540">
      <w:pPr>
        <w:spacing w:before="60" w:after="4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57A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101C6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E455CE" w:rsidRPr="00C910F9" w:rsidRDefault="00C910F9" w:rsidP="00C910F9">
      <w:pPr>
        <w:widowControl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Od 3918  poduzetnika s područja Zadarske županije, njih </w:t>
      </w:r>
      <w:r w:rsidRP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2940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(75 %) obuhvaćeno je U</w:t>
      </w:r>
      <w:r w:rsidR="0002298A" w:rsidRPr="00FC4822">
        <w:rPr>
          <w:rFonts w:ascii="Arial" w:hAnsi="Arial" w:cs="Arial"/>
          <w:color w:val="244061" w:themeColor="accent1" w:themeShade="80"/>
          <w:sz w:val="20"/>
          <w:szCs w:val="20"/>
        </w:rPr>
        <w:t>rban</w:t>
      </w:r>
      <w:r w:rsidR="00F369FE">
        <w:rPr>
          <w:rFonts w:ascii="Arial" w:hAnsi="Arial" w:cs="Arial"/>
          <w:color w:val="244061" w:themeColor="accent1" w:themeShade="80"/>
          <w:sz w:val="20"/>
          <w:szCs w:val="20"/>
        </w:rPr>
        <w:t>o</w:t>
      </w:r>
      <w:r w:rsidR="000318B8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="0002298A" w:rsidRPr="00FC4822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em</w:t>
      </w:r>
      <w:r w:rsidR="0002298A" w:rsidRPr="00FC4822">
        <w:rPr>
          <w:rFonts w:ascii="Arial" w:hAnsi="Arial" w:cs="Arial"/>
          <w:color w:val="244061" w:themeColor="accent1" w:themeShade="80"/>
          <w:sz w:val="20"/>
          <w:szCs w:val="20"/>
        </w:rPr>
        <w:t xml:space="preserve"> Zad</w:t>
      </w:r>
      <w:r w:rsidR="00F369FE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2298A" w:rsidRPr="00FC4822">
        <w:rPr>
          <w:rFonts w:ascii="Arial" w:hAnsi="Arial" w:cs="Arial"/>
          <w:color w:val="244061" w:themeColor="accent1" w:themeShade="80"/>
          <w:sz w:val="20"/>
          <w:szCs w:val="20"/>
        </w:rPr>
        <w:t>r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455CE" w:rsidRPr="00D2090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kod kojih je bilo 16 446 zaposlenih (</w:t>
      </w:r>
      <w:r w:rsidR="00296F21" w:rsidRPr="00C11F95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C11F95" w:rsidRPr="00C11F95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296F21" w:rsidRPr="00C11F95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C11F95" w:rsidRPr="00C11F95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="00C023D2" w:rsidRPr="00C11F9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C11F95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udio u ZŽ), koji su </w:t>
      </w:r>
      <w:r w:rsidR="00E455CE" w:rsidRPr="00C11F95">
        <w:rPr>
          <w:rFonts w:ascii="Arial" w:hAnsi="Arial" w:cs="Arial"/>
          <w:color w:val="244061" w:themeColor="accent1" w:themeShade="80"/>
          <w:sz w:val="20"/>
          <w:szCs w:val="20"/>
        </w:rPr>
        <w:t xml:space="preserve">ostvarili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9,7 milijardi kuna ukupnih prihoda (7</w:t>
      </w:r>
      <w:r w:rsidR="0002298A" w:rsidRPr="00C11F95">
        <w:rPr>
          <w:rFonts w:ascii="Arial" w:hAnsi="Arial" w:cs="Arial"/>
          <w:color w:val="244061" w:themeColor="accent1" w:themeShade="80"/>
          <w:sz w:val="20"/>
          <w:szCs w:val="20"/>
        </w:rPr>
        <w:t>6,</w:t>
      </w:r>
      <w:r w:rsidR="00C11F95" w:rsidRPr="00C11F9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C023D2" w:rsidRPr="00C11F9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C11F95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udio u ZŽ) te 687,6 milijuna kuna dobiti razdoblja (</w:t>
      </w:r>
      <w:r w:rsidR="00296F21" w:rsidRPr="00C11F95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C11F95" w:rsidRPr="00C11F95">
        <w:rPr>
          <w:rFonts w:ascii="Arial" w:hAnsi="Arial" w:cs="Arial"/>
          <w:color w:val="244061" w:themeColor="accent1" w:themeShade="80"/>
          <w:sz w:val="20"/>
          <w:szCs w:val="20"/>
        </w:rPr>
        <w:t>3,0</w:t>
      </w:r>
      <w:r w:rsidR="00C023D2" w:rsidRPr="00C11F9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C11F95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udio u ZŽ</w:t>
      </w:r>
      <w:r w:rsidRP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). Prosječnu mjesečna </w:t>
      </w:r>
      <w:r w:rsidRPr="00C910F9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neto plaća zaposlenih za 3,</w:t>
      </w:r>
      <w:proofErr w:type="spellStart"/>
      <w:r w:rsidRPr="00C910F9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proofErr w:type="spellEnd"/>
      <w:r w:rsidRP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 % je veća od prosječne plaće zaposlenih kod poduzetnika na razini Zadarske županije.</w:t>
      </w:r>
    </w:p>
    <w:p w:rsidR="00C910F9" w:rsidRPr="001B2274" w:rsidRDefault="00C910F9" w:rsidP="00C910F9">
      <w:pPr>
        <w:tabs>
          <w:tab w:val="left" w:pos="1134"/>
        </w:tabs>
        <w:spacing w:before="180" w:after="60" w:line="240" w:lineRule="auto"/>
        <w:ind w:left="1134" w:hanging="1134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1B2274">
        <w:rPr>
          <w:rFonts w:ascii="Arial" w:eastAsia="Calibri" w:hAnsi="Arial" w:cs="Arial"/>
          <w:b/>
          <w:color w:val="17365D"/>
          <w:sz w:val="18"/>
          <w:szCs w:val="18"/>
        </w:rPr>
        <w:t>Grafikon 1.</w:t>
      </w:r>
      <w:r w:rsidRPr="001B2274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Udio ukupnih prihoda i rashoda poduzetnika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Ur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banog područja Zadra u ukupnim prihodima i rashodima poduzetnika Zadarske županije u 201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g.</w:t>
      </w:r>
    </w:p>
    <w:p w:rsidR="00C910F9" w:rsidRPr="0093312F" w:rsidRDefault="00C910F9" w:rsidP="00C910F9">
      <w:pPr>
        <w:tabs>
          <w:tab w:val="left" w:pos="1418"/>
        </w:tabs>
        <w:spacing w:after="0"/>
        <w:ind w:left="1418" w:hanging="1418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469EA8BC" wp14:editId="4FBBFBED">
            <wp:extent cx="6078415" cy="1875693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25" cy="1876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0F9" w:rsidRDefault="00C910F9" w:rsidP="00C910F9">
      <w:pPr>
        <w:spacing w:after="4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8A095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 obrada GFI-a za 2016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A095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</w:p>
    <w:p w:rsidR="00C910F9" w:rsidRPr="00C910F9" w:rsidRDefault="00C910F9" w:rsidP="00C910F9">
      <w:pPr>
        <w:spacing w:before="180" w:after="0"/>
        <w:jc w:val="both"/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Na razini poduzetnika Urbanog područja Zadar u 2016. godini najviše je porasla neto dobit (173,2 %), a isto je utjecalo i na rast neto dobiti kod poduzetnika</w:t>
      </w:r>
      <w:r w:rsidR="00BC0016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na razini Zadarske županije (93,9 %).</w:t>
      </w:r>
    </w:p>
    <w:p w:rsidR="00C910F9" w:rsidRDefault="00C910F9" w:rsidP="00C910F9">
      <w:pPr>
        <w:spacing w:after="60" w:line="240" w:lineRule="auto"/>
        <w:ind w:left="1134" w:hanging="1134"/>
        <w:rPr>
          <w:rFonts w:ascii="Arial" w:eastAsia="Calibri" w:hAnsi="Arial" w:cs="Arial"/>
          <w:b/>
          <w:color w:val="17365D"/>
          <w:sz w:val="18"/>
          <w:szCs w:val="18"/>
        </w:rPr>
      </w:pPr>
    </w:p>
    <w:p w:rsidR="004946AC" w:rsidRPr="003C116E" w:rsidRDefault="004946AC" w:rsidP="00C910F9">
      <w:pPr>
        <w:spacing w:after="6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9E13D0" w:rsidRPr="00F369FE">
        <w:rPr>
          <w:rFonts w:ascii="Arial" w:eastAsia="Calibri" w:hAnsi="Arial" w:cs="Arial"/>
          <w:b/>
          <w:color w:val="17365D"/>
          <w:sz w:val="18"/>
          <w:szCs w:val="18"/>
        </w:rPr>
        <w:t>2</w:t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na području </w:t>
      </w:r>
      <w:r w:rsidR="00563E04"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</w:t>
      </w:r>
      <w:r w:rsidR="009E13D0"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elikog urbanog područja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9E13D0"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Zadra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poduzetnika </w:t>
      </w:r>
      <w:r w:rsidR="009E13D0"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Zadarske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županije u 201</w:t>
      </w:r>
      <w:r w:rsidR="00101C6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godini </w:t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647" w:type="dxa"/>
        <w:jc w:val="center"/>
        <w:tblLayout w:type="fixed"/>
        <w:tblLook w:val="04A0" w:firstRow="1" w:lastRow="0" w:firstColumn="1" w:lastColumn="0" w:noHBand="0" w:noVBand="1"/>
      </w:tblPr>
      <w:tblGrid>
        <w:gridCol w:w="3515"/>
        <w:gridCol w:w="1186"/>
        <w:gridCol w:w="1186"/>
        <w:gridCol w:w="746"/>
        <w:gridCol w:w="1134"/>
        <w:gridCol w:w="1134"/>
        <w:gridCol w:w="737"/>
        <w:gridCol w:w="9"/>
      </w:tblGrid>
      <w:tr w:rsidR="00B205FA" w:rsidRPr="004946AC" w:rsidTr="00F369FE">
        <w:trPr>
          <w:gridAfter w:val="1"/>
          <w:wAfter w:w="9" w:type="dxa"/>
          <w:trHeight w:val="283"/>
          <w:jc w:val="center"/>
        </w:trPr>
        <w:tc>
          <w:tcPr>
            <w:tcW w:w="3515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1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9E13D0" w:rsidP="009E13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Veliko urbano područje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9E13D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Zadarska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županija</w:t>
            </w:r>
          </w:p>
        </w:tc>
      </w:tr>
      <w:tr w:rsidR="00B205FA" w:rsidRPr="004946AC" w:rsidTr="001B2274">
        <w:trPr>
          <w:trHeight w:val="285"/>
          <w:jc w:val="center"/>
        </w:trPr>
        <w:tc>
          <w:tcPr>
            <w:tcW w:w="3515" w:type="dxa"/>
            <w:vMerge/>
            <w:tcBorders>
              <w:top w:val="single" w:sz="4" w:space="0" w:color="FFFFFF"/>
              <w:left w:val="nil"/>
              <w:bottom w:val="single" w:sz="2" w:space="0" w:color="FFFFFF" w:themeColor="background1"/>
              <w:right w:val="nil"/>
            </w:tcBorders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101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01C6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101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01C6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101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01C6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101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01C6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D82B29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D82B29" w:rsidRPr="004F7B3C" w:rsidRDefault="00D82B29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4F7B3C" w:rsidRDefault="00D82B29" w:rsidP="00901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D82B29" w:rsidRDefault="00D82B29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2.940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D82B29" w:rsidRDefault="00D82B29" w:rsidP="00D82B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2B29" w:rsidRPr="004F7B3C" w:rsidRDefault="00D82B29" w:rsidP="00901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2B29" w:rsidRPr="00D82B29" w:rsidRDefault="00D82B29" w:rsidP="00D82B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3.918</w:t>
            </w:r>
          </w:p>
        </w:tc>
        <w:tc>
          <w:tcPr>
            <w:tcW w:w="7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2B29" w:rsidRPr="004F7B3C" w:rsidRDefault="00D82B29" w:rsidP="00901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D82B29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D82B29" w:rsidRPr="004F7B3C" w:rsidRDefault="00D82B29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D82B29" w:rsidRDefault="00D82B29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15.570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D82B29" w:rsidRDefault="00D82B29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16.446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D82B29" w:rsidRDefault="00D82B29" w:rsidP="00D82B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105,6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2B29" w:rsidRPr="00D82B29" w:rsidRDefault="00D82B29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20.363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2B29" w:rsidRPr="00D82B29" w:rsidRDefault="00D82B29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21.644</w:t>
            </w:r>
          </w:p>
        </w:tc>
        <w:tc>
          <w:tcPr>
            <w:tcW w:w="7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2B29" w:rsidRPr="00D82B29" w:rsidRDefault="00D82B29" w:rsidP="00D82B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106,3</w:t>
            </w:r>
          </w:p>
        </w:tc>
      </w:tr>
      <w:tr w:rsidR="000F2E7D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F2E7D" w:rsidRPr="004F7B3C" w:rsidRDefault="000F2E7D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0F2E7D" w:rsidRPr="006A66B5" w:rsidRDefault="000F2E7D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9.507.101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0F2E7D" w:rsidRPr="006A66B5" w:rsidRDefault="000F2E7D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9.716.534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0F2E7D" w:rsidRPr="006A66B5" w:rsidRDefault="000F2E7D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102,2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F2E7D" w:rsidRPr="00D82B29" w:rsidRDefault="000F2E7D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12.251.827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F2E7D" w:rsidRPr="00D82B29" w:rsidRDefault="000F2E7D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12.694.721</w:t>
            </w:r>
          </w:p>
        </w:tc>
        <w:tc>
          <w:tcPr>
            <w:tcW w:w="7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F2E7D" w:rsidRPr="00D82B29" w:rsidRDefault="000F2E7D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82B2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103,6</w:t>
            </w:r>
          </w:p>
        </w:tc>
      </w:tr>
      <w:tr w:rsidR="000F2E7D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F2E7D" w:rsidRPr="004F7B3C" w:rsidRDefault="000F2E7D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0F2E7D" w:rsidRPr="006A66B5" w:rsidRDefault="000F2E7D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9.324.168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0F2E7D" w:rsidRPr="006A66B5" w:rsidRDefault="000F2E7D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9.325.378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0F2E7D" w:rsidRPr="006A66B5" w:rsidRDefault="000F2E7D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F2E7D" w:rsidRPr="006A66B5" w:rsidRDefault="000F2E7D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11.899.444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F2E7D" w:rsidRPr="006A66B5" w:rsidRDefault="000F2E7D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12.094.680</w:t>
            </w:r>
          </w:p>
        </w:tc>
        <w:tc>
          <w:tcPr>
            <w:tcW w:w="7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F2E7D" w:rsidRPr="006A66B5" w:rsidRDefault="000F2E7D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101,6</w:t>
            </w:r>
          </w:p>
        </w:tc>
      </w:tr>
      <w:tr w:rsidR="006A66B5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6B5" w:rsidRPr="004F7B3C" w:rsidRDefault="006A66B5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613.614</w:t>
            </w:r>
          </w:p>
        </w:tc>
        <w:tc>
          <w:tcPr>
            <w:tcW w:w="1186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753.837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122,9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868.649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1.049.233</w:t>
            </w:r>
          </w:p>
        </w:tc>
        <w:tc>
          <w:tcPr>
            <w:tcW w:w="746" w:type="dxa"/>
            <w:gridSpan w:val="2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120,8</w:t>
            </w:r>
          </w:p>
        </w:tc>
      </w:tr>
      <w:tr w:rsidR="006A66B5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6B5" w:rsidRPr="004F7B3C" w:rsidRDefault="006A66B5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430.681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362.681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516.265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449.192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87,0</w:t>
            </w:r>
          </w:p>
        </w:tc>
      </w:tr>
      <w:tr w:rsidR="006A66B5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6B5" w:rsidRPr="004F7B3C" w:rsidRDefault="006A66B5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546.805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687.586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767.537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941.873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122,7</w:t>
            </w:r>
          </w:p>
        </w:tc>
      </w:tr>
      <w:tr w:rsidR="006A66B5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6B5" w:rsidRPr="004F7B3C" w:rsidRDefault="006A66B5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428.072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363.194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513.923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450.034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6A66B5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A66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87,6</w:t>
            </w:r>
          </w:p>
        </w:tc>
      </w:tr>
      <w:tr w:rsidR="006A66B5" w:rsidRPr="004946AC" w:rsidTr="001B2274">
        <w:trPr>
          <w:trHeight w:val="454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6B5" w:rsidRPr="00CF5A62" w:rsidRDefault="006A66B5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F5A6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CF5A62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F5A6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118.733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CF5A62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F5A6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324.392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CF5A62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F5A6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CF5A62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F5A6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253.614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A66B5" w:rsidRPr="00CF5A62" w:rsidRDefault="006A66B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F5A6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491.839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A66B5" w:rsidRPr="00CF5A62" w:rsidRDefault="006A66B5" w:rsidP="006A6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F5A6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193,9</w:t>
            </w:r>
          </w:p>
        </w:tc>
      </w:tr>
      <w:tr w:rsidR="00B50975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0975" w:rsidRPr="004F7B3C" w:rsidRDefault="00B50975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2.297.167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2.248.763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2.905.726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2.932.870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100,9</w:t>
            </w:r>
          </w:p>
        </w:tc>
      </w:tr>
      <w:tr w:rsidR="00B50975" w:rsidRPr="004946AC" w:rsidTr="001B2274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0975" w:rsidRPr="004F7B3C" w:rsidRDefault="00B50975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430.874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506.920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593.254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682.565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115,1</w:t>
            </w:r>
          </w:p>
        </w:tc>
      </w:tr>
      <w:tr w:rsidR="00B50975" w:rsidRPr="005D34E7" w:rsidTr="001B2274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0975" w:rsidRPr="004F7B3C" w:rsidRDefault="00B50975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Bruto i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nvesticije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samo 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novu dugotrajnu imovinu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1.267.634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641.518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1.373.363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778.299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56,7</w:t>
            </w:r>
          </w:p>
        </w:tc>
      </w:tr>
      <w:tr w:rsidR="00B50975" w:rsidRPr="005D34E7" w:rsidTr="00B50975">
        <w:trPr>
          <w:trHeight w:val="454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0975" w:rsidRPr="004F7B3C" w:rsidRDefault="00B50975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4.866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5.014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4.852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50975" w:rsidRPr="00B50975" w:rsidRDefault="00B50975" w:rsidP="00B50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509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102,6</w:t>
            </w:r>
          </w:p>
        </w:tc>
      </w:tr>
    </w:tbl>
    <w:p w:rsidR="004946AC" w:rsidRPr="004946AC" w:rsidRDefault="004946AC" w:rsidP="00522540">
      <w:pPr>
        <w:spacing w:before="60" w:after="4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101C6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312459" w:rsidRPr="00161E42" w:rsidRDefault="00C910F9" w:rsidP="00F10F22">
      <w:pPr>
        <w:widowControl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Prema </w:t>
      </w:r>
      <w:r w:rsidRPr="00857A4B">
        <w:rPr>
          <w:rFonts w:ascii="Arial" w:hAnsi="Arial" w:cs="Arial"/>
          <w:b/>
          <w:color w:val="244061" w:themeColor="accent1" w:themeShade="80"/>
          <w:sz w:val="20"/>
          <w:szCs w:val="20"/>
        </w:rPr>
        <w:t>visini ostvarenog prihoda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među poduzetnicima sa sjedištem na Urbanom području Zadar, najbolji su </w:t>
      </w:r>
      <w:hyperlink r:id="rId11" w:history="1">
        <w:r w:rsidRPr="0043181D">
          <w:rPr>
            <w:rStyle w:val="Hiperveza"/>
            <w:rFonts w:ascii="Arial" w:hAnsi="Arial" w:cs="Arial"/>
            <w:sz w:val="20"/>
            <w:szCs w:val="20"/>
          </w:rPr>
          <w:t>ALUFLEXPACK NOVI d.o.o.</w:t>
        </w:r>
      </w:hyperlink>
      <w:r w:rsidR="00281C49" w:rsidRPr="00281C49">
        <w:rPr>
          <w:rStyle w:val="Hiperveza"/>
          <w:rFonts w:ascii="Arial" w:hAnsi="Arial" w:cs="Arial"/>
          <w:sz w:val="20"/>
          <w:szCs w:val="20"/>
          <w:u w:val="none"/>
        </w:rPr>
        <w:t xml:space="preserve"> </w:t>
      </w:r>
      <w:r w:rsidR="00281C49" w:rsidRPr="00F9501A">
        <w:rPr>
          <w:rFonts w:ascii="Arial" w:hAnsi="Arial" w:cs="Arial"/>
          <w:color w:val="244061" w:themeColor="accent1" w:themeShade="80"/>
          <w:sz w:val="20"/>
          <w:szCs w:val="20"/>
        </w:rPr>
        <w:t>sa ostvarenih 892,9 milijuna kuna ukupnih prihoda</w:t>
      </w:r>
      <w:r w:rsidRPr="00161E42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hyperlink r:id="rId12" w:history="1">
        <w:r w:rsidRPr="0043181D">
          <w:rPr>
            <w:rStyle w:val="Hiperveza"/>
            <w:rFonts w:ascii="Arial" w:hAnsi="Arial" w:cs="Arial"/>
            <w:sz w:val="20"/>
            <w:szCs w:val="20"/>
          </w:rPr>
          <w:t>TANKERSKA PLOVIDBA d.d.,</w:t>
        </w:r>
      </w:hyperlink>
      <w:r w:rsidRPr="00161E42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81C49">
        <w:rPr>
          <w:rFonts w:ascii="Arial" w:hAnsi="Arial" w:cs="Arial"/>
          <w:color w:val="244061" w:themeColor="accent1" w:themeShade="80"/>
          <w:sz w:val="20"/>
          <w:szCs w:val="20"/>
        </w:rPr>
        <w:t>sa ostvarenih 599,3 milijuna kuna</w:t>
      </w:r>
      <w:r w:rsidRPr="00161E42">
        <w:rPr>
          <w:rFonts w:ascii="Arial" w:hAnsi="Arial" w:cs="Arial"/>
          <w:color w:val="244061" w:themeColor="accent1" w:themeShade="80"/>
          <w:sz w:val="20"/>
          <w:szCs w:val="20"/>
        </w:rPr>
        <w:t xml:space="preserve"> ukupnog prihoda.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12459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</w:t>
      </w:r>
      <w:r w:rsidR="00312459" w:rsidRPr="00857A4B">
        <w:rPr>
          <w:rFonts w:ascii="Arial" w:hAnsi="Arial" w:cs="Arial"/>
          <w:b/>
          <w:color w:val="244061" w:themeColor="accent1" w:themeShade="80"/>
          <w:sz w:val="20"/>
          <w:szCs w:val="20"/>
        </w:rPr>
        <w:t>kriteriju ostvarene dobiti razdoblja</w:t>
      </w:r>
      <w:r w:rsidR="00312459" w:rsidRPr="00312459">
        <w:t xml:space="preserve"> </w:t>
      </w:r>
      <w:r w:rsidR="00312459" w:rsidRPr="00312459">
        <w:rPr>
          <w:rFonts w:ascii="Arial" w:hAnsi="Arial" w:cs="Arial"/>
          <w:color w:val="244061" w:themeColor="accent1" w:themeShade="80"/>
          <w:sz w:val="20"/>
          <w:szCs w:val="20"/>
        </w:rPr>
        <w:t xml:space="preserve">među poduzetnicima sa sjedištem na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12459" w:rsidRPr="00312459">
        <w:rPr>
          <w:rFonts w:ascii="Arial" w:hAnsi="Arial" w:cs="Arial"/>
          <w:color w:val="244061" w:themeColor="accent1" w:themeShade="80"/>
          <w:sz w:val="20"/>
          <w:szCs w:val="20"/>
        </w:rPr>
        <w:t>rbanom području Zadar, najb</w:t>
      </w:r>
      <w:bookmarkStart w:id="0" w:name="_GoBack"/>
      <w:bookmarkEnd w:id="0"/>
      <w:r w:rsidR="00312459" w:rsidRPr="00312459">
        <w:rPr>
          <w:rFonts w:ascii="Arial" w:hAnsi="Arial" w:cs="Arial"/>
          <w:color w:val="244061" w:themeColor="accent1" w:themeShade="80"/>
          <w:sz w:val="20"/>
          <w:szCs w:val="20"/>
        </w:rPr>
        <w:t xml:space="preserve">olji su </w:t>
      </w:r>
      <w:hyperlink r:id="rId13" w:history="1">
        <w:r w:rsidR="0043181D" w:rsidRPr="0043181D">
          <w:rPr>
            <w:rStyle w:val="Hiperveza"/>
            <w:rFonts w:ascii="Arial" w:hAnsi="Arial" w:cs="Arial"/>
            <w:sz w:val="20"/>
            <w:szCs w:val="20"/>
          </w:rPr>
          <w:t>TANKERSKA PLOVIDBA d.d.,</w:t>
        </w:r>
      </w:hyperlink>
      <w:r w:rsidR="00312459" w:rsidRPr="00161E42">
        <w:rPr>
          <w:rFonts w:ascii="Arial" w:hAnsi="Arial" w:cs="Arial"/>
          <w:color w:val="244061" w:themeColor="accent1" w:themeShade="80"/>
          <w:sz w:val="20"/>
          <w:szCs w:val="20"/>
          <w:u w:val="single"/>
        </w:rPr>
        <w:t>.</w:t>
      </w:r>
      <w:r w:rsidR="00312459" w:rsidRPr="00161E42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hyperlink r:id="rId14" w:history="1">
        <w:r w:rsidR="00312459" w:rsidRPr="0043181D">
          <w:rPr>
            <w:rStyle w:val="Hiperveza"/>
            <w:rFonts w:ascii="Arial" w:hAnsi="Arial" w:cs="Arial"/>
            <w:sz w:val="20"/>
            <w:szCs w:val="20"/>
          </w:rPr>
          <w:t>TURISTHOTEL d.d.</w:t>
        </w:r>
      </w:hyperlink>
      <w:r w:rsidR="00312459" w:rsidRPr="00101C69">
        <w:rPr>
          <w:rFonts w:ascii="Arial" w:hAnsi="Arial" w:cs="Arial"/>
          <w:color w:val="FF0000"/>
          <w:sz w:val="20"/>
          <w:szCs w:val="20"/>
        </w:rPr>
        <w:t xml:space="preserve"> </w:t>
      </w:r>
      <w:r w:rsidR="00312459" w:rsidRPr="00857A4B">
        <w:rPr>
          <w:rFonts w:ascii="Arial" w:hAnsi="Arial" w:cs="Arial"/>
          <w:b/>
          <w:color w:val="244061" w:themeColor="accent1" w:themeShade="80"/>
          <w:sz w:val="20"/>
          <w:szCs w:val="20"/>
        </w:rPr>
        <w:t>Najveći izvoz</w:t>
      </w:r>
      <w:r w:rsidR="00312459" w:rsidRPr="00101C69">
        <w:rPr>
          <w:rFonts w:ascii="Arial" w:hAnsi="Arial" w:cs="Arial"/>
          <w:color w:val="FF0000"/>
          <w:sz w:val="20"/>
          <w:szCs w:val="20"/>
        </w:rPr>
        <w:t xml:space="preserve"> </w:t>
      </w:r>
      <w:r w:rsidR="00312459" w:rsidRPr="00161E42">
        <w:rPr>
          <w:rFonts w:ascii="Arial" w:hAnsi="Arial" w:cs="Arial"/>
          <w:color w:val="244061" w:themeColor="accent1" w:themeShade="80"/>
          <w:sz w:val="20"/>
          <w:szCs w:val="20"/>
        </w:rPr>
        <w:t>ostvaril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 su</w:t>
      </w:r>
      <w:r w:rsidR="00C83F8B" w:rsidRPr="00161E42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hyperlink r:id="rId15" w:history="1">
        <w:r w:rsidR="0043181D" w:rsidRPr="0043181D">
          <w:rPr>
            <w:rStyle w:val="Hiperveza"/>
            <w:rFonts w:ascii="Arial" w:hAnsi="Arial" w:cs="Arial"/>
            <w:sz w:val="20"/>
            <w:szCs w:val="20"/>
          </w:rPr>
          <w:t>ALUFLEXPACK NOVI d.o.o.</w:t>
        </w:r>
      </w:hyperlink>
      <w:r w:rsidR="00161E42" w:rsidRPr="00161E42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hyperlink r:id="rId16" w:history="1">
        <w:r w:rsidR="0043181D" w:rsidRPr="0043181D">
          <w:rPr>
            <w:rStyle w:val="Hiperveza"/>
            <w:rFonts w:ascii="Arial" w:hAnsi="Arial" w:cs="Arial"/>
            <w:sz w:val="20"/>
            <w:szCs w:val="20"/>
          </w:rPr>
          <w:t>TANKERSKA PLOVIDBA d.d.,</w:t>
        </w:r>
      </w:hyperlink>
      <w:r w:rsidR="00312459" w:rsidRPr="00161E42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potonje društvo je i </w:t>
      </w:r>
      <w:r w:rsidR="00312459" w:rsidRPr="00161E42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iše </w:t>
      </w:r>
      <w:r w:rsidR="00312459" w:rsidRPr="00161E42">
        <w:rPr>
          <w:rFonts w:ascii="Arial" w:hAnsi="Arial" w:cs="Arial"/>
          <w:color w:val="244061" w:themeColor="accent1" w:themeShade="80"/>
          <w:sz w:val="20"/>
          <w:szCs w:val="20"/>
        </w:rPr>
        <w:t>investi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rala u </w:t>
      </w:r>
      <w:r w:rsidR="00312459" w:rsidRPr="00161E42">
        <w:rPr>
          <w:rFonts w:ascii="Arial" w:hAnsi="Arial" w:cs="Arial"/>
          <w:color w:val="244061" w:themeColor="accent1" w:themeShade="80"/>
          <w:sz w:val="20"/>
          <w:szCs w:val="20"/>
        </w:rPr>
        <w:t>dugotrajnu imovinu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161E42" w:rsidRPr="00161E42">
        <w:rPr>
          <w:rFonts w:ascii="Arial" w:hAnsi="Arial" w:cs="Arial"/>
          <w:color w:val="244061" w:themeColor="accent1" w:themeShade="80"/>
          <w:sz w:val="20"/>
          <w:szCs w:val="20"/>
        </w:rPr>
        <w:t xml:space="preserve">223,8 </w:t>
      </w:r>
      <w:r w:rsidR="00C83F8B" w:rsidRPr="00161E42">
        <w:rPr>
          <w:rFonts w:ascii="Arial" w:hAnsi="Arial" w:cs="Arial"/>
          <w:color w:val="244061" w:themeColor="accent1" w:themeShade="80"/>
          <w:sz w:val="20"/>
          <w:szCs w:val="20"/>
        </w:rPr>
        <w:t>milijuna kuna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C83F8B" w:rsidRPr="00161E42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4F7B3C" w:rsidRPr="00942359" w:rsidRDefault="00443FFD" w:rsidP="004F10EE">
      <w:pPr>
        <w:widowControl w:val="0"/>
        <w:spacing w:before="12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AD5C6C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</w:t>
      </w:r>
      <w:r w:rsidRPr="00857A4B">
        <w:rPr>
          <w:rFonts w:ascii="Arial" w:hAnsi="Arial" w:cs="Arial"/>
          <w:b/>
          <w:color w:val="244061" w:themeColor="accent1" w:themeShade="80"/>
          <w:sz w:val="20"/>
          <w:szCs w:val="20"/>
        </w:rPr>
        <w:t>produktivnosti (prihodu po zaposlenom)</w:t>
      </w:r>
      <w:r w:rsidRPr="00857A4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AD5C6C">
        <w:rPr>
          <w:rFonts w:ascii="Arial" w:hAnsi="Arial" w:cs="Arial"/>
          <w:color w:val="244061" w:themeColor="accent1" w:themeShade="80"/>
          <w:sz w:val="20"/>
          <w:szCs w:val="20"/>
        </w:rPr>
        <w:t xml:space="preserve"> na prvom su mjestu poduzetnici </w:t>
      </w:r>
      <w:r w:rsidR="00F369FE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na </w:t>
      </w:r>
      <w:r w:rsidR="00F369FE" w:rsidRPr="004D5A6F">
        <w:rPr>
          <w:rFonts w:ascii="Arial" w:hAnsi="Arial" w:cs="Arial"/>
          <w:color w:val="244061" w:themeColor="accent1" w:themeShade="80"/>
          <w:sz w:val="20"/>
          <w:szCs w:val="20"/>
        </w:rPr>
        <w:t xml:space="preserve">području </w:t>
      </w:r>
      <w:proofErr w:type="spellStart"/>
      <w:r w:rsidRPr="004D5A6F">
        <w:rPr>
          <w:rFonts w:ascii="Arial" w:hAnsi="Arial" w:cs="Arial"/>
          <w:color w:val="244061" w:themeColor="accent1" w:themeShade="80"/>
          <w:sz w:val="20"/>
          <w:szCs w:val="20"/>
        </w:rPr>
        <w:t>Poličnik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proofErr w:type="spellEnd"/>
      <w:r w:rsidRPr="004D5A6F">
        <w:rPr>
          <w:rFonts w:ascii="Arial" w:hAnsi="Arial" w:cs="Arial"/>
          <w:color w:val="244061" w:themeColor="accent1" w:themeShade="80"/>
          <w:sz w:val="20"/>
          <w:szCs w:val="20"/>
        </w:rPr>
        <w:t>, s 1,</w:t>
      </w:r>
      <w:r w:rsidR="008B4E6F" w:rsidRPr="004D5A6F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Pr="004D5A6F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kuna, dok je među poduzetnicima navedene općine po produktivnosti na prvom mjestu društvo</w:t>
      </w:r>
      <w:r w:rsidRPr="00101C69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17" w:history="1">
        <w:r w:rsidR="0043181D" w:rsidRPr="0043181D">
          <w:rPr>
            <w:rStyle w:val="Hiperveza"/>
            <w:rFonts w:ascii="Arial" w:hAnsi="Arial" w:cs="Arial"/>
            <w:sz w:val="20"/>
            <w:szCs w:val="20"/>
          </w:rPr>
          <w:t>ALUFLEXPACK NOVI d.o.o.</w:t>
        </w:r>
      </w:hyperlink>
      <w:r w:rsidRPr="0043181D">
        <w:rPr>
          <w:rFonts w:ascii="Arial" w:hAnsi="Arial" w:cs="Arial"/>
          <w:sz w:val="20"/>
          <w:szCs w:val="20"/>
        </w:rPr>
        <w:t>.</w:t>
      </w:r>
      <w:r w:rsidRPr="00B73505">
        <w:rPr>
          <w:rFonts w:ascii="Arial" w:hAnsi="Arial" w:cs="Arial"/>
          <w:color w:val="244061" w:themeColor="accent1" w:themeShade="80"/>
          <w:sz w:val="20"/>
          <w:szCs w:val="20"/>
        </w:rPr>
        <w:t xml:space="preserve"> sa 2,</w:t>
      </w:r>
      <w:r w:rsidR="00916C9B" w:rsidRPr="00B73505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Pr="00B7350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 po zaposlenom. </w:t>
      </w:r>
      <w:r w:rsidR="00F33642" w:rsidRPr="005A6FE7">
        <w:rPr>
          <w:rFonts w:ascii="Arial" w:hAnsi="Arial" w:cs="Arial"/>
          <w:color w:val="244061" w:themeColor="accent1" w:themeShade="80"/>
          <w:sz w:val="20"/>
          <w:szCs w:val="20"/>
        </w:rPr>
        <w:t>Navedeno d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ruštvo </w:t>
      </w:r>
      <w:r w:rsidR="00EB39F4"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smanjilo je 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prihode za </w:t>
      </w:r>
      <w:r w:rsidR="00EB39F4" w:rsidRPr="005A6FE7">
        <w:rPr>
          <w:rFonts w:ascii="Arial" w:hAnsi="Arial" w:cs="Arial"/>
          <w:color w:val="244061" w:themeColor="accent1" w:themeShade="80"/>
          <w:sz w:val="20"/>
          <w:szCs w:val="20"/>
        </w:rPr>
        <w:t>17,4</w:t>
      </w:r>
      <w:r w:rsidR="00C023D2"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39F4" w:rsidRPr="005A6FE7">
        <w:rPr>
          <w:rFonts w:ascii="Arial" w:hAnsi="Arial" w:cs="Arial"/>
          <w:color w:val="244061" w:themeColor="accent1" w:themeShade="80"/>
          <w:sz w:val="20"/>
          <w:szCs w:val="20"/>
        </w:rPr>
        <w:t>%, a povećalo broj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39F4" w:rsidRPr="005A6FE7">
        <w:rPr>
          <w:rFonts w:ascii="Arial" w:hAnsi="Arial" w:cs="Arial"/>
          <w:color w:val="244061" w:themeColor="accent1" w:themeShade="80"/>
          <w:sz w:val="20"/>
          <w:szCs w:val="20"/>
        </w:rPr>
        <w:t>zaposlenih za 5,</w:t>
      </w:r>
      <w:proofErr w:type="spellStart"/>
      <w:r w:rsidR="00EB39F4" w:rsidRPr="005A6FE7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proofErr w:type="spellEnd"/>
      <w:r w:rsidR="00C023D2"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>% u odnosu na 201</w:t>
      </w:r>
      <w:r w:rsidR="00101C69" w:rsidRPr="005A6FE7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>. god</w:t>
      </w:r>
      <w:r w:rsidR="004F10EE" w:rsidRPr="005A6FE7">
        <w:rPr>
          <w:rFonts w:ascii="Arial" w:hAnsi="Arial" w:cs="Arial"/>
          <w:color w:val="244061" w:themeColor="accent1" w:themeShade="80"/>
          <w:sz w:val="20"/>
          <w:szCs w:val="20"/>
        </w:rPr>
        <w:t>inu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 te povećalo prihode za </w:t>
      </w:r>
      <w:r w:rsidR="009159B6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942359" w:rsidRPr="005A6FE7">
        <w:rPr>
          <w:rFonts w:ascii="Arial" w:hAnsi="Arial" w:cs="Arial"/>
          <w:color w:val="244061" w:themeColor="accent1" w:themeShade="80"/>
          <w:sz w:val="20"/>
          <w:szCs w:val="20"/>
        </w:rPr>
        <w:t>,8</w:t>
      </w:r>
      <w:r w:rsidR="00C023D2"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% i 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broj 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>zaposlen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>ih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 za </w:t>
      </w:r>
      <w:r w:rsidR="009159B6">
        <w:rPr>
          <w:rFonts w:ascii="Arial" w:hAnsi="Arial" w:cs="Arial"/>
          <w:color w:val="244061" w:themeColor="accent1" w:themeShade="80"/>
          <w:sz w:val="20"/>
          <w:szCs w:val="20"/>
        </w:rPr>
        <w:t>14,1</w:t>
      </w:r>
      <w:r w:rsidR="00C023D2"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% u odnosu na </w:t>
      </w:r>
      <w:r w:rsidRPr="00916B6F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9159B6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Pr="00916B6F">
        <w:rPr>
          <w:rFonts w:ascii="Arial" w:hAnsi="Arial" w:cs="Arial"/>
          <w:color w:val="244061" w:themeColor="accent1" w:themeShade="80"/>
          <w:sz w:val="20"/>
          <w:szCs w:val="20"/>
        </w:rPr>
        <w:t>. godinu</w:t>
      </w:r>
      <w:r w:rsidRPr="005A6FE7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8E15FF" w:rsidRPr="008E15FF">
        <w:rPr>
          <w:rFonts w:ascii="Arial" w:hAnsi="Arial" w:cs="Arial"/>
          <w:color w:val="244061" w:themeColor="accent1" w:themeShade="80"/>
          <w:sz w:val="20"/>
          <w:szCs w:val="20"/>
        </w:rPr>
        <w:t xml:space="preserve">Pretežita djelatnost društva prema NKD 2007 je </w:t>
      </w:r>
      <w:r w:rsidR="008E15FF">
        <w:rPr>
          <w:rFonts w:ascii="Arial" w:hAnsi="Arial" w:cs="Arial"/>
          <w:color w:val="244061" w:themeColor="accent1" w:themeShade="80"/>
          <w:sz w:val="20"/>
          <w:szCs w:val="20"/>
        </w:rPr>
        <w:t>24</w:t>
      </w:r>
      <w:r w:rsidR="008E15FF" w:rsidRPr="008E15FF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8E15FF">
        <w:rPr>
          <w:rFonts w:ascii="Arial" w:hAnsi="Arial" w:cs="Arial"/>
          <w:color w:val="244061" w:themeColor="accent1" w:themeShade="80"/>
          <w:sz w:val="20"/>
          <w:szCs w:val="20"/>
        </w:rPr>
        <w:t>42</w:t>
      </w:r>
      <w:r w:rsidR="008E15FF" w:rsidRPr="008E15FF">
        <w:rPr>
          <w:rFonts w:ascii="Arial" w:hAnsi="Arial" w:cs="Arial"/>
          <w:color w:val="244061" w:themeColor="accent1" w:themeShade="80"/>
          <w:sz w:val="20"/>
          <w:szCs w:val="20"/>
        </w:rPr>
        <w:t xml:space="preserve"> Proizvodnja aluminija</w:t>
      </w:r>
      <w:r w:rsidR="008E15FF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3C78DB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ostvarenoj </w:t>
      </w:r>
      <w:r w:rsidRPr="0043181D">
        <w:rPr>
          <w:rFonts w:ascii="Arial" w:hAnsi="Arial" w:cs="Arial"/>
          <w:b/>
          <w:color w:val="244061" w:themeColor="accent1" w:themeShade="80"/>
          <w:sz w:val="20"/>
          <w:szCs w:val="20"/>
        </w:rPr>
        <w:t>produktivnosti</w:t>
      </w:r>
      <w:r w:rsidRPr="0043181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3C78DB">
        <w:rPr>
          <w:rFonts w:ascii="Arial" w:hAnsi="Arial" w:cs="Arial"/>
          <w:color w:val="244061" w:themeColor="accent1" w:themeShade="80"/>
          <w:sz w:val="20"/>
          <w:szCs w:val="20"/>
        </w:rPr>
        <w:t xml:space="preserve">slijede poduzetnici </w:t>
      </w:r>
      <w:r w:rsidR="004F10EE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</w:t>
      </w:r>
      <w:r w:rsidR="004F10EE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u </w:t>
      </w:r>
      <w:proofErr w:type="spellStart"/>
      <w:r w:rsidRPr="00942359">
        <w:rPr>
          <w:rFonts w:ascii="Arial" w:hAnsi="Arial" w:cs="Arial"/>
          <w:color w:val="244061" w:themeColor="accent1" w:themeShade="80"/>
          <w:sz w:val="20"/>
          <w:szCs w:val="20"/>
        </w:rPr>
        <w:t>Vrsi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>ma</w:t>
      </w:r>
      <w:proofErr w:type="spellEnd"/>
      <w:r w:rsidRPr="00942359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942359" w:rsidRPr="00942359">
        <w:rPr>
          <w:rFonts w:ascii="Arial" w:hAnsi="Arial" w:cs="Arial"/>
          <w:color w:val="244061" w:themeColor="accent1" w:themeShade="80"/>
          <w:sz w:val="20"/>
          <w:szCs w:val="20"/>
        </w:rPr>
        <w:t>832</w:t>
      </w:r>
      <w:r w:rsidRPr="00942359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te poduzetnici </w:t>
      </w:r>
      <w:r w:rsidR="004F10EE" w:rsidRPr="00942359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Pr="00942359">
        <w:rPr>
          <w:rFonts w:ascii="Arial" w:hAnsi="Arial" w:cs="Arial"/>
          <w:color w:val="244061" w:themeColor="accent1" w:themeShade="80"/>
          <w:sz w:val="20"/>
          <w:szCs w:val="20"/>
        </w:rPr>
        <w:t>Novigrad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>u,</w:t>
      </w:r>
      <w:r w:rsidR="00942359" w:rsidRPr="00942359">
        <w:rPr>
          <w:rFonts w:ascii="Arial" w:hAnsi="Arial" w:cs="Arial"/>
          <w:color w:val="244061" w:themeColor="accent1" w:themeShade="80"/>
          <w:sz w:val="20"/>
          <w:szCs w:val="20"/>
        </w:rPr>
        <w:t xml:space="preserve"> s 809</w:t>
      </w:r>
      <w:r w:rsidRPr="00942359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po zaposlenom.</w:t>
      </w:r>
      <w:r w:rsidR="00EB73A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F7B3C" w:rsidRPr="004F7B3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 usporedbu, produktivnost poduzetnika</w:t>
      </w:r>
      <w:r w:rsidR="0032200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Zadarske županije iznosila je </w:t>
      </w:r>
      <w:r w:rsidR="0032200A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</w:t>
      </w:r>
      <w:r w:rsidR="00942359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87</w:t>
      </w:r>
      <w:r w:rsidR="0032200A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tisuća kuna, a</w:t>
      </w:r>
      <w:r w:rsidR="004F7B3C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na razini RH u 201</w:t>
      </w:r>
      <w:r w:rsidR="00AD5C6C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</w:t>
      </w:r>
      <w:r w:rsidR="004F7B3C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godini 7</w:t>
      </w:r>
      <w:r w:rsidR="00942359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42</w:t>
      </w:r>
      <w:r w:rsidR="004F7B3C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tisuć</w:t>
      </w:r>
      <w:r w:rsidR="0075696D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4F7B3C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kuna.</w:t>
      </w:r>
    </w:p>
    <w:p w:rsidR="00E1622B" w:rsidRPr="001B2274" w:rsidRDefault="009E13D0" w:rsidP="00312459">
      <w:pPr>
        <w:widowControl w:val="0"/>
        <w:tabs>
          <w:tab w:val="left" w:pos="1134"/>
        </w:tabs>
        <w:spacing w:before="180" w:after="6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2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Prihod po zaposlenom u 201</w:t>
      </w:r>
      <w:r w:rsidR="00101C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gradova/općina </w:t>
      </w:r>
      <w:r w:rsidR="00563E04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Velikog urbanog područja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Zadr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</w:p>
    <w:p w:rsidR="00E1622B" w:rsidRPr="00C343B3" w:rsidRDefault="00E1622B" w:rsidP="004F10EE">
      <w:pPr>
        <w:tabs>
          <w:tab w:val="left" w:pos="1134"/>
        </w:tabs>
        <w:spacing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(iznosi u tisućama 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kuna)</w:t>
      </w:r>
    </w:p>
    <w:p w:rsidR="00E1622B" w:rsidRPr="00E1622B" w:rsidRDefault="008B4E6F" w:rsidP="00B9772C">
      <w:pPr>
        <w:spacing w:before="60" w:after="0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52D87EE1" wp14:editId="56886729">
            <wp:extent cx="5990400" cy="2376000"/>
            <wp:effectExtent l="0" t="0" r="0" b="5715"/>
            <wp:docPr id="9" name="Slika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4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Pr="008A0950" w:rsidRDefault="00E1622B" w:rsidP="00F33A7C">
      <w:pPr>
        <w:spacing w:after="0"/>
        <w:ind w:left="992" w:hanging="992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8A0950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 xml:space="preserve">, </w:t>
      </w:r>
      <w:r w:rsidR="00F33A7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101C6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="00F33A7C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A0950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</w:p>
    <w:p w:rsidR="00B24B8F" w:rsidRPr="00942359" w:rsidRDefault="00765899" w:rsidP="004F10EE">
      <w:pPr>
        <w:widowControl w:val="0"/>
        <w:spacing w:before="18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6F78FA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Prosječna mjesečna neto plaća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obračunata 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563E04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Velikog urbanog područja</w:t>
      </w:r>
      <w:r w:rsidR="00F56A6D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9E13D0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Zadra</w:t>
      </w:r>
      <w:r w:rsidR="00F56A6D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E357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201</w:t>
      </w:r>
      <w:r w:rsidR="00101C6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godini 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je </w:t>
      </w:r>
      <w:r w:rsidR="00942359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5.014</w:t>
      </w:r>
      <w:r w:rsidR="00BA6EC2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942359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odnosno </w:t>
      </w:r>
      <w:r w:rsidR="00942359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3,1</w:t>
      </w:r>
      <w:r w:rsidR="00C023D2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C14081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više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odnosu na prethodnu godinu te </w:t>
      </w:r>
      <w:r w:rsidR="00C14081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3,</w:t>
      </w:r>
      <w:proofErr w:type="spellStart"/>
      <w:r w:rsidR="00942359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</w:t>
      </w:r>
      <w:proofErr w:type="spellEnd"/>
      <w:r w:rsidR="00C023D2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F56A6D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više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od iznosa prosječne mjesečne neto plaće zaposlenih kod poduzetnika </w:t>
      </w:r>
      <w:r w:rsidR="00F56A6D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9E13D0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Zadarskoj</w:t>
      </w:r>
      <w:r w:rsidR="00F56A6D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županiji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(4.</w:t>
      </w:r>
      <w:r w:rsidR="00942359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852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942359"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). </w:t>
      </w:r>
    </w:p>
    <w:p w:rsidR="007F341C" w:rsidRPr="00CB3931" w:rsidRDefault="00765899" w:rsidP="001B2274">
      <w:pPr>
        <w:widowControl w:val="0"/>
        <w:spacing w:before="12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6F78FA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Najv</w:t>
      </w:r>
      <w:r w:rsidR="000B4675" w:rsidRPr="006F78FA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iša</w:t>
      </w:r>
      <w:r w:rsidRPr="00C1408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prosječna mjesečna neto plaća obračunata je kod poduzetnika u </w:t>
      </w:r>
      <w:r w:rsidR="00C1408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Zemunik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C1408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Donj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em</w:t>
      </w:r>
      <w:r w:rsidR="00BA6EC2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</w:t>
      </w:r>
      <w:r w:rsidR="00766A6E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5A6FE7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171</w:t>
      </w:r>
      <w:r w:rsidR="00BA6EC2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BA6EC2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slijede poduzetnici 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Zadra (5.144 kune) te</w:t>
      </w:r>
      <w:r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proofErr w:type="spellStart"/>
      <w:r w:rsidR="00C1408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Kali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proofErr w:type="spellEnd"/>
      <w:r w:rsidR="00BA6EC2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4.961</w:t>
      </w:r>
      <w:r w:rsidR="00C1408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BA6EC2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kuna)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BA6EC2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proofErr w:type="spellStart"/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Sukošan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proofErr w:type="spellEnd"/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(4.883 kune) i </w:t>
      </w:r>
      <w:proofErr w:type="spellStart"/>
      <w:r w:rsidR="00C1408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Poličnik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proofErr w:type="spellEnd"/>
      <w:r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4.868</w:t>
      </w:r>
      <w:r w:rsidR="004D07C8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a)</w:t>
      </w:r>
      <w:r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A01B26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0B4675" w:rsidRPr="006F78FA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Najniža</w:t>
      </w:r>
      <w:r w:rsidR="000B4675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prosječna mjesečna neto plaća obračunata je 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="000B4675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Kukljic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0B4675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3.086</w:t>
      </w:r>
      <w:r w:rsidR="000B4675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kunu).</w:t>
      </w:r>
    </w:p>
    <w:p w:rsidR="00196919" w:rsidRPr="00A01B26" w:rsidRDefault="004F7B3C" w:rsidP="001B2274">
      <w:pPr>
        <w:widowControl w:val="0"/>
        <w:spacing w:before="12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 usporedbu, prosječna mjesečna obračuna</w:t>
      </w:r>
      <w:r w:rsid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 neto plaća zaposlenih kod</w:t>
      </w:r>
      <w:r w:rsidR="00E357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</w:t>
      </w:r>
      <w:r w:rsid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Zadarskoj županiji u 2016</w:t>
      </w:r>
      <w:r w:rsidR="00CB3931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godini </w:t>
      </w:r>
      <w:r w:rsid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iznosila je 4.852 kune, a</w:t>
      </w:r>
      <w:r w:rsidR="00E357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na razini RH 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</w:t>
      </w:r>
      <w:r w:rsid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="00C1408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CB393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140</w:t>
      </w:r>
      <w:r w:rsidR="00C14081"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kuna. </w:t>
      </w:r>
    </w:p>
    <w:p w:rsidR="001847F3" w:rsidRDefault="00E1622B" w:rsidP="001B2274">
      <w:pPr>
        <w:spacing w:before="180" w:after="6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9E13D0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Prosječna mjesečna</w:t>
      </w:r>
      <w:r w:rsidR="00E357AF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neto plaća po zaposlenom u 201</w:t>
      </w:r>
      <w:r w:rsidR="00101C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po gradovima i općinama </w:t>
      </w:r>
      <w:r w:rsidR="001847F3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br/>
        <w:t xml:space="preserve">Velikog </w:t>
      </w:r>
      <w:r w:rsidR="00563E04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urbanog područja </w:t>
      </w:r>
      <w:r w:rsidR="009E13D0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Zadr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a </w:t>
      </w:r>
      <w:r w:rsidR="00BA6EC2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(TOP</w:t>
      </w:r>
      <w:r w:rsidR="00C86F2D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BA6EC2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Pr="00766A6E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9E13D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9E13D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9E13D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9E13D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766A6E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DC7485" w:rsidRPr="00196919" w:rsidRDefault="00CB3931" w:rsidP="00CE2E5E">
      <w:pPr>
        <w:widowControl w:val="0"/>
        <w:spacing w:after="0"/>
        <w:jc w:val="center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>
        <w:rPr>
          <w:rFonts w:ascii="Arial" w:eastAsia="Times New Roman" w:hAnsi="Arial"/>
          <w:bCs/>
          <w:noProof/>
          <w:color w:val="244061"/>
          <w:sz w:val="20"/>
          <w:szCs w:val="20"/>
          <w:lang w:eastAsia="hr-HR"/>
        </w:rPr>
        <w:drawing>
          <wp:inline distT="0" distB="0" distL="0" distR="0" wp14:anchorId="4DC1516D" wp14:editId="0C5DB192">
            <wp:extent cx="6084000" cy="2304000"/>
            <wp:effectExtent l="0" t="0" r="0" b="1270"/>
            <wp:docPr id="10" name="Slika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Default="00713E71" w:rsidP="00F10F22">
      <w:pPr>
        <w:spacing w:after="0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 xml:space="preserve">, </w:t>
      </w:r>
      <w:r w:rsidR="00F33A7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101C6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="00F33A7C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="00E1622B" w:rsidRPr="00F33A7C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</w:p>
    <w:p w:rsidR="00857A4B" w:rsidRPr="00F33A7C" w:rsidRDefault="00857A4B" w:rsidP="00F10F22">
      <w:pPr>
        <w:spacing w:after="0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</w:p>
    <w:p w:rsidR="005255DE" w:rsidRPr="00132FFE" w:rsidRDefault="005255DE" w:rsidP="005255DE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1B2274" w:rsidRPr="001B2274" w:rsidRDefault="001B2274" w:rsidP="001B2274">
      <w:pPr>
        <w:spacing w:before="120" w:after="0"/>
        <w:jc w:val="both"/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</w:pPr>
      <w:r w:rsidRPr="001B2274"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  <w:t>O urbanim aglomeracijama i većim i manjim urbanim područjima</w:t>
      </w:r>
    </w:p>
    <w:p w:rsidR="001B2274" w:rsidRPr="001B2274" w:rsidRDefault="001B2274" w:rsidP="004F10EE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1B2274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Izdvajanje urbanih (i ruralnih odnosno ruralnih i mješovitih) područja predstavlja jedan od izazovnijih zadataka suvremene politike regionalnog razvoja. Vrlo često se urbana područja odnosno granice urbanih područja određuju ovisno o namjeni i nisu izdvojena jednom jedinstvenom definicijom. Za politiku regionalnog razvoja izdvajanje urbanih područja znači naći kompromis između različitih sektora, lokalnih želja za uključivanjem/isključivanjem dijela teritorija u </w:t>
      </w:r>
      <w:r w:rsidRPr="001B2274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lastRenderedPageBreak/>
        <w:t>urbani prostor i administrativnih granica (koje osiguravaju pravo odlučivanja u nekom prostoru). Zakon o regionalnom razvoju odredio je tri tipa urbanih područja:</w:t>
      </w:r>
    </w:p>
    <w:p w:rsidR="001B2274" w:rsidRPr="001B2274" w:rsidRDefault="001B2274" w:rsidP="001B2274">
      <w:pPr>
        <w:pStyle w:val="Odlomakpopisa"/>
        <w:numPr>
          <w:ilvl w:val="0"/>
          <w:numId w:val="1"/>
        </w:numPr>
        <w:spacing w:before="40" w:line="276" w:lineRule="auto"/>
        <w:ind w:left="850" w:hanging="357"/>
        <w:contextualSpacing w:val="0"/>
        <w:rPr>
          <w:rFonts w:cs="Arial"/>
          <w:color w:val="244061"/>
          <w:sz w:val="18"/>
          <w:szCs w:val="18"/>
        </w:rPr>
      </w:pPr>
      <w:r w:rsidRPr="001B2274">
        <w:rPr>
          <w:rFonts w:cs="Arial"/>
          <w:b/>
          <w:color w:val="244061"/>
          <w:sz w:val="18"/>
          <w:szCs w:val="18"/>
        </w:rPr>
        <w:t>4 gradske aglomeracije</w:t>
      </w:r>
      <w:r w:rsidRPr="001B2274">
        <w:rPr>
          <w:rFonts w:cs="Arial"/>
          <w:color w:val="244061"/>
          <w:sz w:val="18"/>
          <w:szCs w:val="18"/>
        </w:rPr>
        <w:t xml:space="preserve"> (sjedišta u Zagrebu, Splitu, Rijeci i Osijeku)</w:t>
      </w:r>
    </w:p>
    <w:p w:rsidR="001B2274" w:rsidRDefault="001B2274" w:rsidP="004F10EE">
      <w:pPr>
        <w:pStyle w:val="Odlomakpopisa"/>
        <w:numPr>
          <w:ilvl w:val="0"/>
          <w:numId w:val="1"/>
        </w:numPr>
        <w:tabs>
          <w:tab w:val="left" w:pos="851"/>
        </w:tabs>
        <w:spacing w:before="40" w:line="276" w:lineRule="auto"/>
        <w:ind w:left="850" w:hanging="357"/>
        <w:contextualSpacing w:val="0"/>
        <w:rPr>
          <w:rFonts w:cs="Arial"/>
          <w:color w:val="244061"/>
          <w:sz w:val="18"/>
          <w:szCs w:val="18"/>
        </w:rPr>
      </w:pPr>
      <w:r w:rsidRPr="001B2274">
        <w:rPr>
          <w:rFonts w:cs="Arial"/>
          <w:b/>
          <w:color w:val="244061"/>
          <w:sz w:val="18"/>
          <w:szCs w:val="18"/>
        </w:rPr>
        <w:t>veća urbana područja</w:t>
      </w:r>
      <w:r w:rsidRPr="001B2274">
        <w:rPr>
          <w:rFonts w:cs="Arial"/>
          <w:color w:val="244061"/>
          <w:sz w:val="18"/>
          <w:szCs w:val="18"/>
        </w:rPr>
        <w:t xml:space="preserve"> - gradovi koji na razini jedinica lokalne samouprave imaju više od 35 000 stanovnika, a nisu uključeni u urbane aglomeracije</w:t>
      </w:r>
    </w:p>
    <w:p w:rsidR="001B2274" w:rsidRPr="001B2274" w:rsidRDefault="001B2274" w:rsidP="001B2274">
      <w:pPr>
        <w:pStyle w:val="Odlomakpopisa"/>
        <w:numPr>
          <w:ilvl w:val="0"/>
          <w:numId w:val="1"/>
        </w:numPr>
        <w:tabs>
          <w:tab w:val="left" w:pos="851"/>
        </w:tabs>
        <w:spacing w:before="40" w:after="60" w:line="240" w:lineRule="auto"/>
        <w:ind w:left="850" w:hanging="357"/>
        <w:contextualSpacing w:val="0"/>
        <w:rPr>
          <w:rFonts w:eastAsia="Calibri" w:cs="Arial"/>
          <w:b/>
          <w:color w:val="244061" w:themeColor="accent1" w:themeShade="80"/>
          <w:sz w:val="16"/>
          <w:szCs w:val="16"/>
        </w:rPr>
      </w:pPr>
      <w:r w:rsidRPr="001B2274">
        <w:rPr>
          <w:rFonts w:cs="Arial"/>
          <w:b/>
          <w:color w:val="244061"/>
          <w:sz w:val="18"/>
          <w:szCs w:val="18"/>
        </w:rPr>
        <w:t>manja urbana područja</w:t>
      </w:r>
      <w:r w:rsidRPr="001B2274">
        <w:rPr>
          <w:rFonts w:cs="Arial"/>
          <w:color w:val="244061"/>
          <w:sz w:val="18"/>
          <w:szCs w:val="18"/>
        </w:rPr>
        <w:t xml:space="preserve"> - gradovi koji imaju manje od 35 000 stanovnika, ali njihova središnja naselja imaju više od 10 000 stanovnika ili su sjedišta županija.</w:t>
      </w:r>
    </w:p>
    <w:p w:rsidR="001B2274" w:rsidRPr="00132FFE" w:rsidRDefault="001B2274" w:rsidP="001B2274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6C38AD" w:rsidRDefault="005255DE" w:rsidP="004F10EE">
      <w:pP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V</w:t>
      </w:r>
      <w:r w:rsidR="006C38A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iše o rezultatima poslovanja poduzetnika po područjima djelatnosti i po drugim kriterijima, prezentirano je u </w:t>
      </w:r>
      <w:hyperlink r:id="rId20" w:history="1">
        <w:r w:rsidR="006C38AD">
          <w:rPr>
            <w:rStyle w:val="Hiperveza"/>
            <w:rFonts w:ascii="Arial" w:eastAsia="Times New Roman" w:hAnsi="Arial" w:cs="Arial"/>
            <w:i/>
            <w:color w:val="0000BF"/>
            <w:sz w:val="17"/>
            <w:szCs w:val="17"/>
            <w:lang w:eastAsia="hr-HR"/>
          </w:rPr>
          <w:t>standardnim analizama</w:t>
        </w:r>
      </w:hyperlink>
      <w:r w:rsidR="006C38A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</w:t>
      </w:r>
      <w:r w:rsidR="00E357AF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i po gradovima i općinama u 2015</w:t>
      </w:r>
      <w:r w:rsidR="006C38A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. g. </w:t>
      </w:r>
    </w:p>
    <w:p w:rsidR="006C38AD" w:rsidRDefault="006C38AD" w:rsidP="00C910F9">
      <w:pPr>
        <w:spacing w:before="120" w:after="0" w:line="240" w:lineRule="auto"/>
        <w:jc w:val="both"/>
        <w:rPr>
          <w:rFonts w:ascii="Arial" w:eastAsia="Calibri" w:hAnsi="Arial" w:cs="Arial"/>
          <w:i/>
          <w:color w:val="0000FF"/>
          <w:sz w:val="17"/>
          <w:szCs w:val="17"/>
          <w:u w:val="single"/>
          <w:lang w:eastAsia="hr-HR"/>
        </w:rPr>
      </w:pPr>
      <w:r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>
        <w:rPr>
          <w:rFonts w:ascii="Arial" w:eastAsia="Calibri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21" w:history="1">
        <w:r>
          <w:rPr>
            <w:rStyle w:val="Hiperveza"/>
            <w:rFonts w:ascii="Arial" w:eastAsia="Calibri" w:hAnsi="Arial" w:cs="Arial"/>
            <w:i/>
            <w:sz w:val="17"/>
            <w:szCs w:val="17"/>
            <w:lang w:eastAsia="hr-HR"/>
          </w:rPr>
          <w:t>RGFI – javna objava</w:t>
        </w:r>
      </w:hyperlink>
      <w:r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r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22" w:history="1">
        <w:proofErr w:type="spellStart"/>
        <w:r>
          <w:rPr>
            <w:rStyle w:val="Hiperveza"/>
            <w:rFonts w:ascii="Arial" w:eastAsia="Calibri" w:hAnsi="Arial" w:cs="Arial"/>
            <w:i/>
            <w:sz w:val="17"/>
            <w:szCs w:val="17"/>
            <w:lang w:eastAsia="hr-HR"/>
          </w:rPr>
          <w:t>Transparentno.hr</w:t>
        </w:r>
        <w:proofErr w:type="spellEnd"/>
      </w:hyperlink>
    </w:p>
    <w:p w:rsidR="00196919" w:rsidRDefault="006C38AD" w:rsidP="00C910F9">
      <w:pPr>
        <w:spacing w:before="120" w:after="0" w:line="240" w:lineRule="auto"/>
        <w:jc w:val="both"/>
        <w:rPr>
          <w:rFonts w:ascii="Arial" w:eastAsia="Calibri" w:hAnsi="Arial" w:cs="Arial"/>
          <w:bCs/>
          <w:i/>
          <w:color w:val="17365D"/>
          <w:sz w:val="17"/>
          <w:szCs w:val="17"/>
        </w:rPr>
      </w:pPr>
      <w:r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23" w:history="1">
        <w:r>
          <w:rPr>
            <w:rStyle w:val="Hiperveza"/>
            <w:rFonts w:ascii="Arial" w:eastAsia="Calibri" w:hAnsi="Arial" w:cs="Arial"/>
            <w:bCs/>
            <w:i/>
            <w:color w:val="0000BF"/>
            <w:sz w:val="17"/>
            <w:szCs w:val="17"/>
          </w:rPr>
          <w:t xml:space="preserve">FINA </w:t>
        </w:r>
        <w:proofErr w:type="spellStart"/>
        <w:r>
          <w:rPr>
            <w:rStyle w:val="Hiperveza"/>
            <w:rFonts w:ascii="Arial" w:eastAsia="Calibri" w:hAnsi="Arial" w:cs="Arial"/>
            <w:bCs/>
            <w:i/>
            <w:color w:val="0000BF"/>
            <w:sz w:val="17"/>
            <w:szCs w:val="17"/>
          </w:rPr>
          <w:t>InfoBlokade</w:t>
        </w:r>
        <w:proofErr w:type="spellEnd"/>
      </w:hyperlink>
      <w:r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poruku na broj 818058. te korištenjem </w:t>
      </w:r>
      <w:hyperlink r:id="rId24" w:history="1">
        <w:r>
          <w:rPr>
            <w:rStyle w:val="Hiperveza"/>
            <w:rFonts w:ascii="Arial" w:eastAsia="Calibri" w:hAnsi="Arial" w:cs="Arial"/>
            <w:bCs/>
            <w:i/>
            <w:sz w:val="17"/>
            <w:szCs w:val="17"/>
          </w:rPr>
          <w:t>WEB aplikacije JRR</w:t>
        </w:r>
      </w:hyperlink>
      <w:r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25" w:history="1">
        <w:r>
          <w:rPr>
            <w:rStyle w:val="Hiperveza"/>
            <w:rFonts w:ascii="Arial" w:eastAsia="Calibri" w:hAnsi="Arial" w:cs="Arial"/>
            <w:bCs/>
            <w:i/>
            <w:sz w:val="17"/>
            <w:szCs w:val="17"/>
          </w:rPr>
          <w:t>Jedinstvenom registru računa</w:t>
        </w:r>
      </w:hyperlink>
      <w:r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p w:rsidR="00E357AF" w:rsidRDefault="00E357AF" w:rsidP="00951B1A">
      <w:pPr>
        <w:spacing w:before="120" w:after="0" w:line="240" w:lineRule="auto"/>
        <w:jc w:val="both"/>
        <w:rPr>
          <w:rFonts w:ascii="Arial" w:eastAsia="Calibri" w:hAnsi="Arial" w:cs="Arial"/>
          <w:bCs/>
          <w:i/>
          <w:color w:val="17365D"/>
          <w:sz w:val="17"/>
          <w:szCs w:val="17"/>
        </w:rPr>
      </w:pPr>
    </w:p>
    <w:tbl>
      <w:tblPr>
        <w:tblW w:w="955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2694"/>
        <w:gridCol w:w="3462"/>
      </w:tblGrid>
      <w:tr w:rsidR="00E357AF" w:rsidRPr="00E357AF" w:rsidTr="0093312F">
        <w:trPr>
          <w:trHeight w:val="2895"/>
        </w:trPr>
        <w:tc>
          <w:tcPr>
            <w:tcW w:w="34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E357AF" w:rsidRPr="00E357AF" w:rsidRDefault="00E357AF" w:rsidP="00E357AF">
            <w:pPr>
              <w:spacing w:before="120" w:after="0" w:line="240" w:lineRule="auto"/>
              <w:jc w:val="both"/>
              <w:rPr>
                <w:rFonts w:ascii="Arial" w:eastAsia="Calibri" w:hAnsi="Arial" w:cs="Arial"/>
                <w:bCs/>
                <w:i/>
                <w:color w:val="17365D"/>
                <w:sz w:val="17"/>
                <w:szCs w:val="17"/>
              </w:rPr>
            </w:pPr>
            <w:r w:rsidRPr="00E357AF">
              <w:rPr>
                <w:rFonts w:ascii="Arial" w:eastAsia="Calibri" w:hAnsi="Arial" w:cs="Arial"/>
                <w:bCs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 wp14:anchorId="0171E1E5" wp14:editId="08F3B5FB">
                  <wp:extent cx="2022764" cy="1794163"/>
                  <wp:effectExtent l="0" t="0" r="0" b="0"/>
                  <wp:docPr id="68" name="Slika 68" descr="Fina info šasija_210x270.jpg">
                    <a:hlinkClick xmlns:a="http://schemas.openxmlformats.org/drawingml/2006/main" r:id="rId26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Fina info šasija_210x270.jpg">
                            <a:hlinkClick r:id="rId26" tooltip="&quot;&quot; t 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934" cy="1793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E357AF" w:rsidRPr="00E357AF" w:rsidRDefault="00101C69" w:rsidP="00E357AF">
            <w:pPr>
              <w:spacing w:before="120" w:after="0" w:line="240" w:lineRule="auto"/>
              <w:jc w:val="both"/>
              <w:rPr>
                <w:rFonts w:ascii="Arial" w:eastAsia="Calibri" w:hAnsi="Arial" w:cs="Arial"/>
                <w:bCs/>
                <w:i/>
                <w:color w:val="17365D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 wp14:anchorId="089922F9" wp14:editId="75DF5FB1">
                  <wp:extent cx="1566545" cy="1823085"/>
                  <wp:effectExtent l="0" t="0" r="0" b="571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82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E357AF" w:rsidRPr="00E357AF" w:rsidRDefault="00E357AF" w:rsidP="00E357AF">
            <w:pPr>
              <w:spacing w:before="120" w:after="0" w:line="240" w:lineRule="auto"/>
              <w:jc w:val="both"/>
              <w:rPr>
                <w:rFonts w:ascii="Arial" w:eastAsia="Calibri" w:hAnsi="Arial" w:cs="Arial"/>
                <w:bCs/>
                <w:i/>
                <w:color w:val="17365D"/>
                <w:sz w:val="17"/>
                <w:szCs w:val="17"/>
              </w:rPr>
            </w:pPr>
            <w:r w:rsidRPr="00E357AF">
              <w:rPr>
                <w:rFonts w:ascii="Arial" w:eastAsia="Calibri" w:hAnsi="Arial" w:cs="Arial"/>
                <w:b/>
                <w:bCs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 wp14:anchorId="1566F876" wp14:editId="2A5678FF">
                  <wp:extent cx="2050473" cy="1821873"/>
                  <wp:effectExtent l="0" t="0" r="6985" b="6985"/>
                  <wp:docPr id="5" name="Slika 5" descr="smsBlokade_210x270.jpg">
                    <a:hlinkClick xmlns:a="http://schemas.openxmlformats.org/drawingml/2006/main" r:id="rId29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smsBlokade_210x270.jpg">
                            <a:hlinkClick r:id="rId29" tooltip="&quot;FINA InfoBlokade&quot; t 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499" cy="1821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7AF" w:rsidRPr="003C116E" w:rsidRDefault="00E357AF" w:rsidP="00951B1A">
      <w:pPr>
        <w:spacing w:before="120" w:after="0" w:line="240" w:lineRule="auto"/>
        <w:jc w:val="both"/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</w:pPr>
    </w:p>
    <w:sectPr w:rsidR="00E357AF" w:rsidRPr="003C116E" w:rsidSect="00F3759C">
      <w:headerReference w:type="default" r:id="rId31"/>
      <w:pgSz w:w="11906" w:h="16838"/>
      <w:pgMar w:top="1134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D1" w:rsidRDefault="00D342D1" w:rsidP="008E7389">
      <w:pPr>
        <w:spacing w:after="0" w:line="240" w:lineRule="auto"/>
      </w:pPr>
      <w:r>
        <w:separator/>
      </w:r>
    </w:p>
  </w:endnote>
  <w:endnote w:type="continuationSeparator" w:id="0">
    <w:p w:rsidR="00D342D1" w:rsidRDefault="00D342D1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D1" w:rsidRDefault="00D342D1" w:rsidP="008E7389">
      <w:pPr>
        <w:spacing w:after="0" w:line="240" w:lineRule="auto"/>
      </w:pPr>
      <w:r>
        <w:separator/>
      </w:r>
    </w:p>
  </w:footnote>
  <w:footnote w:type="continuationSeparator" w:id="0">
    <w:p w:rsidR="00D342D1" w:rsidRDefault="00D342D1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5" w:rsidRDefault="007F67A5" w:rsidP="003124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C1C4426" wp14:editId="236F33E2">
          <wp:simplePos x="0" y="0"/>
          <wp:positionH relativeFrom="column">
            <wp:posOffset>-11887</wp:posOffset>
          </wp:positionH>
          <wp:positionV relativeFrom="paragraph">
            <wp:posOffset>-78181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6CF"/>
    <w:multiLevelType w:val="hybridMultilevel"/>
    <w:tmpl w:val="5A5CF3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2298A"/>
    <w:rsid w:val="000318B8"/>
    <w:rsid w:val="000462BD"/>
    <w:rsid w:val="00056009"/>
    <w:rsid w:val="000702E8"/>
    <w:rsid w:val="000718BF"/>
    <w:rsid w:val="00073618"/>
    <w:rsid w:val="000977BA"/>
    <w:rsid w:val="000A286F"/>
    <w:rsid w:val="000B4675"/>
    <w:rsid w:val="000C7E4B"/>
    <w:rsid w:val="000D5304"/>
    <w:rsid w:val="000F2E7D"/>
    <w:rsid w:val="000F3063"/>
    <w:rsid w:val="00101C69"/>
    <w:rsid w:val="00135C85"/>
    <w:rsid w:val="0015427A"/>
    <w:rsid w:val="00161E42"/>
    <w:rsid w:val="00171AC5"/>
    <w:rsid w:val="001847F3"/>
    <w:rsid w:val="00196919"/>
    <w:rsid w:val="001A4239"/>
    <w:rsid w:val="001B2274"/>
    <w:rsid w:val="001D766E"/>
    <w:rsid w:val="001D7E19"/>
    <w:rsid w:val="001E0DAF"/>
    <w:rsid w:val="001E685C"/>
    <w:rsid w:val="00216B79"/>
    <w:rsid w:val="00223A9E"/>
    <w:rsid w:val="002304EB"/>
    <w:rsid w:val="002366DF"/>
    <w:rsid w:val="0025375D"/>
    <w:rsid w:val="00254C6A"/>
    <w:rsid w:val="00255895"/>
    <w:rsid w:val="0027247E"/>
    <w:rsid w:val="00276D16"/>
    <w:rsid w:val="00281C49"/>
    <w:rsid w:val="0028355D"/>
    <w:rsid w:val="00284417"/>
    <w:rsid w:val="00287160"/>
    <w:rsid w:val="00292457"/>
    <w:rsid w:val="00296F21"/>
    <w:rsid w:val="002B37A6"/>
    <w:rsid w:val="002C4E15"/>
    <w:rsid w:val="002D2D83"/>
    <w:rsid w:val="002E353B"/>
    <w:rsid w:val="002E657D"/>
    <w:rsid w:val="00312459"/>
    <w:rsid w:val="0032200A"/>
    <w:rsid w:val="003254DB"/>
    <w:rsid w:val="00331458"/>
    <w:rsid w:val="00354712"/>
    <w:rsid w:val="0036105B"/>
    <w:rsid w:val="00364A39"/>
    <w:rsid w:val="00376AA3"/>
    <w:rsid w:val="003B7206"/>
    <w:rsid w:val="003C0074"/>
    <w:rsid w:val="003C0891"/>
    <w:rsid w:val="003C116E"/>
    <w:rsid w:val="003C6C83"/>
    <w:rsid w:val="003C78DB"/>
    <w:rsid w:val="003D20ED"/>
    <w:rsid w:val="003F13E6"/>
    <w:rsid w:val="0043181D"/>
    <w:rsid w:val="00436335"/>
    <w:rsid w:val="00443FFD"/>
    <w:rsid w:val="00450F23"/>
    <w:rsid w:val="00466FEA"/>
    <w:rsid w:val="004762F8"/>
    <w:rsid w:val="004922FF"/>
    <w:rsid w:val="00493204"/>
    <w:rsid w:val="004946AC"/>
    <w:rsid w:val="004B2260"/>
    <w:rsid w:val="004D07C8"/>
    <w:rsid w:val="004D3F1F"/>
    <w:rsid w:val="004D5A6F"/>
    <w:rsid w:val="004F10EE"/>
    <w:rsid w:val="004F3E69"/>
    <w:rsid w:val="004F7B3C"/>
    <w:rsid w:val="00522540"/>
    <w:rsid w:val="00524225"/>
    <w:rsid w:val="005255DE"/>
    <w:rsid w:val="00527D2F"/>
    <w:rsid w:val="00537C1C"/>
    <w:rsid w:val="00563E04"/>
    <w:rsid w:val="005807A1"/>
    <w:rsid w:val="00583535"/>
    <w:rsid w:val="00587E84"/>
    <w:rsid w:val="00592D0E"/>
    <w:rsid w:val="00595D97"/>
    <w:rsid w:val="005A2FB9"/>
    <w:rsid w:val="005A6FE7"/>
    <w:rsid w:val="005D14AF"/>
    <w:rsid w:val="005D2525"/>
    <w:rsid w:val="005D34E7"/>
    <w:rsid w:val="00632811"/>
    <w:rsid w:val="00634BA9"/>
    <w:rsid w:val="00636FCF"/>
    <w:rsid w:val="006425C6"/>
    <w:rsid w:val="006600AF"/>
    <w:rsid w:val="00666461"/>
    <w:rsid w:val="00672715"/>
    <w:rsid w:val="006A3AD3"/>
    <w:rsid w:val="006A66B5"/>
    <w:rsid w:val="006A7B0A"/>
    <w:rsid w:val="006C38AD"/>
    <w:rsid w:val="006D12F5"/>
    <w:rsid w:val="006D3627"/>
    <w:rsid w:val="006E42B8"/>
    <w:rsid w:val="006F758A"/>
    <w:rsid w:val="006F78FA"/>
    <w:rsid w:val="00707780"/>
    <w:rsid w:val="00713E71"/>
    <w:rsid w:val="00733A0F"/>
    <w:rsid w:val="00743414"/>
    <w:rsid w:val="007568A3"/>
    <w:rsid w:val="0075696D"/>
    <w:rsid w:val="007575DE"/>
    <w:rsid w:val="00764E7C"/>
    <w:rsid w:val="00765899"/>
    <w:rsid w:val="00766A6E"/>
    <w:rsid w:val="00793E44"/>
    <w:rsid w:val="007A08C5"/>
    <w:rsid w:val="007B1D4D"/>
    <w:rsid w:val="007B70B2"/>
    <w:rsid w:val="007C257E"/>
    <w:rsid w:val="007D5301"/>
    <w:rsid w:val="007F341C"/>
    <w:rsid w:val="007F67A5"/>
    <w:rsid w:val="00810B00"/>
    <w:rsid w:val="0081287F"/>
    <w:rsid w:val="00815DB3"/>
    <w:rsid w:val="00817CD5"/>
    <w:rsid w:val="0084384B"/>
    <w:rsid w:val="00844442"/>
    <w:rsid w:val="008533B7"/>
    <w:rsid w:val="00857A4B"/>
    <w:rsid w:val="00863DA0"/>
    <w:rsid w:val="00865FBC"/>
    <w:rsid w:val="0089385C"/>
    <w:rsid w:val="008A0950"/>
    <w:rsid w:val="008A15B9"/>
    <w:rsid w:val="008A5A33"/>
    <w:rsid w:val="008B4E6F"/>
    <w:rsid w:val="008D40F3"/>
    <w:rsid w:val="008E15FF"/>
    <w:rsid w:val="008E7389"/>
    <w:rsid w:val="00901842"/>
    <w:rsid w:val="0090357F"/>
    <w:rsid w:val="00905837"/>
    <w:rsid w:val="00912F71"/>
    <w:rsid w:val="009159B6"/>
    <w:rsid w:val="00916B6F"/>
    <w:rsid w:val="00916C9B"/>
    <w:rsid w:val="00923F6E"/>
    <w:rsid w:val="0093312F"/>
    <w:rsid w:val="00936F86"/>
    <w:rsid w:val="00942359"/>
    <w:rsid w:val="009473A7"/>
    <w:rsid w:val="009505F5"/>
    <w:rsid w:val="00951B1A"/>
    <w:rsid w:val="00984296"/>
    <w:rsid w:val="009937DD"/>
    <w:rsid w:val="00996FCE"/>
    <w:rsid w:val="009B1921"/>
    <w:rsid w:val="009B352F"/>
    <w:rsid w:val="009C1464"/>
    <w:rsid w:val="009C2ABA"/>
    <w:rsid w:val="009D303A"/>
    <w:rsid w:val="009E13D0"/>
    <w:rsid w:val="009F28A3"/>
    <w:rsid w:val="00A01B26"/>
    <w:rsid w:val="00A03340"/>
    <w:rsid w:val="00A324E2"/>
    <w:rsid w:val="00A352A1"/>
    <w:rsid w:val="00A47220"/>
    <w:rsid w:val="00A564B1"/>
    <w:rsid w:val="00A56B89"/>
    <w:rsid w:val="00A71AE7"/>
    <w:rsid w:val="00A95E07"/>
    <w:rsid w:val="00AA53B6"/>
    <w:rsid w:val="00AC1EC9"/>
    <w:rsid w:val="00AD06D9"/>
    <w:rsid w:val="00AD0A58"/>
    <w:rsid w:val="00AD5C6C"/>
    <w:rsid w:val="00AF2059"/>
    <w:rsid w:val="00AF7320"/>
    <w:rsid w:val="00B205FA"/>
    <w:rsid w:val="00B24B8F"/>
    <w:rsid w:val="00B26ACB"/>
    <w:rsid w:val="00B32173"/>
    <w:rsid w:val="00B45452"/>
    <w:rsid w:val="00B50975"/>
    <w:rsid w:val="00B57D70"/>
    <w:rsid w:val="00B66275"/>
    <w:rsid w:val="00B701A1"/>
    <w:rsid w:val="00B73505"/>
    <w:rsid w:val="00B9772C"/>
    <w:rsid w:val="00BA4925"/>
    <w:rsid w:val="00BA5704"/>
    <w:rsid w:val="00BA6EC2"/>
    <w:rsid w:val="00BC0016"/>
    <w:rsid w:val="00BD2B78"/>
    <w:rsid w:val="00BF6698"/>
    <w:rsid w:val="00C023D2"/>
    <w:rsid w:val="00C0423D"/>
    <w:rsid w:val="00C0690E"/>
    <w:rsid w:val="00C11723"/>
    <w:rsid w:val="00C11F95"/>
    <w:rsid w:val="00C14081"/>
    <w:rsid w:val="00C343B3"/>
    <w:rsid w:val="00C45BA6"/>
    <w:rsid w:val="00C46354"/>
    <w:rsid w:val="00C61A83"/>
    <w:rsid w:val="00C62B06"/>
    <w:rsid w:val="00C8090C"/>
    <w:rsid w:val="00C83F8B"/>
    <w:rsid w:val="00C8410D"/>
    <w:rsid w:val="00C84136"/>
    <w:rsid w:val="00C847D6"/>
    <w:rsid w:val="00C86F2D"/>
    <w:rsid w:val="00C910F9"/>
    <w:rsid w:val="00C92BA0"/>
    <w:rsid w:val="00CA0764"/>
    <w:rsid w:val="00CA3EFD"/>
    <w:rsid w:val="00CB3931"/>
    <w:rsid w:val="00CB4F88"/>
    <w:rsid w:val="00CC6C82"/>
    <w:rsid w:val="00CD1DBF"/>
    <w:rsid w:val="00CE2E5E"/>
    <w:rsid w:val="00CE4FEA"/>
    <w:rsid w:val="00CF2BE0"/>
    <w:rsid w:val="00CF349A"/>
    <w:rsid w:val="00CF5A62"/>
    <w:rsid w:val="00D1505F"/>
    <w:rsid w:val="00D163D5"/>
    <w:rsid w:val="00D20901"/>
    <w:rsid w:val="00D22312"/>
    <w:rsid w:val="00D342D1"/>
    <w:rsid w:val="00D37D23"/>
    <w:rsid w:val="00D37DCB"/>
    <w:rsid w:val="00D44604"/>
    <w:rsid w:val="00D459C2"/>
    <w:rsid w:val="00D55F4A"/>
    <w:rsid w:val="00D7104E"/>
    <w:rsid w:val="00D827B9"/>
    <w:rsid w:val="00D82B29"/>
    <w:rsid w:val="00D95665"/>
    <w:rsid w:val="00DA09F2"/>
    <w:rsid w:val="00DA2A99"/>
    <w:rsid w:val="00DB1D08"/>
    <w:rsid w:val="00DB5D5C"/>
    <w:rsid w:val="00DB6FBC"/>
    <w:rsid w:val="00DC7485"/>
    <w:rsid w:val="00DD6AA5"/>
    <w:rsid w:val="00DD7687"/>
    <w:rsid w:val="00DD7B7C"/>
    <w:rsid w:val="00DF0CE0"/>
    <w:rsid w:val="00DF532C"/>
    <w:rsid w:val="00E0420B"/>
    <w:rsid w:val="00E134A9"/>
    <w:rsid w:val="00E1622B"/>
    <w:rsid w:val="00E1665F"/>
    <w:rsid w:val="00E238D3"/>
    <w:rsid w:val="00E353DE"/>
    <w:rsid w:val="00E357AF"/>
    <w:rsid w:val="00E455CE"/>
    <w:rsid w:val="00E55289"/>
    <w:rsid w:val="00E6539B"/>
    <w:rsid w:val="00E74065"/>
    <w:rsid w:val="00E75FD8"/>
    <w:rsid w:val="00E8585D"/>
    <w:rsid w:val="00E97FC9"/>
    <w:rsid w:val="00EA6F2F"/>
    <w:rsid w:val="00EB012C"/>
    <w:rsid w:val="00EB13A9"/>
    <w:rsid w:val="00EB39F4"/>
    <w:rsid w:val="00EB73A1"/>
    <w:rsid w:val="00ED26D1"/>
    <w:rsid w:val="00EF6B8E"/>
    <w:rsid w:val="00F0302C"/>
    <w:rsid w:val="00F10F22"/>
    <w:rsid w:val="00F11B58"/>
    <w:rsid w:val="00F33642"/>
    <w:rsid w:val="00F33A7C"/>
    <w:rsid w:val="00F369FE"/>
    <w:rsid w:val="00F3759C"/>
    <w:rsid w:val="00F44AA0"/>
    <w:rsid w:val="00F56A6D"/>
    <w:rsid w:val="00F57E72"/>
    <w:rsid w:val="00F65560"/>
    <w:rsid w:val="00F72860"/>
    <w:rsid w:val="00F81216"/>
    <w:rsid w:val="00F9501A"/>
    <w:rsid w:val="00FC4822"/>
    <w:rsid w:val="00FC4A9D"/>
    <w:rsid w:val="00FC71E4"/>
    <w:rsid w:val="00FD3DCC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67A5"/>
  </w:style>
  <w:style w:type="paragraph" w:styleId="Podnoje">
    <w:name w:val="footer"/>
    <w:basedOn w:val="Normal"/>
    <w:link w:val="Podno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67A5"/>
  </w:style>
  <w:style w:type="paragraph" w:styleId="Odlomakpopisa">
    <w:name w:val="List Paragraph"/>
    <w:basedOn w:val="Normal"/>
    <w:uiPriority w:val="34"/>
    <w:qFormat/>
    <w:rsid w:val="006E42B8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473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67A5"/>
  </w:style>
  <w:style w:type="paragraph" w:styleId="Podnoje">
    <w:name w:val="footer"/>
    <w:basedOn w:val="Normal"/>
    <w:link w:val="Podno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67A5"/>
  </w:style>
  <w:style w:type="paragraph" w:styleId="Odlomakpopisa">
    <w:name w:val="List Paragraph"/>
    <w:basedOn w:val="Normal"/>
    <w:uiPriority w:val="34"/>
    <w:qFormat/>
    <w:rsid w:val="006E42B8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473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2937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6544">
                          <w:marLeft w:val="0"/>
                          <w:marRight w:val="0"/>
                          <w:marTop w:val="0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5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2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44952903763/6108a1b8b0bcbda4f8140f36d483d2139c31001173712e2b39dc539b3b78d98e885861a5c7f8ccda808ab92e465c96a71cfc18e9113d5c704db7a25022092fe5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fina.hr/Default.aspx?sec=17" TargetMode="External"/><Relationship Id="rId3" Type="http://schemas.openxmlformats.org/officeDocument/2006/relationships/styles" Target="styles.xml"/><Relationship Id="rId21" Type="http://schemas.openxmlformats.org/officeDocument/2006/relationships/hyperlink" Target="http://rgfi.fina.hr/JavnaObjava-web/jsp/prijavaKorisnika.js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44952903763/6108a1b8b0bcbda4f8140f36d483d2139c31001173712e2b39dc539b3b78d98e885861a5c7f8ccda808ab92e465c96a71cfc18e9113d5c704db7a25022092fe5" TargetMode="External"/><Relationship Id="rId17" Type="http://schemas.openxmlformats.org/officeDocument/2006/relationships/hyperlink" Target="https://www.transparentno.hr/pregled/23268154531/b9107a5f10b43fdd6bdd16d4f319d4e2aad476248bcdb1b39bfbee8892e855af622ce7f0fdf66ea6a17d74d521220f179f12b007a5fe8a33b758c5327940d25f" TargetMode="External"/><Relationship Id="rId25" Type="http://schemas.openxmlformats.org/officeDocument/2006/relationships/hyperlink" Target="http://www.fina.hr/Default.aspx?sec=97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44952903763/6108a1b8b0bcbda4f8140f36d483d2139c31001173712e2b39dc539b3b78d98e885861a5c7f8ccda808ab92e465c96a71cfc18e9113d5c704db7a25022092fe5" TargetMode="External"/><Relationship Id="rId20" Type="http://schemas.openxmlformats.org/officeDocument/2006/relationships/hyperlink" Target="http://rgfi.fina.hr/JavnaObjava-web/jsp/prijavaKorisnika.jsp" TargetMode="External"/><Relationship Id="rId29" Type="http://schemas.openxmlformats.org/officeDocument/2006/relationships/hyperlink" Target="http://www.fina.hr/lgs.axd?t=24&amp;id=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23268154531/b9107a5f10b43fdd6bdd16d4f319d4e2aad476248bcdb1b39bfbee8892e855af622ce7f0fdf66ea6a17d74d521220f179f12b007a5fe8a33b758c5327940d25f" TargetMode="External"/><Relationship Id="rId24" Type="http://schemas.openxmlformats.org/officeDocument/2006/relationships/hyperlink" Target="https://jrr.fina.hr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23268154531/b9107a5f10b43fdd6bdd16d4f319d4e2aad476248bcdb1b39bfbee8892e855af622ce7f0fdf66ea6a17d74d521220f179f12b007a5fe8a33b758c5327940d25f" TargetMode="External"/><Relationship Id="rId23" Type="http://schemas.openxmlformats.org/officeDocument/2006/relationships/hyperlink" Target="http://rgfi.fina.hr/JavnaObjava-web/jsp/prijavaKorisnika.jsp" TargetMode="External"/><Relationship Id="rId28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74204012744/d56ee885645748b690581dda7cc50d1d6db51be7edf67512865efed1cda1525bd14f125c6908db62b2151d55383fc488b83e2a7b711a08bf31d0a5530a4e5d75" TargetMode="External"/><Relationship Id="rId22" Type="http://schemas.openxmlformats.org/officeDocument/2006/relationships/hyperlink" Target="https://www.transparentno.hr/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D8DB-6EF8-472E-A72A-9EF8AA45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1654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Natalija Jonjić</cp:lastModifiedBy>
  <cp:revision>2</cp:revision>
  <cp:lastPrinted>2015-09-11T12:33:00Z</cp:lastPrinted>
  <dcterms:created xsi:type="dcterms:W3CDTF">2017-12-08T11:04:00Z</dcterms:created>
  <dcterms:modified xsi:type="dcterms:W3CDTF">2017-12-08T11:04:00Z</dcterms:modified>
</cp:coreProperties>
</file>