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AA" w:rsidRPr="00862FD0" w:rsidRDefault="00E45509" w:rsidP="00862FD0">
      <w:pPr>
        <w:widowControl w:val="0"/>
        <w:spacing w:before="120" w:line="240" w:lineRule="auto"/>
        <w:jc w:val="left"/>
        <w:rPr>
          <w:b/>
          <w:color w:val="17365D" w:themeColor="text2" w:themeShade="BF"/>
          <w:szCs w:val="20"/>
        </w:rPr>
      </w:pPr>
      <w:r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>U</w:t>
      </w:r>
      <w:r w:rsidR="003C3003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PODRUČJ</w:t>
      </w:r>
      <w:r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>U</w:t>
      </w:r>
      <w:r w:rsidR="003C3003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DJELATNOSTI </w:t>
      </w:r>
      <w:r w:rsidR="003921A1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>OPSKRB</w:t>
      </w:r>
      <w:r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>E</w:t>
      </w:r>
      <w:r w:rsidR="003921A1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EL</w:t>
      </w:r>
      <w:r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>EKTRIČNOM</w:t>
      </w:r>
      <w:r w:rsidR="003921A1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ENERGIJOM, PLINOM</w:t>
      </w:r>
      <w:r w:rsidR="00853B4A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>,</w:t>
      </w:r>
      <w:r w:rsidR="003921A1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PAROM I KLIMATIZACIJI</w:t>
      </w:r>
      <w:r w:rsidR="003D695E">
        <w:rPr>
          <w:rFonts w:eastAsia="Times New Roman" w:cs="Arial"/>
          <w:b/>
          <w:color w:val="17365D" w:themeColor="text2" w:themeShade="BF"/>
          <w:szCs w:val="20"/>
          <w:lang w:eastAsia="hr-HR"/>
        </w:rPr>
        <w:t>,</w:t>
      </w:r>
      <w:r w:rsidR="003921A1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</w:t>
      </w:r>
      <w:r w:rsidR="00B371AA" w:rsidRPr="00862FD0">
        <w:rPr>
          <w:rFonts w:eastAsia="Times New Roman" w:cs="Arial"/>
          <w:b/>
          <w:color w:val="17365D" w:themeColor="text2" w:themeShade="BF"/>
          <w:szCs w:val="20"/>
          <w:lang w:eastAsia="hr-HR"/>
        </w:rPr>
        <w:t>NAJVEĆA PROSJEČNA NETO PLAĆA</w:t>
      </w:r>
    </w:p>
    <w:p w:rsidR="00852D78" w:rsidRDefault="00852D78" w:rsidP="00432E7F">
      <w:pPr>
        <w:widowControl w:val="0"/>
        <w:spacing w:before="180"/>
        <w:rPr>
          <w:color w:val="17365D" w:themeColor="text2" w:themeShade="BF"/>
          <w:szCs w:val="20"/>
        </w:rPr>
      </w:pPr>
      <w:r w:rsidRPr="005A3DD0">
        <w:rPr>
          <w:color w:val="17365D" w:themeColor="text2" w:themeShade="BF"/>
          <w:szCs w:val="20"/>
        </w:rPr>
        <w:t>U 2016. godini po</w:t>
      </w:r>
      <w:bookmarkStart w:id="0" w:name="_GoBack"/>
      <w:bookmarkEnd w:id="0"/>
      <w:r w:rsidRPr="005A3DD0">
        <w:rPr>
          <w:color w:val="17365D" w:themeColor="text2" w:themeShade="BF"/>
          <w:szCs w:val="20"/>
        </w:rPr>
        <w:t>duzetnici</w:t>
      </w:r>
      <w:r w:rsidRPr="005A3DD0">
        <w:rPr>
          <w:rStyle w:val="FootnoteReference"/>
          <w:color w:val="17365D" w:themeColor="text2" w:themeShade="BF"/>
          <w:szCs w:val="20"/>
        </w:rPr>
        <w:footnoteReference w:id="1"/>
      </w:r>
      <w:r w:rsidRPr="005A3DD0">
        <w:rPr>
          <w:color w:val="17365D" w:themeColor="text2" w:themeShade="BF"/>
          <w:szCs w:val="20"/>
        </w:rPr>
        <w:t xml:space="preserve"> obveznici poreza na dobit, bez banaka, osiguravajućih društava i ostalih financijskih institucija, zapošljavali su </w:t>
      </w:r>
      <w:r w:rsidRPr="00446503">
        <w:rPr>
          <w:color w:val="17365D" w:themeColor="text2" w:themeShade="BF"/>
          <w:szCs w:val="20"/>
        </w:rPr>
        <w:t>853</w:t>
      </w:r>
      <w:r w:rsidR="00853B4A">
        <w:rPr>
          <w:color w:val="17365D" w:themeColor="text2" w:themeShade="BF"/>
          <w:szCs w:val="20"/>
        </w:rPr>
        <w:t> </w:t>
      </w:r>
      <w:r w:rsidRPr="00446503">
        <w:rPr>
          <w:color w:val="17365D" w:themeColor="text2" w:themeShade="BF"/>
          <w:szCs w:val="20"/>
        </w:rPr>
        <w:t xml:space="preserve">110 radnika i obračunali prosječnu mjesečnu neto plaću od </w:t>
      </w:r>
      <w:r w:rsidRPr="00304981">
        <w:rPr>
          <w:color w:val="17365D" w:themeColor="text2" w:themeShade="BF"/>
          <w:szCs w:val="20"/>
        </w:rPr>
        <w:t>5.140 kn što je nominalno 1,8</w:t>
      </w:r>
      <w:r w:rsidR="00E45509">
        <w:rPr>
          <w:color w:val="17365D" w:themeColor="text2" w:themeShade="BF"/>
          <w:szCs w:val="20"/>
        </w:rPr>
        <w:t xml:space="preserve"> </w:t>
      </w:r>
      <w:r w:rsidRPr="00304981">
        <w:rPr>
          <w:color w:val="17365D" w:themeColor="text2" w:themeShade="BF"/>
          <w:szCs w:val="20"/>
        </w:rPr>
        <w:t xml:space="preserve">% više nego 2015. </w:t>
      </w:r>
      <w:r w:rsidRPr="007D79AE">
        <w:rPr>
          <w:color w:val="17365D" w:themeColor="text2" w:themeShade="BF"/>
          <w:szCs w:val="20"/>
        </w:rPr>
        <w:t>godine (</w:t>
      </w:r>
      <w:r w:rsidRPr="007D79AE">
        <w:rPr>
          <w:rFonts w:cs="Arial"/>
          <w:color w:val="17365D" w:themeColor="text2" w:themeShade="BF"/>
          <w:szCs w:val="20"/>
        </w:rPr>
        <w:t xml:space="preserve">uslijed </w:t>
      </w:r>
      <w:r w:rsidRPr="00925C1A">
        <w:rPr>
          <w:rFonts w:cs="Arial"/>
          <w:color w:val="17365D"/>
          <w:szCs w:val="20"/>
        </w:rPr>
        <w:t>smanjenja potrošačkih cijena od 1,1</w:t>
      </w:r>
      <w:r w:rsidR="00853B4A">
        <w:rPr>
          <w:rFonts w:cs="Arial"/>
          <w:color w:val="17365D"/>
          <w:szCs w:val="20"/>
        </w:rPr>
        <w:t xml:space="preserve"> </w:t>
      </w:r>
      <w:r w:rsidRPr="00925C1A">
        <w:rPr>
          <w:rFonts w:cs="Arial"/>
          <w:color w:val="17365D"/>
          <w:szCs w:val="20"/>
        </w:rPr>
        <w:t>%, to je realno povećanje od 2,9</w:t>
      </w:r>
      <w:r w:rsidR="00853B4A">
        <w:rPr>
          <w:rFonts w:cs="Arial"/>
          <w:color w:val="17365D"/>
          <w:szCs w:val="20"/>
        </w:rPr>
        <w:t xml:space="preserve"> </w:t>
      </w:r>
      <w:r w:rsidRPr="00CF756F">
        <w:rPr>
          <w:rFonts w:cs="Arial"/>
          <w:color w:val="17365D" w:themeColor="text2" w:themeShade="BF"/>
          <w:szCs w:val="20"/>
        </w:rPr>
        <w:t>%</w:t>
      </w:r>
      <w:r w:rsidR="003977E3">
        <w:rPr>
          <w:color w:val="17365D" w:themeColor="text2" w:themeShade="BF"/>
          <w:szCs w:val="20"/>
        </w:rPr>
        <w:t>).</w:t>
      </w:r>
    </w:p>
    <w:p w:rsidR="003977E3" w:rsidRDefault="003977E3" w:rsidP="006B3979">
      <w:pPr>
        <w:spacing w:before="12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Z</w:t>
      </w:r>
      <w:r w:rsidRPr="00232F40">
        <w:rPr>
          <w:color w:val="17365D" w:themeColor="text2" w:themeShade="BF"/>
          <w:szCs w:val="20"/>
        </w:rPr>
        <w:t xml:space="preserve">a usporedbu, </w:t>
      </w:r>
      <w:r w:rsidRPr="00E45509">
        <w:rPr>
          <w:color w:val="17365D" w:themeColor="text2" w:themeShade="BF"/>
          <w:szCs w:val="20"/>
          <w:u w:val="single"/>
        </w:rPr>
        <w:t>minimalna bruto plaća</w:t>
      </w:r>
      <w:r w:rsidRPr="00232F40">
        <w:rPr>
          <w:color w:val="17365D" w:themeColor="text2" w:themeShade="BF"/>
          <w:szCs w:val="20"/>
        </w:rPr>
        <w:t xml:space="preserve"> za razdoblje od 1.1. do 31.12.2016. godine</w:t>
      </w:r>
      <w:r>
        <w:rPr>
          <w:rStyle w:val="FootnoteReference"/>
          <w:color w:val="17365D" w:themeColor="text2" w:themeShade="BF"/>
          <w:szCs w:val="20"/>
        </w:rPr>
        <w:footnoteReference w:id="2"/>
      </w:r>
      <w:r w:rsidRPr="00232F40">
        <w:rPr>
          <w:color w:val="17365D" w:themeColor="text2" w:themeShade="BF"/>
          <w:szCs w:val="20"/>
        </w:rPr>
        <w:t xml:space="preserve"> iznosila je 3.120 kuna</w:t>
      </w:r>
      <w:r>
        <w:rPr>
          <w:color w:val="17365D" w:themeColor="text2" w:themeShade="BF"/>
          <w:szCs w:val="20"/>
        </w:rPr>
        <w:t xml:space="preserve"> i bila je za 13,6</w:t>
      </w:r>
      <w:r w:rsidR="00E45509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 xml:space="preserve">% veća u odnosu na bruto plaću razdoblja od </w:t>
      </w:r>
      <w:r w:rsidR="00BA0AA2">
        <w:rPr>
          <w:color w:val="17365D" w:themeColor="text2" w:themeShade="BF"/>
          <w:szCs w:val="20"/>
        </w:rPr>
        <w:t xml:space="preserve">1.7.2008. do </w:t>
      </w:r>
      <w:r>
        <w:rPr>
          <w:color w:val="17365D" w:themeColor="text2" w:themeShade="BF"/>
          <w:szCs w:val="20"/>
        </w:rPr>
        <w:t>31.5.2009</w:t>
      </w:r>
      <w:r w:rsidR="00853B4A">
        <w:rPr>
          <w:color w:val="17365D" w:themeColor="text2" w:themeShade="BF"/>
          <w:szCs w:val="20"/>
        </w:rPr>
        <w:t>.</w:t>
      </w:r>
      <w:r w:rsidR="00BA0AA2">
        <w:rPr>
          <w:color w:val="17365D" w:themeColor="text2" w:themeShade="BF"/>
          <w:szCs w:val="20"/>
        </w:rPr>
        <w:t xml:space="preserve"> godine</w:t>
      </w:r>
      <w:r>
        <w:rPr>
          <w:color w:val="17365D" w:themeColor="text2" w:themeShade="BF"/>
          <w:szCs w:val="20"/>
        </w:rPr>
        <w:t xml:space="preserve"> </w:t>
      </w:r>
      <w:r w:rsidR="003D7FFA">
        <w:rPr>
          <w:color w:val="17365D" w:themeColor="text2" w:themeShade="BF"/>
          <w:szCs w:val="20"/>
        </w:rPr>
        <w:t>(2.747 kuna)</w:t>
      </w:r>
      <w:r w:rsidR="00853B4A">
        <w:rPr>
          <w:color w:val="17365D" w:themeColor="text2" w:themeShade="BF"/>
          <w:szCs w:val="20"/>
        </w:rPr>
        <w:t>,</w:t>
      </w:r>
      <w:r w:rsidR="003D7FFA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>dok za 2017. godinu minimalna bruto plaća iznosi 3.276 kuna.</w:t>
      </w:r>
      <w:r w:rsidR="00862FD0">
        <w:rPr>
          <w:color w:val="17365D" w:themeColor="text2" w:themeShade="BF"/>
          <w:szCs w:val="20"/>
        </w:rPr>
        <w:t xml:space="preserve"> </w:t>
      </w:r>
    </w:p>
    <w:p w:rsidR="00852D78" w:rsidRDefault="00852D78" w:rsidP="00432E7F">
      <w:pPr>
        <w:keepNext/>
        <w:spacing w:before="180" w:after="2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</w:pPr>
      <w:r w:rsidRPr="00852D78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 xml:space="preserve">Tablica 1. </w:t>
      </w:r>
      <w:r w:rsidRPr="00B737A0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ab/>
      </w:r>
      <w:r w:rsidRPr="00852D78"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t>Broj poduzetnika, broj zaposlenih i prosječna mjesečna neto plaća za razdoblje od 2001. do 2016.</w:t>
      </w:r>
    </w:p>
    <w:p w:rsidR="00E45509" w:rsidRDefault="00432E7F" w:rsidP="00432E7F">
      <w:pPr>
        <w:keepNext/>
        <w:spacing w:after="2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</w:pPr>
      <w:r w:rsidRPr="00432E7F">
        <w:drawing>
          <wp:inline distT="0" distB="0" distL="0" distR="0">
            <wp:extent cx="9314815" cy="10096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8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40" w:rsidRPr="00232F40" w:rsidRDefault="00232F40" w:rsidP="00232F40">
      <w:pPr>
        <w:widowControl w:val="0"/>
        <w:spacing w:before="40" w:line="240" w:lineRule="auto"/>
        <w:rPr>
          <w:color w:val="17365D" w:themeColor="text2" w:themeShade="BF"/>
          <w:sz w:val="16"/>
          <w:szCs w:val="16"/>
        </w:rPr>
      </w:pPr>
      <w:r w:rsidRPr="00232F40">
        <w:rPr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232F40" w:rsidRPr="00232F40" w:rsidRDefault="00386647" w:rsidP="00853B4A">
      <w:pPr>
        <w:widowControl w:val="0"/>
        <w:spacing w:before="18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Prosječna </w:t>
      </w:r>
      <w:r w:rsidR="00D94D60">
        <w:rPr>
          <w:color w:val="17365D" w:themeColor="text2" w:themeShade="BF"/>
          <w:szCs w:val="20"/>
        </w:rPr>
        <w:t xml:space="preserve">mjesečna </w:t>
      </w:r>
      <w:r>
        <w:rPr>
          <w:color w:val="17365D" w:themeColor="text2" w:themeShade="BF"/>
          <w:szCs w:val="20"/>
        </w:rPr>
        <w:t xml:space="preserve">neto </w:t>
      </w:r>
      <w:r w:rsidR="00232F40" w:rsidRPr="00232F40">
        <w:rPr>
          <w:color w:val="17365D" w:themeColor="text2" w:themeShade="BF"/>
          <w:szCs w:val="20"/>
        </w:rPr>
        <w:t xml:space="preserve">plaća </w:t>
      </w:r>
      <w:r w:rsidR="00E45509" w:rsidRPr="00E45509">
        <w:rPr>
          <w:color w:val="17365D" w:themeColor="text2" w:themeShade="BF"/>
          <w:szCs w:val="20"/>
        </w:rPr>
        <w:t>obračuna</w:t>
      </w:r>
      <w:r w:rsidR="00E45509">
        <w:rPr>
          <w:color w:val="17365D" w:themeColor="text2" w:themeShade="BF"/>
          <w:szCs w:val="20"/>
        </w:rPr>
        <w:t>n</w:t>
      </w:r>
      <w:r w:rsidR="00E45509" w:rsidRPr="00E45509">
        <w:rPr>
          <w:color w:val="17365D" w:themeColor="text2" w:themeShade="BF"/>
          <w:szCs w:val="20"/>
        </w:rPr>
        <w:t xml:space="preserve">a </w:t>
      </w:r>
      <w:r w:rsidR="00E45509">
        <w:rPr>
          <w:color w:val="17365D" w:themeColor="text2" w:themeShade="BF"/>
          <w:szCs w:val="20"/>
        </w:rPr>
        <w:t>zaposlenima kod poduzetnika u</w:t>
      </w:r>
      <w:r w:rsidR="00232F40" w:rsidRPr="00232F40">
        <w:rPr>
          <w:color w:val="17365D" w:themeColor="text2" w:themeShade="BF"/>
          <w:szCs w:val="20"/>
        </w:rPr>
        <w:t xml:space="preserve"> 2016. godini (5.140 kn)</w:t>
      </w:r>
      <w:r w:rsidR="00E45509">
        <w:rPr>
          <w:color w:val="17365D" w:themeColor="text2" w:themeShade="BF"/>
          <w:szCs w:val="20"/>
        </w:rPr>
        <w:t>,</w:t>
      </w:r>
      <w:r w:rsidR="00232F40" w:rsidRPr="00232F40">
        <w:rPr>
          <w:color w:val="17365D" w:themeColor="text2" w:themeShade="BF"/>
          <w:szCs w:val="20"/>
        </w:rPr>
        <w:t xml:space="preserve"> bila je najveća u zadnjih šesnaest godina, dok je najveći broj zaposlenih </w:t>
      </w:r>
      <w:r w:rsidR="00E45509">
        <w:rPr>
          <w:color w:val="17365D" w:themeColor="text2" w:themeShade="BF"/>
          <w:szCs w:val="20"/>
        </w:rPr>
        <w:t xml:space="preserve">kod poduzetnika </w:t>
      </w:r>
      <w:r w:rsidR="00232F40" w:rsidRPr="00232F40">
        <w:rPr>
          <w:color w:val="17365D" w:themeColor="text2" w:themeShade="BF"/>
          <w:szCs w:val="20"/>
        </w:rPr>
        <w:t>bio u 2008. godini (933</w:t>
      </w:r>
      <w:r w:rsidR="00853B4A">
        <w:rPr>
          <w:color w:val="17365D" w:themeColor="text2" w:themeShade="BF"/>
          <w:szCs w:val="20"/>
        </w:rPr>
        <w:t> </w:t>
      </w:r>
      <w:r w:rsidR="00232F40" w:rsidRPr="00232F40">
        <w:rPr>
          <w:color w:val="17365D" w:themeColor="text2" w:themeShade="BF"/>
          <w:szCs w:val="20"/>
        </w:rPr>
        <w:t>625 zapo</w:t>
      </w:r>
      <w:r w:rsidR="003977E3">
        <w:rPr>
          <w:color w:val="17365D" w:themeColor="text2" w:themeShade="BF"/>
          <w:szCs w:val="20"/>
        </w:rPr>
        <w:t>slenih)</w:t>
      </w:r>
      <w:r w:rsidR="00E45509">
        <w:rPr>
          <w:color w:val="17365D" w:themeColor="text2" w:themeShade="BF"/>
          <w:szCs w:val="20"/>
        </w:rPr>
        <w:t>,</w:t>
      </w:r>
      <w:r w:rsidR="003977E3">
        <w:rPr>
          <w:color w:val="17365D" w:themeColor="text2" w:themeShade="BF"/>
          <w:szCs w:val="20"/>
        </w:rPr>
        <w:t xml:space="preserve"> nakon čega je uslijedio</w:t>
      </w:r>
      <w:r w:rsidR="00232F40" w:rsidRPr="00232F40">
        <w:rPr>
          <w:color w:val="17365D" w:themeColor="text2" w:themeShade="BF"/>
          <w:szCs w:val="20"/>
        </w:rPr>
        <w:t xml:space="preserve"> pad broja zaposlenih sve do 2014. godine u kojoj </w:t>
      </w:r>
      <w:r w:rsidR="003977E3">
        <w:rPr>
          <w:color w:val="17365D" w:themeColor="text2" w:themeShade="BF"/>
          <w:szCs w:val="20"/>
        </w:rPr>
        <w:t>se ponovno bilježi</w:t>
      </w:r>
      <w:r w:rsidR="00232F40" w:rsidRPr="00232F40">
        <w:rPr>
          <w:color w:val="17365D" w:themeColor="text2" w:themeShade="BF"/>
          <w:szCs w:val="20"/>
        </w:rPr>
        <w:t xml:space="preserve"> lagani rast.</w:t>
      </w:r>
    </w:p>
    <w:p w:rsidR="00513559" w:rsidRDefault="00513559" w:rsidP="006B3979">
      <w:pPr>
        <w:spacing w:before="120"/>
        <w:rPr>
          <w:color w:val="17365D" w:themeColor="text2" w:themeShade="BF"/>
          <w:szCs w:val="20"/>
        </w:rPr>
      </w:pPr>
      <w:r w:rsidRPr="00AD37CD">
        <w:rPr>
          <w:color w:val="17365D" w:themeColor="text2" w:themeShade="BF"/>
          <w:szCs w:val="20"/>
        </w:rPr>
        <w:t xml:space="preserve">Analiza prosječnih mjesečnih neto plaća po područjima djelatnosti pokazala je da tri </w:t>
      </w:r>
      <w:r w:rsidRPr="00DC779A">
        <w:rPr>
          <w:color w:val="17365D" w:themeColor="text2" w:themeShade="BF"/>
          <w:szCs w:val="20"/>
        </w:rPr>
        <w:t>djelatnosti (prerađivačka industrija, trgovina i građevinarstvo) zapošljavaju preko 55,2% ukupno zaposlenih</w:t>
      </w:r>
      <w:r>
        <w:rPr>
          <w:color w:val="17365D" w:themeColor="text2" w:themeShade="BF"/>
          <w:szCs w:val="20"/>
        </w:rPr>
        <w:t>, a dvije od tri djelatnosti (građevinarstvo i trgovina na veliko i malo)</w:t>
      </w:r>
      <w:r w:rsidRPr="00DC779A">
        <w:rPr>
          <w:color w:val="17365D" w:themeColor="text2" w:themeShade="BF"/>
          <w:szCs w:val="20"/>
        </w:rPr>
        <w:t xml:space="preserve"> za svoj rad dobivaju prosječne mjesečne neto plaće manje od prosjeka</w:t>
      </w:r>
      <w:r>
        <w:rPr>
          <w:color w:val="17365D" w:themeColor="text2" w:themeShade="BF"/>
          <w:szCs w:val="20"/>
        </w:rPr>
        <w:t xml:space="preserve"> poduzetnika Hrvatske. U odnosu na prethodnu godinu </w:t>
      </w:r>
      <w:r w:rsidRPr="00DC779A">
        <w:rPr>
          <w:color w:val="17365D" w:themeColor="text2" w:themeShade="BF"/>
          <w:szCs w:val="20"/>
        </w:rPr>
        <w:t>primjećuje se pozitivan pomak jer je u tim djelatnostima ostvaren rast plaće</w:t>
      </w:r>
      <w:r>
        <w:rPr>
          <w:color w:val="17365D" w:themeColor="text2" w:themeShade="BF"/>
          <w:szCs w:val="20"/>
        </w:rPr>
        <w:t xml:space="preserve">. </w:t>
      </w:r>
      <w:r w:rsidRPr="00DC779A">
        <w:rPr>
          <w:color w:val="17365D" w:themeColor="text2" w:themeShade="BF"/>
          <w:szCs w:val="20"/>
        </w:rPr>
        <w:t>Zaposlenici u tim sektorima imali su niže prosječne mjesečne neto plaće od prosjeka svih poduzetnika kao i ranijih godina, i to: u građevinarstvu za 14,8</w:t>
      </w:r>
      <w:r w:rsidR="00853B4A">
        <w:rPr>
          <w:color w:val="17365D" w:themeColor="text2" w:themeShade="BF"/>
          <w:szCs w:val="20"/>
        </w:rPr>
        <w:t xml:space="preserve"> </w:t>
      </w:r>
      <w:r w:rsidRPr="00DC779A">
        <w:rPr>
          <w:color w:val="17365D" w:themeColor="text2" w:themeShade="BF"/>
          <w:szCs w:val="20"/>
        </w:rPr>
        <w:t>%, a u trgovini za 5,5</w:t>
      </w:r>
      <w:r w:rsidR="00853B4A">
        <w:rPr>
          <w:color w:val="17365D" w:themeColor="text2" w:themeShade="BF"/>
          <w:szCs w:val="20"/>
        </w:rPr>
        <w:t xml:space="preserve"> </w:t>
      </w:r>
      <w:r w:rsidRPr="00DC779A">
        <w:rPr>
          <w:color w:val="17365D" w:themeColor="text2" w:themeShade="BF"/>
          <w:szCs w:val="20"/>
        </w:rPr>
        <w:t>%.</w:t>
      </w:r>
    </w:p>
    <w:p w:rsidR="00E45509" w:rsidRDefault="00E45509" w:rsidP="00853B4A">
      <w:pPr>
        <w:widowControl w:val="0"/>
        <w:spacing w:before="120"/>
        <w:rPr>
          <w:rFonts w:eastAsia="Times New Roman" w:cs="Times New Roman"/>
          <w:color w:val="17365D" w:themeColor="text2" w:themeShade="BF"/>
          <w:szCs w:val="20"/>
          <w:lang w:eastAsia="hr-HR"/>
        </w:rPr>
      </w:pPr>
      <w:r w:rsidRPr="009A0DE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Najveće plaće ostvaruju zaposleni u području </w:t>
      </w:r>
      <w:r w:rsidRPr="00853B4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djelatnosti D - </w:t>
      </w:r>
      <w:r w:rsidRPr="00853B4A">
        <w:rPr>
          <w:rFonts w:eastAsia="Times New Roman" w:cs="Arial"/>
          <w:snapToGrid w:val="0"/>
          <w:color w:val="17365D" w:themeColor="text2" w:themeShade="BF"/>
          <w:szCs w:val="20"/>
          <w:lang w:val="sv-SE"/>
        </w:rPr>
        <w:t xml:space="preserve">Opskrba električnom energijom, plinom, parom i </w:t>
      </w:r>
      <w:r w:rsidRPr="00853B4A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klimatizacija</w:t>
      </w:r>
      <w:r w:rsidRPr="00853B4A">
        <w:rPr>
          <w:rFonts w:eastAsia="Times New Roman" w:cs="Times New Roman"/>
          <w:color w:val="17365D" w:themeColor="text2" w:themeShade="BF"/>
          <w:szCs w:val="20"/>
          <w:lang w:eastAsia="hr-HR"/>
        </w:rPr>
        <w:t>, B</w:t>
      </w:r>
      <w:r w:rsidRPr="00797863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– 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>R</w:t>
      </w:r>
      <w:r w:rsidRPr="00797863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udarstvo i vađenje, J - 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>I</w:t>
      </w:r>
      <w:r w:rsidRPr="00797863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nformacija i komunikacija, K - 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>F</w:t>
      </w:r>
      <w:r w:rsidRPr="00797863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inancijskim djelatnostima i djelatnostima osiguranja, L - 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>P</w:t>
      </w:r>
      <w:r w:rsidRPr="00797863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oslovanju s nekretninama te zaposleni u djelatnosti M – 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>S</w:t>
      </w:r>
      <w:r w:rsidRPr="00797863">
        <w:rPr>
          <w:rFonts w:eastAsia="Times New Roman" w:cs="Times New Roman"/>
          <w:color w:val="17365D" w:themeColor="text2" w:themeShade="BF"/>
          <w:szCs w:val="20"/>
          <w:lang w:eastAsia="hr-HR"/>
        </w:rPr>
        <w:t>tručne, znanstvene i tehničke djelatnosti</w:t>
      </w:r>
      <w:r w:rsidRPr="008A4DB6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. Najviše prosječne mjesečne obračunate plaće u 2016. godini imali su zaposleni u području djelatnosti D </w:t>
      </w:r>
      <w:r w:rsidRPr="00853B4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- </w:t>
      </w:r>
      <w:r w:rsidRPr="00853B4A">
        <w:rPr>
          <w:rFonts w:eastAsia="Times New Roman" w:cs="Arial"/>
          <w:snapToGrid w:val="0"/>
          <w:color w:val="17365D" w:themeColor="text2" w:themeShade="BF"/>
          <w:szCs w:val="20"/>
          <w:lang w:val="sv-SE"/>
        </w:rPr>
        <w:t xml:space="preserve">Opskrba električnom energijom, plinom, parom i </w:t>
      </w:r>
      <w:r w:rsidRPr="00853B4A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klimatizacija</w:t>
      </w:r>
      <w:r w:rsidRPr="00853B4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 iznosile</w:t>
      </w:r>
      <w:r w:rsidRPr="008A4DB6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su 7.365 kn što je 43,3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Pr="008A4DB6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% više od prosječne mjesečne plaće kod svih poduzetnika RH. Zaposleni u području djelatnosti B </w:t>
      </w:r>
      <w:r w:rsidRPr="00797863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– 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>R</w:t>
      </w:r>
      <w:r w:rsidRPr="00797863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udarstvo i </w:t>
      </w:r>
      <w:r w:rsidRPr="008A4DB6">
        <w:rPr>
          <w:rFonts w:eastAsia="Times New Roman" w:cs="Times New Roman"/>
          <w:color w:val="17365D" w:themeColor="text2" w:themeShade="BF"/>
          <w:szCs w:val="20"/>
          <w:lang w:eastAsia="hr-HR"/>
        </w:rPr>
        <w:t>vađenje imali su za 41,8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Pr="008A4DB6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% veće plaće, a zaposleni u području djelatnosti J - 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>I</w:t>
      </w:r>
      <w:r w:rsidRPr="008A4DB6">
        <w:rPr>
          <w:rFonts w:eastAsia="Times New Roman" w:cs="Times New Roman"/>
          <w:color w:val="17365D" w:themeColor="text2" w:themeShade="BF"/>
          <w:szCs w:val="20"/>
          <w:lang w:eastAsia="hr-HR"/>
        </w:rPr>
        <w:t>nformacija i komunikacija, za 42,3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Pr="008A4DB6">
        <w:rPr>
          <w:rFonts w:eastAsia="Times New Roman" w:cs="Times New Roman"/>
          <w:color w:val="17365D" w:themeColor="text2" w:themeShade="BF"/>
          <w:szCs w:val="20"/>
          <w:lang w:eastAsia="hr-HR"/>
        </w:rPr>
        <w:t>% iznad prosjeka svih zaposlenih.</w:t>
      </w:r>
    </w:p>
    <w:p w:rsidR="00E45509" w:rsidRDefault="00E45509" w:rsidP="00853B4A">
      <w:pPr>
        <w:widowControl w:val="0"/>
        <w:spacing w:before="120"/>
        <w:rPr>
          <w:rFonts w:eastAsia="Times New Roman" w:cs="Times New Roman"/>
          <w:color w:val="17365D" w:themeColor="text2" w:themeShade="BF"/>
          <w:szCs w:val="20"/>
          <w:lang w:eastAsia="hr-HR"/>
        </w:rPr>
      </w:pPr>
      <w:r w:rsidRPr="00B878CF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Zaposleni u djelatnosti rudarstvo i vađenje (B), iskazali su najveći neto gubitak u 2016. godini 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(332 tisuće kuna), </w:t>
      </w:r>
      <w:r w:rsidRPr="00B878CF">
        <w:rPr>
          <w:rFonts w:eastAsia="Times New Roman" w:cs="Times New Roman"/>
          <w:color w:val="17365D" w:themeColor="text2" w:themeShade="BF"/>
          <w:szCs w:val="20"/>
          <w:lang w:eastAsia="hr-HR"/>
        </w:rPr>
        <w:t>ali su obračunali neto plaće za 41,8</w:t>
      </w:r>
      <w:r w:rsidR="00853B4A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</w:t>
      </w:r>
      <w:r w:rsidRPr="00B878CF">
        <w:rPr>
          <w:rFonts w:eastAsia="Times New Roman" w:cs="Times New Roman"/>
          <w:color w:val="17365D" w:themeColor="text2" w:themeShade="BF"/>
          <w:szCs w:val="20"/>
          <w:lang w:eastAsia="hr-HR"/>
        </w:rPr>
        <w:t>% više od prosjeka svih zaposlenih kod poduzetnika Hrvatske.</w:t>
      </w:r>
    </w:p>
    <w:p w:rsidR="00E45509" w:rsidRDefault="00E45509" w:rsidP="008345F4">
      <w:pPr>
        <w:keepNext/>
        <w:spacing w:before="180" w:after="6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9"/>
          <w:szCs w:val="19"/>
          <w:lang w:eastAsia="hr-HR"/>
        </w:rPr>
        <w:sectPr w:rsidR="00E45509" w:rsidSect="00E45509">
          <w:headerReference w:type="default" r:id="rId9"/>
          <w:footerReference w:type="default" r:id="rId10"/>
          <w:pgSz w:w="16838" w:h="11906" w:orient="landscape"/>
          <w:pgMar w:top="1021" w:right="1134" w:bottom="907" w:left="1021" w:header="709" w:footer="709" w:gutter="0"/>
          <w:cols w:space="708"/>
          <w:docGrid w:linePitch="360"/>
        </w:sectPr>
      </w:pPr>
    </w:p>
    <w:p w:rsidR="00952FDB" w:rsidRPr="00E45509" w:rsidRDefault="00952FDB" w:rsidP="00E45509">
      <w:pPr>
        <w:keepNext/>
        <w:pageBreakBefore/>
        <w:spacing w:after="60" w:line="240" w:lineRule="auto"/>
        <w:ind w:left="1134" w:hanging="1134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lastRenderedPageBreak/>
        <w:t xml:space="preserve">Tablica </w:t>
      </w:r>
      <w:r w:rsidR="00852D78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C1D52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Prosječne mjesečne neto p</w:t>
      </w:r>
      <w:r w:rsidR="00063588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laće poduzetnika Hrvatske u 201</w:t>
      </w:r>
      <w:r w:rsidR="00B737A0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6</w:t>
      </w: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. godini po </w:t>
      </w:r>
      <w:r w:rsidR="00B371AA"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Pr="00E4550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djelatnostima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9"/>
        <w:gridCol w:w="1531"/>
        <w:gridCol w:w="1579"/>
        <w:gridCol w:w="1134"/>
      </w:tblGrid>
      <w:tr w:rsidR="004D6B8E" w:rsidRPr="004D6B8E" w:rsidTr="00D94D60">
        <w:trPr>
          <w:cantSplit/>
          <w:tblHeader/>
          <w:jc w:val="center"/>
        </w:trPr>
        <w:tc>
          <w:tcPr>
            <w:tcW w:w="566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  <w:hideMark/>
          </w:tcPr>
          <w:p w:rsidR="00B371AA" w:rsidRPr="004D6B8E" w:rsidRDefault="00B371AA" w:rsidP="00E45509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4D6B8E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hr-HR"/>
              </w:rPr>
              <w:t>Područje djelatnosti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6" w:space="0" w:color="FFFFFF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  <w:hideMark/>
          </w:tcPr>
          <w:p w:rsidR="00B371AA" w:rsidRPr="004D6B8E" w:rsidRDefault="00B371AA" w:rsidP="00E45509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4D6B8E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Prosječne neto plaće u kunama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6" w:space="0" w:color="FFFFFF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  <w:hideMark/>
          </w:tcPr>
          <w:p w:rsidR="00B371AA" w:rsidRPr="004D6B8E" w:rsidRDefault="00B371AA" w:rsidP="006B3979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4D6B8E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Odnos prema prosjeku R</w:t>
            </w:r>
            <w:r w:rsidR="006B3979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H</w:t>
            </w:r>
            <w:r w:rsidRPr="004D6B8E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=100%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FFFFFF"/>
              <w:bottom w:val="single" w:sz="4" w:space="0" w:color="A6A6A6" w:themeColor="background1" w:themeShade="A6"/>
              <w:right w:val="single" w:sz="6" w:space="0" w:color="FFFFFF"/>
            </w:tcBorders>
            <w:shd w:val="clear" w:color="auto" w:fill="003366"/>
            <w:vAlign w:val="center"/>
            <w:hideMark/>
          </w:tcPr>
          <w:p w:rsidR="00B371AA" w:rsidRPr="004D6B8E" w:rsidRDefault="00B371AA" w:rsidP="00E45509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4D6B8E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Indeks </w:t>
            </w:r>
            <w:r w:rsidRPr="004D6B8E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br/>
              <w:t>201</w:t>
            </w:r>
            <w:r w:rsidR="004D6B8E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5</w:t>
            </w:r>
            <w:r w:rsidR="006B3979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.</w:t>
            </w:r>
            <w:r w:rsidRPr="004D6B8E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= 100,0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Poljoprivreda, šumarstvo i ribarstvo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4.764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-7,3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101,7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B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Rudarstvo i vađenje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7.290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41,8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92,8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C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Prerađivačka industrija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5.173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0,6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102,8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D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Opskrba električnom energijom, plinom, parom i 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klimatizacija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7.365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43,3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101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E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Opskrba vodom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; 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uklanjanje otpadnih voda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, 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gospodarenje otpadom te djelatnosti sanacije okoli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5.344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4,0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101,1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F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Građevinarstvo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4.379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-14,8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104,7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G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 xml:space="preserve">Trgovina na veliko i na malo; popravak motornih vozila i motocikla 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4.855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-5,5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102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H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Prijevoz i skladištenje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5.818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13,2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100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I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  <w:t>Djelatnosti pružanja smještaja te pripreme i usluživanja hrane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4.450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-13,4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101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J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Informacije i komunikacije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7.313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42,3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102,5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K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Financijske djelatnosti i djelatnosti osiguranja</w:t>
            </w:r>
            <w:r w:rsidRPr="004D6B8E">
              <w:rPr>
                <w:rStyle w:val="FootnoteReference"/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footnoteReference w:id="3"/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6.309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22,7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104,1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L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Poslovanje nekretninama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6.162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19,9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102,2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M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Stručne, znanstvene i tehničke djelatnosti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5.824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13,3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100,5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N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Administrativne i pomoćne uslužne djelatnosti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4.142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-19,4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103,8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Javna uprava i obrana; obvezno socijalno osiguranje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5.602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17375E"/>
                <w:sz w:val="18"/>
                <w:szCs w:val="18"/>
              </w:rPr>
              <w:t xml:space="preserve">9,0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100,5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P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Obrazovanje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4.222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-17,9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102,4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Q</w:t>
            </w: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Djelatnosti zdravstvene za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tite i socijalne skrbi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4.941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-3,9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101,1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R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Umjetnost, zabava i rekreacija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4.531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-11,8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101,1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S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Ostale uslužne djelatnosti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3.648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-29,0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98,8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 xml:space="preserve">T </w:t>
            </w: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Djelatnost kućanstava kao poslodavca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2.324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-54,8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81,6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B4CEA" w:rsidRPr="004D6B8E" w:rsidRDefault="00DB4CEA" w:rsidP="00E45509">
            <w:pPr>
              <w:tabs>
                <w:tab w:val="left" w:pos="227"/>
              </w:tabs>
              <w:spacing w:line="240" w:lineRule="auto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- Fizičke osobe bez djelatnosti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3.893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17375E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-24,3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106,4</w:t>
            </w:r>
          </w:p>
        </w:tc>
      </w:tr>
      <w:tr w:rsidR="00DB4CEA" w:rsidRPr="004D6B8E" w:rsidTr="00E45509">
        <w:trPr>
          <w:cantSplit/>
          <w:jc w:val="center"/>
        </w:trPr>
        <w:tc>
          <w:tcPr>
            <w:tcW w:w="5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  <w:hideMark/>
          </w:tcPr>
          <w:p w:rsidR="00DB4CEA" w:rsidRPr="004D6B8E" w:rsidRDefault="00DB4CEA" w:rsidP="00E45509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4D6B8E">
              <w:rPr>
                <w:rFonts w:eastAsia="Times New Roman" w:cs="Arial"/>
                <w:b/>
                <w:color w:val="17365D" w:themeColor="text2" w:themeShade="BF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5.140</w:t>
            </w:r>
          </w:p>
        </w:tc>
        <w:tc>
          <w:tcPr>
            <w:tcW w:w="15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:rsidR="00DB4CEA" w:rsidRDefault="00DB4CEA" w:rsidP="00E45509">
            <w:pPr>
              <w:spacing w:line="240" w:lineRule="auto"/>
              <w:jc w:val="right"/>
              <w:rPr>
                <w:rFonts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101,8</w:t>
            </w:r>
          </w:p>
        </w:tc>
      </w:tr>
    </w:tbl>
    <w:p w:rsidR="0087281F" w:rsidRDefault="007C1D52" w:rsidP="00B371AA">
      <w:pPr>
        <w:widowControl w:val="0"/>
        <w:spacing w:before="40" w:line="240" w:lineRule="auto"/>
        <w:rPr>
          <w:color w:val="17365D" w:themeColor="text2" w:themeShade="BF"/>
          <w:sz w:val="16"/>
          <w:szCs w:val="16"/>
        </w:rPr>
      </w:pPr>
      <w:r w:rsidRPr="004D6B8E">
        <w:rPr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BA0AA2" w:rsidRPr="00BA0AA2" w:rsidRDefault="006B3979" w:rsidP="006B3979">
      <w:pPr>
        <w:widowControl w:val="0"/>
        <w:tabs>
          <w:tab w:val="left" w:pos="7797"/>
        </w:tabs>
        <w:spacing w:before="180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8E3685">
        <w:rPr>
          <w:color w:val="17365D" w:themeColor="text2" w:themeShade="BF"/>
          <w:szCs w:val="20"/>
        </w:rPr>
        <w:t xml:space="preserve">Analiza prosječne mjesečne neto plaće kod 25 poduzetnika </w:t>
      </w:r>
      <w:r>
        <w:rPr>
          <w:color w:val="17365D" w:themeColor="text2" w:themeShade="BF"/>
          <w:szCs w:val="20"/>
        </w:rPr>
        <w:t xml:space="preserve">sa 10 i više zaposlenih </w:t>
      </w:r>
      <w:r w:rsidRPr="008E3685">
        <w:rPr>
          <w:color w:val="17365D" w:themeColor="text2" w:themeShade="BF"/>
          <w:szCs w:val="20"/>
        </w:rPr>
        <w:t xml:space="preserve">navedenih u tablici </w:t>
      </w:r>
      <w:r w:rsidR="009F6515">
        <w:rPr>
          <w:color w:val="17365D" w:themeColor="text2" w:themeShade="BF"/>
          <w:szCs w:val="20"/>
        </w:rPr>
        <w:t>3</w:t>
      </w:r>
      <w:r w:rsidRPr="008E3685">
        <w:rPr>
          <w:color w:val="17365D" w:themeColor="text2" w:themeShade="BF"/>
          <w:szCs w:val="20"/>
        </w:rPr>
        <w:t xml:space="preserve">, pokazala je </w:t>
      </w:r>
      <w:r>
        <w:rPr>
          <w:color w:val="17365D" w:themeColor="text2" w:themeShade="BF"/>
          <w:szCs w:val="20"/>
        </w:rPr>
        <w:t>da je svih</w:t>
      </w:r>
      <w:r w:rsidRPr="008E3685">
        <w:rPr>
          <w:color w:val="17365D" w:themeColor="text2" w:themeShade="BF"/>
          <w:szCs w:val="20"/>
        </w:rPr>
        <w:t xml:space="preserve"> </w:t>
      </w:r>
      <w:r w:rsidRPr="00B66061">
        <w:rPr>
          <w:color w:val="17365D" w:themeColor="text2" w:themeShade="BF"/>
          <w:szCs w:val="20"/>
        </w:rPr>
        <w:t xml:space="preserve">25 poduzetnika </w:t>
      </w:r>
      <w:r>
        <w:rPr>
          <w:color w:val="17365D" w:themeColor="text2" w:themeShade="BF"/>
          <w:szCs w:val="20"/>
        </w:rPr>
        <w:t>u privatnom</w:t>
      </w:r>
      <w:r w:rsidRPr="00B66061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 xml:space="preserve">vlasništvu </w:t>
      </w:r>
      <w:r w:rsidRPr="00B66061">
        <w:rPr>
          <w:color w:val="17365D" w:themeColor="text2" w:themeShade="BF"/>
          <w:szCs w:val="20"/>
        </w:rPr>
        <w:t xml:space="preserve">od osnivanja. </w:t>
      </w:r>
      <w:r w:rsidR="00BA0AA2">
        <w:rPr>
          <w:color w:val="17365D" w:themeColor="text2" w:themeShade="BF"/>
          <w:szCs w:val="20"/>
        </w:rPr>
        <w:t xml:space="preserve">Od 25 navedenih poduzetnika 23 su u stranom vlasništvu, a samo dva u domaćem </w:t>
      </w:r>
      <w:r w:rsidR="00BA0AA2" w:rsidRPr="00BA0AA2">
        <w:rPr>
          <w:rFonts w:asciiTheme="minorHAnsi" w:hAnsiTheme="minorHAnsi"/>
          <w:color w:val="17365D" w:themeColor="text2" w:themeShade="BF"/>
          <w:sz w:val="24"/>
          <w:szCs w:val="24"/>
        </w:rPr>
        <w:t>(</w:t>
      </w:r>
      <w:hyperlink r:id="rId11" w:history="1">
        <w:r w:rsidR="00BA0AA2" w:rsidRPr="00BA0AA2">
          <w:rPr>
            <w:rStyle w:val="Hyperlink"/>
            <w:rFonts w:asciiTheme="minorHAnsi" w:hAnsiTheme="minorHAnsi" w:cs="Arial"/>
            <w:color w:val="0000BF" w:themeColor="hyperlink" w:themeShade="BF"/>
            <w:sz w:val="24"/>
            <w:szCs w:val="24"/>
          </w:rPr>
          <w:t>ADRIS GRUPA d.d.</w:t>
        </w:r>
      </w:hyperlink>
      <w:r w:rsidR="00BA0AA2" w:rsidRPr="00BA0AA2">
        <w:rPr>
          <w:rStyle w:val="Hyperlink"/>
          <w:rFonts w:asciiTheme="minorHAnsi" w:hAnsiTheme="minorHAnsi" w:cs="Arial"/>
          <w:color w:val="0000BF" w:themeColor="hyperlink" w:themeShade="BF"/>
          <w:sz w:val="24"/>
          <w:szCs w:val="24"/>
        </w:rPr>
        <w:t xml:space="preserve"> </w:t>
      </w:r>
      <w:r w:rsidR="00BA0AA2" w:rsidRPr="00BA0AA2">
        <w:rPr>
          <w:rStyle w:val="Hyperlink"/>
          <w:rFonts w:asciiTheme="minorHAnsi" w:hAnsiTheme="minorHAnsi" w:cs="Arial"/>
          <w:color w:val="244061" w:themeColor="accent1" w:themeShade="80"/>
          <w:sz w:val="24"/>
          <w:szCs w:val="24"/>
        </w:rPr>
        <w:t>i</w:t>
      </w:r>
      <w:r w:rsidR="00BA0AA2" w:rsidRPr="00BA0AA2">
        <w:rPr>
          <w:rStyle w:val="Hyperlink"/>
          <w:rFonts w:asciiTheme="minorHAnsi" w:hAnsiTheme="minorHAnsi" w:cs="Arial"/>
          <w:color w:val="0000BF" w:themeColor="hyperlink" w:themeShade="BF"/>
          <w:sz w:val="24"/>
          <w:szCs w:val="24"/>
        </w:rPr>
        <w:t xml:space="preserve"> </w:t>
      </w:r>
      <w:hyperlink r:id="rId12" w:history="1">
        <w:r w:rsidR="00BA0AA2" w:rsidRPr="00BA0AA2">
          <w:rPr>
            <w:rStyle w:val="Hyperlink"/>
            <w:rFonts w:asciiTheme="minorHAnsi" w:hAnsiTheme="minorHAnsi" w:cs="Arial"/>
            <w:color w:val="0000BF" w:themeColor="hyperlink" w:themeShade="BF"/>
            <w:sz w:val="24"/>
            <w:szCs w:val="24"/>
          </w:rPr>
          <w:t>INDUSTRIUS d.o.o.</w:t>
        </w:r>
      </w:hyperlink>
      <w:r w:rsidR="00BA0AA2">
        <w:rPr>
          <w:rStyle w:val="Hyperlink"/>
          <w:rFonts w:asciiTheme="minorHAnsi" w:hAnsiTheme="minorHAnsi" w:cs="Arial"/>
          <w:color w:val="0000BF" w:themeColor="hyperlink" w:themeShade="BF"/>
          <w:sz w:val="24"/>
          <w:szCs w:val="24"/>
        </w:rPr>
        <w:t>).</w:t>
      </w:r>
    </w:p>
    <w:p w:rsidR="00664299" w:rsidRPr="006B3979" w:rsidRDefault="00852D78" w:rsidP="006B3979">
      <w:pPr>
        <w:keepNext/>
        <w:spacing w:before="180" w:after="60" w:line="240" w:lineRule="auto"/>
        <w:ind w:left="1134" w:hanging="1134"/>
        <w:jc w:val="left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Tablica 3</w:t>
      </w:r>
      <w:r w:rsidR="00664299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664299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191254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Top 25</w:t>
      </w:r>
      <w:r w:rsidR="00CC242A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B52D56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sa 10 i više zaposlenih </w:t>
      </w:r>
      <w:r w:rsidR="00CC242A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prema najvećoj obračunatoj prosječnoj mjesečnoj neto plaći u 201</w:t>
      </w:r>
      <w:r w:rsidR="00B878CF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6</w:t>
      </w:r>
      <w:r w:rsidR="00CC242A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6E4DDE" w:rsidRPr="006B3979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godini</w:t>
      </w:r>
      <w:r w:rsidR="00D464F6" w:rsidRPr="006B3979">
        <w:rPr>
          <w:rStyle w:val="FootnoteReference"/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footnoteReference w:id="4"/>
      </w:r>
    </w:p>
    <w:tbl>
      <w:tblPr>
        <w:tblW w:w="99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4025"/>
        <w:gridCol w:w="907"/>
        <w:gridCol w:w="1644"/>
        <w:gridCol w:w="901"/>
        <w:gridCol w:w="1043"/>
        <w:gridCol w:w="994"/>
      </w:tblGrid>
      <w:tr w:rsidR="006B3979" w:rsidRPr="009519C7" w:rsidTr="006B3979">
        <w:trPr>
          <w:cantSplit/>
          <w:trHeight w:val="567"/>
          <w:tblHeader/>
          <w:jc w:val="center"/>
        </w:trPr>
        <w:tc>
          <w:tcPr>
            <w:tcW w:w="44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eastAsia="Times New Roman" w:cs="Arial"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B3979">
              <w:rPr>
                <w:rFonts w:eastAsia="Times New Roman" w:cs="Arial"/>
                <w:bCs/>
                <w:color w:val="FFFFFF" w:themeColor="background1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402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po</w:t>
            </w:r>
            <w:r w:rsidR="006B3979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duzetnika</w:t>
            </w:r>
          </w:p>
        </w:tc>
        <w:tc>
          <w:tcPr>
            <w:tcW w:w="90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Oblik vlasništva</w:t>
            </w:r>
          </w:p>
        </w:tc>
        <w:tc>
          <w:tcPr>
            <w:tcW w:w="90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Područje djelat.*</w:t>
            </w:r>
          </w:p>
        </w:tc>
        <w:tc>
          <w:tcPr>
            <w:tcW w:w="1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9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Prosječna mjesečna neto plaća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0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3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MICROSOFT HRVATSKA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J</w:t>
            </w:r>
          </w:p>
        </w:tc>
        <w:tc>
          <w:tcPr>
            <w:tcW w:w="10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52</w:t>
            </w:r>
          </w:p>
        </w:tc>
        <w:tc>
          <w:tcPr>
            <w:tcW w:w="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49.832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4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ASTRAZENECA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M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40.268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5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INDUSTRIESERVICE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Šibenik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F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36.763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6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ORACLE HRVATSKA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J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35.900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7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CISCO SYSTEMS HRVATSKA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J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35.658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8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SHIRE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35.404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9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ADRIS GRUPA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d.d.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Rovinj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M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34.855</w:t>
            </w:r>
          </w:p>
        </w:tc>
      </w:tr>
      <w:tr w:rsidR="00E45509" w:rsidRPr="009519C7" w:rsidTr="006B3979">
        <w:trPr>
          <w:trHeight w:val="454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0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SAMSUNG ELECTRONICS AUSTRIA GMBH,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Podružnica Zagreb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M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34.288</w:t>
            </w:r>
          </w:p>
        </w:tc>
      </w:tr>
      <w:tr w:rsidR="00E45509" w:rsidRPr="009519C7" w:rsidTr="006B3979">
        <w:trPr>
          <w:trHeight w:val="454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1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MCKINSEY &amp; COMPANY, INC. CROATIA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Podružnica Zagreb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M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32.163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2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SERVIER PHARMA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M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30.777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3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MERCK SHARP&amp;DOHME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M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30.661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4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JOHNSON &amp; JOHNSON E.S.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30.328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5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ASTELLAS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29.639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6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ABBVIE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29.327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7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NOVARTIS HRVATSKA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28.429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8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HP COMPUTING AND PRINTING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J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27.994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9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BSH KUĆANSKI UREĐAJI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27.724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30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SIEMENS WIND POWER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C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26.695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31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NOKIA SOLUTIONS AND NETWORKS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J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26.350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32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ROCHE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26.139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33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IBM HRVATSKA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S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26.094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34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ZG LIGHTING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25.738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35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BOEHRINGER INGELHEIM ZAGREB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G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25.303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36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INDUSTRIUS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Obrovac Sinjski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C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25.036</w:t>
            </w:r>
          </w:p>
        </w:tc>
      </w:tr>
      <w:tr w:rsidR="00E45509" w:rsidRPr="009519C7" w:rsidTr="006B3979">
        <w:trPr>
          <w:trHeight w:val="283"/>
          <w:jc w:val="center"/>
        </w:trPr>
        <w:tc>
          <w:tcPr>
            <w:tcW w:w="4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519C7">
              <w:rPr>
                <w:rFonts w:eastAsia="Times New Roman" w:cs="Arial"/>
                <w:color w:val="17365D" w:themeColor="text2" w:themeShade="BF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452496" w:rsidP="006B3979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37" w:history="1">
              <w:r w:rsidR="00E4550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 xml:space="preserve">PIONEER - SJEME </w:t>
              </w:r>
              <w:r w:rsidR="006B3979" w:rsidRPr="006B3979">
                <w:rPr>
                  <w:rStyle w:val="Hyperlink"/>
                  <w:rFonts w:cs="Arial"/>
                  <w:color w:val="0000BF" w:themeColor="hyperlink" w:themeShade="BF"/>
                  <w:sz w:val="18"/>
                  <w:szCs w:val="18"/>
                </w:rPr>
                <w:t>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164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9519C7" w:rsidRDefault="00E45509" w:rsidP="006B397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519C7">
              <w:rPr>
                <w:rFonts w:cs="Arial"/>
                <w:color w:val="17365D" w:themeColor="text2" w:themeShade="BF"/>
                <w:sz w:val="16"/>
                <w:szCs w:val="16"/>
              </w:rPr>
              <w:t>Privatno od osnivanja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center"/>
              <w:rPr>
                <w:rFonts w:cs="Arial"/>
                <w:b/>
                <w:color w:val="003366"/>
                <w:sz w:val="16"/>
                <w:szCs w:val="16"/>
              </w:rPr>
            </w:pPr>
            <w:r w:rsidRPr="006B3979">
              <w:rPr>
                <w:rFonts w:cs="Arial"/>
                <w:b/>
                <w:color w:val="003366"/>
                <w:sz w:val="16"/>
                <w:szCs w:val="16"/>
              </w:rPr>
              <w:t>A</w:t>
            </w:r>
          </w:p>
        </w:tc>
        <w:tc>
          <w:tcPr>
            <w:tcW w:w="10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ind w:right="158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509" w:rsidRPr="006B3979" w:rsidRDefault="00E45509" w:rsidP="006B397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6B3979">
              <w:rPr>
                <w:rFonts w:cs="Arial"/>
                <w:color w:val="003366"/>
                <w:sz w:val="18"/>
                <w:szCs w:val="18"/>
              </w:rPr>
              <w:t>24.756</w:t>
            </w:r>
          </w:p>
        </w:tc>
      </w:tr>
    </w:tbl>
    <w:p w:rsidR="00897C9F" w:rsidRPr="008E3178" w:rsidRDefault="00897C9F" w:rsidP="00570431">
      <w:pPr>
        <w:spacing w:before="40" w:line="240" w:lineRule="auto"/>
        <w:rPr>
          <w:i/>
          <w:color w:val="17365D" w:themeColor="text2" w:themeShade="BF"/>
          <w:sz w:val="16"/>
          <w:szCs w:val="18"/>
        </w:rPr>
      </w:pPr>
      <w:r w:rsidRPr="008E3178">
        <w:rPr>
          <w:i/>
          <w:color w:val="17365D" w:themeColor="text2" w:themeShade="BF"/>
          <w:sz w:val="16"/>
          <w:szCs w:val="18"/>
        </w:rPr>
        <w:t>Izvor: Fina, Registar godišnjih financijskih izvještaja</w:t>
      </w:r>
    </w:p>
    <w:p w:rsidR="00897C9F" w:rsidRDefault="00897C9F" w:rsidP="0062708E">
      <w:pPr>
        <w:spacing w:before="40" w:line="240" w:lineRule="auto"/>
        <w:jc w:val="left"/>
        <w:rPr>
          <w:i/>
          <w:color w:val="17365D" w:themeColor="text2" w:themeShade="BF"/>
          <w:sz w:val="18"/>
          <w:szCs w:val="18"/>
        </w:rPr>
      </w:pPr>
      <w:r w:rsidRPr="008E3178">
        <w:rPr>
          <w:i/>
          <w:color w:val="17365D" w:themeColor="text2" w:themeShade="BF"/>
          <w:sz w:val="16"/>
          <w:szCs w:val="18"/>
        </w:rPr>
        <w:t>*Područje djelatnosti prema NKD-u 2007</w:t>
      </w:r>
      <w:r w:rsidRPr="008E3178">
        <w:rPr>
          <w:rStyle w:val="FootnoteReference"/>
          <w:i/>
          <w:color w:val="17365D" w:themeColor="text2" w:themeShade="BF"/>
          <w:sz w:val="18"/>
          <w:szCs w:val="18"/>
        </w:rPr>
        <w:footnoteReference w:id="5"/>
      </w:r>
      <w:r w:rsidRPr="008E3178">
        <w:rPr>
          <w:i/>
          <w:color w:val="17365D" w:themeColor="text2" w:themeShade="BF"/>
          <w:sz w:val="18"/>
          <w:szCs w:val="18"/>
        </w:rPr>
        <w:t xml:space="preserve"> </w:t>
      </w:r>
    </w:p>
    <w:p w:rsidR="00BA0AA2" w:rsidRPr="008E3178" w:rsidRDefault="00BA0AA2" w:rsidP="00BA0AA2">
      <w:pPr>
        <w:widowControl w:val="0"/>
        <w:tabs>
          <w:tab w:val="left" w:pos="7797"/>
        </w:tabs>
        <w:spacing w:before="180"/>
        <w:rPr>
          <w:i/>
          <w:color w:val="17365D" w:themeColor="text2" w:themeShade="BF"/>
          <w:sz w:val="18"/>
          <w:szCs w:val="18"/>
        </w:rPr>
      </w:pPr>
      <w:r w:rsidRPr="00B66061">
        <w:rPr>
          <w:color w:val="17365D" w:themeColor="text2" w:themeShade="BF"/>
          <w:szCs w:val="20"/>
        </w:rPr>
        <w:t xml:space="preserve">Poduzetnik s najvećom obračunatom mjesečnom prosječnom </w:t>
      </w:r>
      <w:r>
        <w:rPr>
          <w:color w:val="17365D" w:themeColor="text2" w:themeShade="BF"/>
          <w:szCs w:val="20"/>
        </w:rPr>
        <w:t xml:space="preserve">neto </w:t>
      </w:r>
      <w:r w:rsidRPr="00B66061">
        <w:rPr>
          <w:color w:val="17365D" w:themeColor="text2" w:themeShade="BF"/>
          <w:szCs w:val="20"/>
        </w:rPr>
        <w:t xml:space="preserve">plaćom, </w:t>
      </w:r>
      <w:hyperlink r:id="rId38" w:history="1">
        <w:r w:rsidRPr="008345F4">
          <w:rPr>
            <w:rStyle w:val="Hyperlink"/>
            <w:color w:val="0000BF" w:themeColor="hyperlink" w:themeShade="BF"/>
            <w:szCs w:val="20"/>
          </w:rPr>
          <w:t>MICROSOFT HRVATSKA d.o.o.</w:t>
        </w:r>
      </w:hyperlink>
      <w:r>
        <w:rPr>
          <w:rStyle w:val="Hyperlink"/>
          <w:color w:val="0000BF" w:themeColor="hyperlink" w:themeShade="BF"/>
          <w:szCs w:val="20"/>
        </w:rPr>
        <w:t>,</w:t>
      </w:r>
      <w:r w:rsidRPr="00B66061">
        <w:rPr>
          <w:color w:val="17365D" w:themeColor="text2" w:themeShade="BF"/>
          <w:szCs w:val="20"/>
        </w:rPr>
        <w:t xml:space="preserve"> iz područja </w:t>
      </w:r>
      <w:r w:rsidR="00862FD0">
        <w:rPr>
          <w:color w:val="17365D" w:themeColor="text2" w:themeShade="BF"/>
          <w:szCs w:val="20"/>
        </w:rPr>
        <w:t xml:space="preserve">je </w:t>
      </w:r>
      <w:r w:rsidRPr="00B66061">
        <w:rPr>
          <w:color w:val="17365D" w:themeColor="text2" w:themeShade="BF"/>
          <w:szCs w:val="20"/>
        </w:rPr>
        <w:t xml:space="preserve">djelatnosti J – </w:t>
      </w:r>
      <w:r>
        <w:rPr>
          <w:color w:val="17365D" w:themeColor="text2" w:themeShade="BF"/>
          <w:szCs w:val="20"/>
        </w:rPr>
        <w:t>I</w:t>
      </w:r>
      <w:r w:rsidRPr="00B66061">
        <w:rPr>
          <w:color w:val="17365D" w:themeColor="text2" w:themeShade="BF"/>
          <w:szCs w:val="20"/>
        </w:rPr>
        <w:t>nformacije i komunikacije. Od ukupno dvadeset i pet poduzetnika koji su obračunali najveće prosječne mjesečne neto plaće u 2016</w:t>
      </w:r>
      <w:r>
        <w:rPr>
          <w:color w:val="17365D" w:themeColor="text2" w:themeShade="BF"/>
          <w:szCs w:val="20"/>
        </w:rPr>
        <w:t xml:space="preserve">. godini najviše ih je iz </w:t>
      </w:r>
      <w:r w:rsidRPr="003A3129">
        <w:rPr>
          <w:color w:val="17365D" w:themeColor="text2" w:themeShade="BF"/>
          <w:szCs w:val="20"/>
        </w:rPr>
        <w:t>područj</w:t>
      </w:r>
      <w:r>
        <w:rPr>
          <w:color w:val="17365D" w:themeColor="text2" w:themeShade="BF"/>
          <w:szCs w:val="20"/>
        </w:rPr>
        <w:t>a trgovine (</w:t>
      </w:r>
      <w:r w:rsidRPr="003A3129">
        <w:rPr>
          <w:color w:val="17365D" w:themeColor="text2" w:themeShade="BF"/>
          <w:szCs w:val="20"/>
        </w:rPr>
        <w:t>G</w:t>
      </w:r>
      <w:r>
        <w:rPr>
          <w:color w:val="17365D" w:themeColor="text2" w:themeShade="BF"/>
          <w:szCs w:val="20"/>
        </w:rPr>
        <w:t>), ukupno devet poduzetnika</w:t>
      </w:r>
      <w:r w:rsidRPr="003A3129">
        <w:rPr>
          <w:color w:val="17365D" w:themeColor="text2" w:themeShade="BF"/>
          <w:szCs w:val="20"/>
        </w:rPr>
        <w:t xml:space="preserve">, </w:t>
      </w:r>
      <w:r w:rsidRPr="00930EA8">
        <w:rPr>
          <w:color w:val="17365D" w:themeColor="text2" w:themeShade="BF"/>
          <w:szCs w:val="20"/>
        </w:rPr>
        <w:t xml:space="preserve">šest je </w:t>
      </w:r>
      <w:r>
        <w:rPr>
          <w:color w:val="17365D" w:themeColor="text2" w:themeShade="BF"/>
          <w:szCs w:val="20"/>
        </w:rPr>
        <w:t>u</w:t>
      </w:r>
      <w:r w:rsidRPr="00930EA8">
        <w:rPr>
          <w:color w:val="17365D" w:themeColor="text2" w:themeShade="BF"/>
          <w:szCs w:val="20"/>
        </w:rPr>
        <w:t xml:space="preserve"> području stručn</w:t>
      </w:r>
      <w:r>
        <w:rPr>
          <w:color w:val="17365D" w:themeColor="text2" w:themeShade="BF"/>
          <w:szCs w:val="20"/>
        </w:rPr>
        <w:t>ih</w:t>
      </w:r>
      <w:r w:rsidRPr="00930EA8">
        <w:rPr>
          <w:color w:val="17365D" w:themeColor="text2" w:themeShade="BF"/>
          <w:szCs w:val="20"/>
        </w:rPr>
        <w:t>, znanstven</w:t>
      </w:r>
      <w:r>
        <w:rPr>
          <w:color w:val="17365D" w:themeColor="text2" w:themeShade="BF"/>
          <w:szCs w:val="20"/>
        </w:rPr>
        <w:t>ih</w:t>
      </w:r>
      <w:r w:rsidRPr="00930EA8">
        <w:rPr>
          <w:color w:val="17365D" w:themeColor="text2" w:themeShade="BF"/>
          <w:szCs w:val="20"/>
        </w:rPr>
        <w:t xml:space="preserve"> i tehničk</w:t>
      </w:r>
      <w:r>
        <w:rPr>
          <w:color w:val="17365D" w:themeColor="text2" w:themeShade="BF"/>
          <w:szCs w:val="20"/>
        </w:rPr>
        <w:t>ih</w:t>
      </w:r>
      <w:r w:rsidRPr="00930EA8">
        <w:rPr>
          <w:color w:val="17365D" w:themeColor="text2" w:themeShade="BF"/>
          <w:szCs w:val="20"/>
        </w:rPr>
        <w:t xml:space="preserve"> djelatnosti</w:t>
      </w:r>
      <w:r w:rsidRPr="00943CBF">
        <w:t xml:space="preserve"> </w:t>
      </w:r>
      <w:r w:rsidRPr="00943CBF">
        <w:rPr>
          <w:color w:val="17365D" w:themeColor="text2" w:themeShade="BF"/>
          <w:szCs w:val="20"/>
        </w:rPr>
        <w:t>(M)</w:t>
      </w:r>
      <w:r w:rsidRPr="00930EA8">
        <w:rPr>
          <w:color w:val="17365D" w:themeColor="text2" w:themeShade="BF"/>
          <w:szCs w:val="20"/>
        </w:rPr>
        <w:t xml:space="preserve">, pet u području </w:t>
      </w:r>
      <w:r w:rsidRPr="00930EA8">
        <w:rPr>
          <w:rFonts w:eastAsia="Times New Roman" w:cs="Times New Roman"/>
          <w:color w:val="17365D" w:themeColor="text2" w:themeShade="BF"/>
          <w:szCs w:val="20"/>
          <w:lang w:eastAsia="hr-HR"/>
        </w:rPr>
        <w:t>informacij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>a</w:t>
      </w:r>
      <w:r w:rsidRPr="00930EA8"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i komunikacij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a </w:t>
      </w:r>
      <w:r w:rsidRPr="00943CBF">
        <w:rPr>
          <w:rFonts w:eastAsia="Times New Roman" w:cs="Times New Roman"/>
          <w:color w:val="17365D" w:themeColor="text2" w:themeShade="BF"/>
          <w:szCs w:val="20"/>
          <w:lang w:eastAsia="hr-HR"/>
        </w:rPr>
        <w:t>(J)</w:t>
      </w:r>
      <w:r w:rsidRPr="00930EA8">
        <w:rPr>
          <w:rFonts w:eastAsia="Times New Roman" w:cs="Times New Roman"/>
          <w:color w:val="17365D" w:themeColor="text2" w:themeShade="BF"/>
          <w:szCs w:val="20"/>
          <w:lang w:eastAsia="hr-HR"/>
        </w:rPr>
        <w:t>,</w:t>
      </w:r>
      <w:r>
        <w:rPr>
          <w:rFonts w:eastAsia="Times New Roman" w:cs="Times New Roman"/>
          <w:color w:val="17365D" w:themeColor="text2" w:themeShade="BF"/>
          <w:szCs w:val="20"/>
          <w:lang w:eastAsia="hr-HR"/>
        </w:rPr>
        <w:t xml:space="preserve"> dva poduzetnika su u prerađivačke djelatnosti, a po jedan poduzetnik u djelatnosti A (poljoprivreda, šumarstvo i ribarstvo), </w:t>
      </w:r>
      <w:r>
        <w:rPr>
          <w:color w:val="17365D" w:themeColor="text2" w:themeShade="BF"/>
          <w:szCs w:val="20"/>
        </w:rPr>
        <w:t>F (građevinarstvo) i S (ostale uslužne djelatnosti).</w:t>
      </w:r>
    </w:p>
    <w:p w:rsidR="003977E3" w:rsidRPr="003977E3" w:rsidRDefault="003977E3" w:rsidP="003977E3">
      <w:pPr>
        <w:pBdr>
          <w:top w:val="single" w:sz="4" w:space="1" w:color="auto"/>
        </w:pBdr>
        <w:spacing w:before="240"/>
        <w:rPr>
          <w:rFonts w:eastAsia="Times New Roman" w:cs="Arial"/>
          <w:i/>
          <w:color w:val="17365D" w:themeColor="text2" w:themeShade="BF"/>
          <w:sz w:val="4"/>
          <w:szCs w:val="4"/>
          <w:lang w:eastAsia="hr-HR"/>
        </w:rPr>
      </w:pPr>
    </w:p>
    <w:p w:rsidR="003977E3" w:rsidRDefault="003977E3" w:rsidP="003977E3">
      <w:pPr>
        <w:spacing w:line="240" w:lineRule="auto"/>
        <w:rPr>
          <w:rFonts w:eastAsia="Times New Roman" w:cs="Arial"/>
          <w:i/>
          <w:color w:val="17365D"/>
          <w:sz w:val="17"/>
          <w:szCs w:val="17"/>
          <w:lang w:eastAsia="hr-HR"/>
        </w:rPr>
      </w:pPr>
      <w:r w:rsidRPr="003977E3">
        <w:rPr>
          <w:rFonts w:eastAsia="Times New Roman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39" w:history="1">
        <w:r w:rsidRPr="003977E3">
          <w:rPr>
            <w:rFonts w:eastAsia="Times New Roman" w:cs="Arial"/>
            <w:i/>
            <w:color w:val="0000BF"/>
            <w:sz w:val="17"/>
            <w:szCs w:val="17"/>
            <w:u w:val="single"/>
            <w:lang w:eastAsia="hr-HR"/>
          </w:rPr>
          <w:t>standardnim analizama</w:t>
        </w:r>
      </w:hyperlink>
      <w:r w:rsidRPr="003977E3">
        <w:rPr>
          <w:rFonts w:eastAsia="Times New Roman" w:cs="Arial"/>
          <w:i/>
          <w:color w:val="17365D"/>
          <w:sz w:val="17"/>
          <w:szCs w:val="17"/>
          <w:lang w:eastAsia="hr-HR"/>
        </w:rPr>
        <w:t xml:space="preserve"> rezultata poslovanja poduzetnika RH, po županijama i po </w:t>
      </w:r>
      <w:r w:rsidR="008345F4">
        <w:rPr>
          <w:rFonts w:eastAsia="Times New Roman" w:cs="Arial"/>
          <w:i/>
          <w:color w:val="17365D"/>
          <w:sz w:val="17"/>
          <w:szCs w:val="17"/>
          <w:lang w:eastAsia="hr-HR"/>
        </w:rPr>
        <w:t>gradovima i općinama u 2016. g.</w:t>
      </w:r>
    </w:p>
    <w:p w:rsidR="008345F4" w:rsidRPr="008C123C" w:rsidRDefault="008345F4" w:rsidP="008345F4">
      <w:pPr>
        <w:spacing w:before="120" w:line="240" w:lineRule="auto"/>
        <w:rPr>
          <w:rFonts w:cs="Arial"/>
          <w:i/>
          <w:color w:val="0000FF"/>
          <w:sz w:val="17"/>
          <w:szCs w:val="17"/>
          <w:u w:val="single"/>
          <w:lang w:eastAsia="hr-HR"/>
        </w:rPr>
      </w:pPr>
      <w:r w:rsidRPr="008C123C">
        <w:rPr>
          <w:rFonts w:eastAsia="Times New Roman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8C123C">
        <w:rPr>
          <w:rFonts w:cs="Arial"/>
          <w:i/>
          <w:color w:val="17365D"/>
          <w:sz w:val="17"/>
          <w:szCs w:val="17"/>
          <w:lang w:eastAsia="hr-HR"/>
        </w:rPr>
        <w:t xml:space="preserve"> </w:t>
      </w:r>
      <w:hyperlink r:id="rId40" w:history="1">
        <w:r w:rsidRPr="008C123C">
          <w:rPr>
            <w:rFonts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8C123C">
        <w:rPr>
          <w:rFonts w:cs="Arial"/>
          <w:i/>
          <w:color w:val="0F243E"/>
          <w:sz w:val="17"/>
          <w:szCs w:val="17"/>
          <w:lang w:eastAsia="hr-HR"/>
        </w:rPr>
        <w:t xml:space="preserve"> </w:t>
      </w:r>
      <w:r w:rsidRPr="008C123C">
        <w:rPr>
          <w:rFonts w:eastAsia="Times New Roman" w:cs="Arial"/>
          <w:i/>
          <w:color w:val="17375E"/>
          <w:sz w:val="17"/>
          <w:szCs w:val="17"/>
          <w:lang w:eastAsia="hr-HR"/>
        </w:rPr>
        <w:t>i na</w:t>
      </w:r>
      <w:r w:rsidRPr="008C123C">
        <w:rPr>
          <w:rFonts w:cs="Arial"/>
          <w:i/>
          <w:color w:val="0F243E"/>
          <w:sz w:val="17"/>
          <w:szCs w:val="17"/>
          <w:lang w:eastAsia="hr-HR"/>
        </w:rPr>
        <w:t xml:space="preserve"> </w:t>
      </w:r>
      <w:hyperlink r:id="rId41" w:history="1">
        <w:r w:rsidRPr="008C123C">
          <w:rPr>
            <w:rFonts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</w:p>
    <w:p w:rsidR="008345F4" w:rsidRPr="003977E3" w:rsidRDefault="008345F4" w:rsidP="008345F4">
      <w:pPr>
        <w:spacing w:before="120" w:line="264" w:lineRule="auto"/>
        <w:rPr>
          <w:rFonts w:eastAsia="Times New Roman" w:cs="Arial"/>
          <w:i/>
          <w:color w:val="17365D"/>
          <w:sz w:val="17"/>
          <w:szCs w:val="17"/>
          <w:lang w:eastAsia="hr-HR"/>
        </w:rPr>
      </w:pPr>
      <w:r w:rsidRPr="008C123C">
        <w:rPr>
          <w:rFonts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42" w:history="1">
        <w:r w:rsidRPr="008C123C">
          <w:rPr>
            <w:rFonts w:cs="Arial"/>
            <w:bCs/>
            <w:i/>
            <w:color w:val="0000BF"/>
            <w:sz w:val="17"/>
            <w:szCs w:val="17"/>
            <w:u w:val="single"/>
          </w:rPr>
          <w:t>FINA InfoBlokade</w:t>
        </w:r>
      </w:hyperlink>
      <w:r w:rsidRPr="008C123C">
        <w:rPr>
          <w:rFonts w:cs="Arial"/>
          <w:bCs/>
          <w:i/>
          <w:color w:val="17365D"/>
          <w:sz w:val="17"/>
          <w:szCs w:val="17"/>
        </w:rPr>
        <w:t xml:space="preserve"> slanjem SMS poruku na broj 818058. te korištenjem </w:t>
      </w:r>
      <w:hyperlink r:id="rId43" w:history="1">
        <w:r w:rsidRPr="008C123C">
          <w:rPr>
            <w:rFonts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8C123C">
        <w:rPr>
          <w:rFonts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44" w:history="1">
        <w:r w:rsidRPr="008C123C">
          <w:rPr>
            <w:rFonts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8C123C">
        <w:rPr>
          <w:rFonts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</w:t>
      </w:r>
      <w:r w:rsidRPr="008C123C">
        <w:rPr>
          <w:rFonts w:cs="Arial"/>
          <w:bCs/>
          <w:i/>
          <w:color w:val="17365D" w:themeColor="text2" w:themeShade="BF"/>
          <w:sz w:val="17"/>
          <w:szCs w:val="17"/>
        </w:rPr>
        <w:t>.</w:t>
      </w:r>
    </w:p>
    <w:sectPr w:rsidR="008345F4" w:rsidRPr="003977E3" w:rsidSect="00E45509">
      <w:pgSz w:w="11906" w:h="16838"/>
      <w:pgMar w:top="1134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96" w:rsidRDefault="00452496" w:rsidP="007C1D52">
      <w:pPr>
        <w:spacing w:line="240" w:lineRule="auto"/>
      </w:pPr>
      <w:r>
        <w:separator/>
      </w:r>
    </w:p>
  </w:endnote>
  <w:endnote w:type="continuationSeparator" w:id="0">
    <w:p w:rsidR="00452496" w:rsidRDefault="00452496" w:rsidP="007C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543255"/>
      <w:docPartObj>
        <w:docPartGallery w:val="Page Numbers (Bottom of Page)"/>
        <w:docPartUnique/>
      </w:docPartObj>
    </w:sdtPr>
    <w:sdtEndPr/>
    <w:sdtContent>
      <w:p w:rsidR="00232F40" w:rsidRDefault="00232F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496">
          <w:rPr>
            <w:noProof/>
          </w:rPr>
          <w:t>1</w:t>
        </w:r>
        <w:r>
          <w:fldChar w:fldCharType="end"/>
        </w:r>
      </w:p>
    </w:sdtContent>
  </w:sdt>
  <w:p w:rsidR="00232F40" w:rsidRDefault="00232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96" w:rsidRDefault="00452496" w:rsidP="007C1D52">
      <w:pPr>
        <w:spacing w:line="240" w:lineRule="auto"/>
      </w:pPr>
      <w:r>
        <w:separator/>
      </w:r>
    </w:p>
  </w:footnote>
  <w:footnote w:type="continuationSeparator" w:id="0">
    <w:p w:rsidR="00452496" w:rsidRDefault="00452496" w:rsidP="007C1D52">
      <w:pPr>
        <w:spacing w:line="240" w:lineRule="auto"/>
      </w:pPr>
      <w:r>
        <w:continuationSeparator/>
      </w:r>
    </w:p>
  </w:footnote>
  <w:footnote w:id="1">
    <w:p w:rsidR="00232F40" w:rsidRPr="00E45509" w:rsidRDefault="00232F40" w:rsidP="00E45509">
      <w:pPr>
        <w:pStyle w:val="FootnoteText"/>
        <w:jc w:val="left"/>
        <w:rPr>
          <w:rFonts w:cs="Arial"/>
          <w:color w:val="17365D" w:themeColor="text2" w:themeShade="BF"/>
          <w:sz w:val="17"/>
          <w:szCs w:val="17"/>
        </w:rPr>
      </w:pPr>
      <w:r w:rsidRPr="00E45509">
        <w:rPr>
          <w:rStyle w:val="FootnoteReference"/>
          <w:sz w:val="17"/>
          <w:szCs w:val="17"/>
        </w:rPr>
        <w:footnoteRef/>
      </w:r>
      <w:r w:rsidRPr="00E45509">
        <w:rPr>
          <w:rFonts w:cs="Arial"/>
          <w:color w:val="17365D" w:themeColor="text2" w:themeShade="BF"/>
          <w:sz w:val="17"/>
          <w:szCs w:val="17"/>
        </w:rPr>
        <w:t xml:space="preserve"> U Registar godišnjih financijskih izvještaja, godišnji financijski izvještaj (GFI) za 2016. godinu za statističke i druge potrebe, podnijelo je 114.483 poduzetnika, pravnih i fizičkih osoba (obrtnika), obveznika poreza na dobit.</w:t>
      </w:r>
    </w:p>
  </w:footnote>
  <w:footnote w:id="2">
    <w:p w:rsidR="003977E3" w:rsidRPr="00E45509" w:rsidRDefault="003977E3" w:rsidP="00E45509">
      <w:pPr>
        <w:spacing w:before="40" w:line="240" w:lineRule="auto"/>
        <w:rPr>
          <w:sz w:val="17"/>
          <w:szCs w:val="17"/>
        </w:rPr>
      </w:pPr>
      <w:r w:rsidRPr="00E45509">
        <w:rPr>
          <w:rStyle w:val="FootnoteReference"/>
          <w:sz w:val="17"/>
          <w:szCs w:val="17"/>
        </w:rPr>
        <w:footnoteRef/>
      </w:r>
      <w:r w:rsidRPr="00E45509">
        <w:rPr>
          <w:sz w:val="17"/>
          <w:szCs w:val="17"/>
        </w:rPr>
        <w:t xml:space="preserve"> </w:t>
      </w:r>
      <w:r w:rsidRPr="00E45509">
        <w:rPr>
          <w:rFonts w:cs="Arial"/>
          <w:color w:val="17365D" w:themeColor="text2" w:themeShade="BF"/>
          <w:sz w:val="17"/>
          <w:szCs w:val="17"/>
        </w:rPr>
        <w:t>Minimalna plaća je najniži mjesečni iznos bruto plaće koji radniku pripada za rad u punom radnom vremenu. Pravo na minimalnu plaću imaju svi radnici koji rade u Republici Hrvatskoj, neovisno o sjedištu ili registraciji poslodavca. Ona je ista za sve bez obzira na stručnu spremu, a propisana je Zakonom o minimalnoj plaći. Visinu minimalne bruto plaće Vlada RH svake godine donosi Uredbom o visini minimalne plaće, a utvrđuje se jednom godišnje za sljedeću kalendarsku godinu.</w:t>
      </w:r>
    </w:p>
  </w:footnote>
  <w:footnote w:id="3">
    <w:p w:rsidR="00232F40" w:rsidRPr="00B16A2F" w:rsidRDefault="00232F40" w:rsidP="00C6241A">
      <w:pPr>
        <w:pStyle w:val="FootnoteText"/>
        <w:spacing w:before="40"/>
        <w:jc w:val="left"/>
        <w:rPr>
          <w:color w:val="17365D" w:themeColor="text2" w:themeShade="BF"/>
          <w:sz w:val="17"/>
          <w:szCs w:val="17"/>
        </w:rPr>
      </w:pPr>
      <w:r w:rsidRPr="00B16A2F">
        <w:rPr>
          <w:rStyle w:val="FootnoteReference"/>
          <w:color w:val="17365D" w:themeColor="text2" w:themeShade="BF"/>
          <w:sz w:val="17"/>
          <w:szCs w:val="17"/>
        </w:rPr>
        <w:footnoteRef/>
      </w:r>
      <w:r w:rsidRPr="00B16A2F">
        <w:rPr>
          <w:color w:val="17365D" w:themeColor="text2" w:themeShade="BF"/>
          <w:sz w:val="17"/>
          <w:szCs w:val="17"/>
        </w:rPr>
        <w:t xml:space="preserve"> U podatke nisu uključene banke, osiguravajuća društva, leasing i ostale financijske institucije koje su obvezne predavati godišnje financijske izvještaje na posebnom obrascu</w:t>
      </w:r>
      <w:r>
        <w:rPr>
          <w:color w:val="17365D" w:themeColor="text2" w:themeShade="BF"/>
          <w:sz w:val="17"/>
          <w:szCs w:val="17"/>
        </w:rPr>
        <w:t>, različitom od onoga na kojem izvještaje podnose svi drugi poduzetnici</w:t>
      </w:r>
      <w:r w:rsidRPr="00B16A2F">
        <w:rPr>
          <w:color w:val="17365D" w:themeColor="text2" w:themeShade="BF"/>
          <w:sz w:val="17"/>
          <w:szCs w:val="17"/>
        </w:rPr>
        <w:t>.</w:t>
      </w:r>
    </w:p>
  </w:footnote>
  <w:footnote w:id="4">
    <w:p w:rsidR="00232F40" w:rsidRPr="0062708E" w:rsidRDefault="00232F40" w:rsidP="006B3979">
      <w:pPr>
        <w:pStyle w:val="FootnoteText"/>
        <w:spacing w:before="40"/>
        <w:rPr>
          <w:rFonts w:cs="Arial"/>
          <w:color w:val="244061" w:themeColor="accent1" w:themeShade="80"/>
          <w:sz w:val="17"/>
          <w:szCs w:val="17"/>
        </w:rPr>
      </w:pPr>
      <w:r w:rsidRPr="0062708E">
        <w:rPr>
          <w:rStyle w:val="FootnoteReference"/>
          <w:color w:val="244061" w:themeColor="accent1" w:themeShade="80"/>
          <w:sz w:val="17"/>
          <w:szCs w:val="17"/>
        </w:rPr>
        <w:footnoteRef/>
      </w:r>
      <w:r w:rsidRPr="0062708E">
        <w:rPr>
          <w:rStyle w:val="FootnoteReference"/>
          <w:color w:val="244061" w:themeColor="accent1" w:themeShade="80"/>
          <w:sz w:val="17"/>
          <w:szCs w:val="17"/>
        </w:rPr>
        <w:t xml:space="preserve"> </w:t>
      </w:r>
      <w:r w:rsidRPr="0062708E">
        <w:rPr>
          <w:rFonts w:cs="Arial"/>
          <w:color w:val="244061" w:themeColor="accent1" w:themeShade="80"/>
          <w:sz w:val="17"/>
          <w:szCs w:val="17"/>
        </w:rPr>
        <w:t xml:space="preserve">U rang listu nisu uključena društva u stečaju, likvidaciji i društva sa </w:t>
      </w:r>
      <w:r w:rsidR="006B3979">
        <w:rPr>
          <w:rFonts w:cs="Arial"/>
          <w:color w:val="244061" w:themeColor="accent1" w:themeShade="80"/>
          <w:sz w:val="17"/>
          <w:szCs w:val="17"/>
        </w:rPr>
        <w:t>manje od 10</w:t>
      </w:r>
      <w:r w:rsidRPr="0062708E">
        <w:rPr>
          <w:rFonts w:cs="Arial"/>
          <w:color w:val="244061" w:themeColor="accent1" w:themeShade="80"/>
          <w:sz w:val="17"/>
          <w:szCs w:val="17"/>
        </w:rPr>
        <w:t xml:space="preserve"> zaposleni</w:t>
      </w:r>
      <w:r w:rsidR="00853B4A">
        <w:rPr>
          <w:rFonts w:cs="Arial"/>
          <w:color w:val="244061" w:themeColor="accent1" w:themeShade="80"/>
          <w:sz w:val="17"/>
          <w:szCs w:val="17"/>
        </w:rPr>
        <w:t>h</w:t>
      </w:r>
      <w:r w:rsidRPr="0062708E">
        <w:rPr>
          <w:rFonts w:cs="Arial"/>
          <w:color w:val="244061" w:themeColor="accent1" w:themeShade="80"/>
          <w:sz w:val="17"/>
          <w:szCs w:val="17"/>
        </w:rPr>
        <w:t>.</w:t>
      </w:r>
    </w:p>
  </w:footnote>
  <w:footnote w:id="5">
    <w:p w:rsidR="00232F40" w:rsidRPr="00C6241A" w:rsidRDefault="00232F40" w:rsidP="006E4DDE">
      <w:pPr>
        <w:spacing w:before="40" w:line="240" w:lineRule="auto"/>
        <w:jc w:val="left"/>
        <w:rPr>
          <w:sz w:val="17"/>
          <w:szCs w:val="17"/>
        </w:rPr>
      </w:pPr>
      <w:r w:rsidRPr="00C6241A">
        <w:rPr>
          <w:rStyle w:val="FootnoteReference"/>
          <w:color w:val="193B65"/>
          <w:sz w:val="17"/>
          <w:szCs w:val="17"/>
          <w:shd w:val="clear" w:color="auto" w:fill="FFFFFF" w:themeFill="background1"/>
        </w:rPr>
        <w:footnoteRef/>
      </w:r>
      <w:r w:rsidRPr="00C6241A">
        <w:rPr>
          <w:color w:val="193B65"/>
          <w:sz w:val="17"/>
          <w:szCs w:val="17"/>
          <w:shd w:val="clear" w:color="auto" w:fill="FFFFFF" w:themeFill="background1"/>
        </w:rPr>
        <w:t xml:space="preserve"> Objavljen na stranici</w:t>
      </w:r>
      <w:r>
        <w:rPr>
          <w:color w:val="193B65"/>
          <w:sz w:val="17"/>
          <w:szCs w:val="17"/>
          <w:shd w:val="clear" w:color="auto" w:fill="FFFFFF" w:themeFill="background1"/>
        </w:rPr>
        <w:t xml:space="preserve">: </w:t>
      </w:r>
      <w:hyperlink r:id="rId1" w:history="1">
        <w:r w:rsidRPr="007C59BE">
          <w:rPr>
            <w:rStyle w:val="Hyperlink"/>
            <w:sz w:val="17"/>
            <w:szCs w:val="17"/>
          </w:rPr>
          <w:t>http://www.dzs.hr/Hrv/important/Nomen/NKD_2007/NKD%202007_struktura%20s%20objasnjenjima.pdf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40" w:rsidRDefault="00232F40">
    <w:pPr>
      <w:pStyle w:val="Header"/>
    </w:pPr>
    <w:r w:rsidRPr="007C1D52">
      <w:rPr>
        <w:rFonts w:ascii="Calibri" w:eastAsia="Calibri" w:hAnsi="Calibri" w:cs="Times New Roman"/>
        <w:noProof/>
        <w:color w:val="auto"/>
        <w:sz w:val="22"/>
        <w:lang w:eastAsia="hr-HR"/>
      </w:rPr>
      <w:drawing>
        <wp:anchor distT="0" distB="0" distL="114300" distR="114300" simplePos="0" relativeHeight="251659264" behindDoc="0" locked="0" layoutInCell="1" allowOverlap="1" wp14:anchorId="5752BA88" wp14:editId="1BCACB13">
          <wp:simplePos x="0" y="0"/>
          <wp:positionH relativeFrom="column">
            <wp:posOffset>-36830</wp:posOffset>
          </wp:positionH>
          <wp:positionV relativeFrom="paragraph">
            <wp:posOffset>-123394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080E"/>
    <w:rsid w:val="00001434"/>
    <w:rsid w:val="00002C9F"/>
    <w:rsid w:val="00004FE0"/>
    <w:rsid w:val="00042AD9"/>
    <w:rsid w:val="00063588"/>
    <w:rsid w:val="0006668D"/>
    <w:rsid w:val="000722E3"/>
    <w:rsid w:val="00073786"/>
    <w:rsid w:val="00081A4C"/>
    <w:rsid w:val="000A73FA"/>
    <w:rsid w:val="000B2F6F"/>
    <w:rsid w:val="000D2D85"/>
    <w:rsid w:val="000F27E8"/>
    <w:rsid w:val="0010103D"/>
    <w:rsid w:val="00101405"/>
    <w:rsid w:val="001065CE"/>
    <w:rsid w:val="001075BD"/>
    <w:rsid w:val="001142CE"/>
    <w:rsid w:val="00191254"/>
    <w:rsid w:val="001C3947"/>
    <w:rsid w:val="001D15C3"/>
    <w:rsid w:val="001D3AC4"/>
    <w:rsid w:val="001E3230"/>
    <w:rsid w:val="001E6CA6"/>
    <w:rsid w:val="001F42BF"/>
    <w:rsid w:val="001F4D12"/>
    <w:rsid w:val="00227A46"/>
    <w:rsid w:val="00232F40"/>
    <w:rsid w:val="0024404B"/>
    <w:rsid w:val="00245C84"/>
    <w:rsid w:val="00253914"/>
    <w:rsid w:val="002656C4"/>
    <w:rsid w:val="00272455"/>
    <w:rsid w:val="00285CE7"/>
    <w:rsid w:val="00291DFE"/>
    <w:rsid w:val="002923E5"/>
    <w:rsid w:val="00295FE5"/>
    <w:rsid w:val="002A078D"/>
    <w:rsid w:val="002C1060"/>
    <w:rsid w:val="002D6B51"/>
    <w:rsid w:val="00304981"/>
    <w:rsid w:val="0030585C"/>
    <w:rsid w:val="003256D0"/>
    <w:rsid w:val="003342D3"/>
    <w:rsid w:val="00335B15"/>
    <w:rsid w:val="00386647"/>
    <w:rsid w:val="00387973"/>
    <w:rsid w:val="003921A1"/>
    <w:rsid w:val="00396877"/>
    <w:rsid w:val="003977E3"/>
    <w:rsid w:val="003A3129"/>
    <w:rsid w:val="003A50E3"/>
    <w:rsid w:val="003C3003"/>
    <w:rsid w:val="003D1730"/>
    <w:rsid w:val="003D695E"/>
    <w:rsid w:val="003D7FFA"/>
    <w:rsid w:val="003F00B3"/>
    <w:rsid w:val="00400F28"/>
    <w:rsid w:val="004077C7"/>
    <w:rsid w:val="00432E7F"/>
    <w:rsid w:val="00434282"/>
    <w:rsid w:val="00436A51"/>
    <w:rsid w:val="00446503"/>
    <w:rsid w:val="00446761"/>
    <w:rsid w:val="00451327"/>
    <w:rsid w:val="00452496"/>
    <w:rsid w:val="0045661A"/>
    <w:rsid w:val="00466BC8"/>
    <w:rsid w:val="0048382A"/>
    <w:rsid w:val="004B23B4"/>
    <w:rsid w:val="004D4650"/>
    <w:rsid w:val="004D6B8E"/>
    <w:rsid w:val="004D7F57"/>
    <w:rsid w:val="004E67F7"/>
    <w:rsid w:val="00501318"/>
    <w:rsid w:val="00506F45"/>
    <w:rsid w:val="00513559"/>
    <w:rsid w:val="00522AEC"/>
    <w:rsid w:val="00523A62"/>
    <w:rsid w:val="00534BB0"/>
    <w:rsid w:val="005353EA"/>
    <w:rsid w:val="00543CCE"/>
    <w:rsid w:val="00551A0C"/>
    <w:rsid w:val="00570431"/>
    <w:rsid w:val="0058101B"/>
    <w:rsid w:val="005A247F"/>
    <w:rsid w:val="005A3DD0"/>
    <w:rsid w:val="005B52C8"/>
    <w:rsid w:val="005B7E4F"/>
    <w:rsid w:val="005D6842"/>
    <w:rsid w:val="005F016A"/>
    <w:rsid w:val="005F245D"/>
    <w:rsid w:val="00602D0F"/>
    <w:rsid w:val="00603A90"/>
    <w:rsid w:val="006068C4"/>
    <w:rsid w:val="006229AB"/>
    <w:rsid w:val="00626152"/>
    <w:rsid w:val="0062708E"/>
    <w:rsid w:val="00645BE7"/>
    <w:rsid w:val="00651F11"/>
    <w:rsid w:val="00664299"/>
    <w:rsid w:val="006A0278"/>
    <w:rsid w:val="006B0DA6"/>
    <w:rsid w:val="006B0F40"/>
    <w:rsid w:val="006B36BE"/>
    <w:rsid w:val="006B3979"/>
    <w:rsid w:val="006C20CC"/>
    <w:rsid w:val="006C6421"/>
    <w:rsid w:val="006D0D28"/>
    <w:rsid w:val="006E1E1A"/>
    <w:rsid w:val="006E4DDE"/>
    <w:rsid w:val="006F687A"/>
    <w:rsid w:val="007207FF"/>
    <w:rsid w:val="0072169A"/>
    <w:rsid w:val="00733584"/>
    <w:rsid w:val="00736C17"/>
    <w:rsid w:val="007379AC"/>
    <w:rsid w:val="007568C3"/>
    <w:rsid w:val="00774170"/>
    <w:rsid w:val="00790B86"/>
    <w:rsid w:val="007924D2"/>
    <w:rsid w:val="00797863"/>
    <w:rsid w:val="007B5328"/>
    <w:rsid w:val="007C1D52"/>
    <w:rsid w:val="007C59BE"/>
    <w:rsid w:val="007D5C80"/>
    <w:rsid w:val="007D79AE"/>
    <w:rsid w:val="00814D30"/>
    <w:rsid w:val="00820F00"/>
    <w:rsid w:val="008345F4"/>
    <w:rsid w:val="0084350E"/>
    <w:rsid w:val="00843A99"/>
    <w:rsid w:val="00843DA0"/>
    <w:rsid w:val="00852D78"/>
    <w:rsid w:val="00853B4A"/>
    <w:rsid w:val="008610B1"/>
    <w:rsid w:val="00862FD0"/>
    <w:rsid w:val="0087281F"/>
    <w:rsid w:val="00877801"/>
    <w:rsid w:val="0089478B"/>
    <w:rsid w:val="00897C9F"/>
    <w:rsid w:val="008A4DB6"/>
    <w:rsid w:val="008D2238"/>
    <w:rsid w:val="008E3178"/>
    <w:rsid w:val="008E3685"/>
    <w:rsid w:val="00903A0B"/>
    <w:rsid w:val="00904297"/>
    <w:rsid w:val="009265FC"/>
    <w:rsid w:val="00930EA8"/>
    <w:rsid w:val="00934DFF"/>
    <w:rsid w:val="00943CBF"/>
    <w:rsid w:val="009519C7"/>
    <w:rsid w:val="00952FDB"/>
    <w:rsid w:val="00960B38"/>
    <w:rsid w:val="0097654D"/>
    <w:rsid w:val="009838B0"/>
    <w:rsid w:val="00985943"/>
    <w:rsid w:val="0099147A"/>
    <w:rsid w:val="00991ED4"/>
    <w:rsid w:val="009A0DEA"/>
    <w:rsid w:val="009B4D15"/>
    <w:rsid w:val="009F6515"/>
    <w:rsid w:val="00A070CE"/>
    <w:rsid w:val="00A221D0"/>
    <w:rsid w:val="00A441B9"/>
    <w:rsid w:val="00A53250"/>
    <w:rsid w:val="00A601D7"/>
    <w:rsid w:val="00A71952"/>
    <w:rsid w:val="00A818E2"/>
    <w:rsid w:val="00A85990"/>
    <w:rsid w:val="00AA3046"/>
    <w:rsid w:val="00AB0A90"/>
    <w:rsid w:val="00AD3F53"/>
    <w:rsid w:val="00AF2DB4"/>
    <w:rsid w:val="00AF4AA6"/>
    <w:rsid w:val="00AF4F74"/>
    <w:rsid w:val="00B10B0B"/>
    <w:rsid w:val="00B371AA"/>
    <w:rsid w:val="00B5114A"/>
    <w:rsid w:val="00B52D56"/>
    <w:rsid w:val="00B53791"/>
    <w:rsid w:val="00B66061"/>
    <w:rsid w:val="00B737A0"/>
    <w:rsid w:val="00B878CF"/>
    <w:rsid w:val="00B951D4"/>
    <w:rsid w:val="00BA0AA2"/>
    <w:rsid w:val="00BB525A"/>
    <w:rsid w:val="00BC5CF4"/>
    <w:rsid w:val="00BD08B4"/>
    <w:rsid w:val="00BE04C8"/>
    <w:rsid w:val="00BF4575"/>
    <w:rsid w:val="00C15636"/>
    <w:rsid w:val="00C21A15"/>
    <w:rsid w:val="00C23FCF"/>
    <w:rsid w:val="00C6241A"/>
    <w:rsid w:val="00C63D80"/>
    <w:rsid w:val="00C77036"/>
    <w:rsid w:val="00C774BD"/>
    <w:rsid w:val="00CA3EB9"/>
    <w:rsid w:val="00CB57BA"/>
    <w:rsid w:val="00CB7A76"/>
    <w:rsid w:val="00CC242A"/>
    <w:rsid w:val="00CD2306"/>
    <w:rsid w:val="00CD5FC6"/>
    <w:rsid w:val="00CF756F"/>
    <w:rsid w:val="00D02529"/>
    <w:rsid w:val="00D0759A"/>
    <w:rsid w:val="00D13647"/>
    <w:rsid w:val="00D15FE8"/>
    <w:rsid w:val="00D32E01"/>
    <w:rsid w:val="00D33028"/>
    <w:rsid w:val="00D3547D"/>
    <w:rsid w:val="00D4299D"/>
    <w:rsid w:val="00D464F6"/>
    <w:rsid w:val="00D632BF"/>
    <w:rsid w:val="00D76CAE"/>
    <w:rsid w:val="00D83AFA"/>
    <w:rsid w:val="00D94D60"/>
    <w:rsid w:val="00DB4CEA"/>
    <w:rsid w:val="00DC7F35"/>
    <w:rsid w:val="00DE0BAF"/>
    <w:rsid w:val="00DE4CDB"/>
    <w:rsid w:val="00E04AF2"/>
    <w:rsid w:val="00E14AF8"/>
    <w:rsid w:val="00E25801"/>
    <w:rsid w:val="00E45509"/>
    <w:rsid w:val="00E62ECB"/>
    <w:rsid w:val="00E73EF2"/>
    <w:rsid w:val="00E73FF7"/>
    <w:rsid w:val="00E85C4A"/>
    <w:rsid w:val="00E90CAB"/>
    <w:rsid w:val="00F0246E"/>
    <w:rsid w:val="00F1537D"/>
    <w:rsid w:val="00F27362"/>
    <w:rsid w:val="00F42CDD"/>
    <w:rsid w:val="00F64C1D"/>
    <w:rsid w:val="00F65960"/>
    <w:rsid w:val="00F73B5B"/>
    <w:rsid w:val="00FA0F3F"/>
    <w:rsid w:val="00FC7BAA"/>
    <w:rsid w:val="00FD50FD"/>
    <w:rsid w:val="00FE2A4D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52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52"/>
    <w:rPr>
      <w:rFonts w:ascii="Arial" w:hAnsi="Arial"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69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5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52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52"/>
    <w:rPr>
      <w:rFonts w:ascii="Arial" w:hAnsi="Arial"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69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5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57802034237/0b196ba66533f72ff7d5969cab1d9b21280e5fdf6104d16f2d6ffb033c9a5061d4265d6ebc95fae0d2ba8e0b042ce628e905900ed304a68c7c312ca67501b5bd" TargetMode="External"/><Relationship Id="rId18" Type="http://schemas.openxmlformats.org/officeDocument/2006/relationships/hyperlink" Target="https://www.transparentno.hr/pregled/80479541494/07347c5092750cf0ecc49d2c6422eac4987f9afc4e6c13cae367d7b8ebd75fa5918815c4d836264c9061b77d9e06bda7bcbd4357c150568bf488049b2186e746" TargetMode="External"/><Relationship Id="rId26" Type="http://schemas.openxmlformats.org/officeDocument/2006/relationships/hyperlink" Target="https://www.transparentno.hr/pregled/24960864553/28aedb78757ffc46cbe515e4165841765c6eed9a2d3a8e4c6f078582dbb94fe9e97471fb066a8339df8464561834d8d32e88638d0196f263226d5dbf0c7cfd8d" TargetMode="External"/><Relationship Id="rId39" Type="http://schemas.openxmlformats.org/officeDocument/2006/relationships/hyperlink" Target="http://www.fina.hr/Default.aspx?sec=1279" TargetMode="External"/><Relationship Id="rId21" Type="http://schemas.openxmlformats.org/officeDocument/2006/relationships/hyperlink" Target="https://www.transparentno.hr/pregled/17099237397/93ea024b721de49c5f20bb4ecb341070e8e7128df630274b40c707b8989e04ed212b34ccbd5d17b9bb889287c73542fce2f16858e6f2b737ede472e83a3145f9" TargetMode="External"/><Relationship Id="rId34" Type="http://schemas.openxmlformats.org/officeDocument/2006/relationships/hyperlink" Target="https://www.transparentno.hr/pregled/79173482413/b175b85abbcf4338d5bacbcc21ac0cf7436fdee3aaeed1f137dfb9a94d67a87405497f93413b0f668e9f612006d2ba5e927fc7fe9bfb28fe1a548901889df67e" TargetMode="External"/><Relationship Id="rId42" Type="http://schemas.openxmlformats.org/officeDocument/2006/relationships/hyperlink" Target="http://rgfi.fina.hr/JavnaObjava-web/jsp/prijavaKorisnika.jsp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70701453330/92f3b5d9a902ebd0dacea8ec364cb6dddd91b7048d8a5af2cfad2de535fa5c4846955a92211d76d0903f5cc7901a416377b6a89871c90a60dd38160ea87f2b9d" TargetMode="External"/><Relationship Id="rId29" Type="http://schemas.openxmlformats.org/officeDocument/2006/relationships/hyperlink" Target="https://www.transparentno.hr/pregled/21554136318/ff57699b986bb66e80a5c02d3fb29a32a5d7b98f8e14d3a86252203d318dd6b6f58b60d3cf3044e9cc42b49a4f647bec10aa6bd736ae4e1b506a10ef5189783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82023167977/d3ca4588c07c8d5222bb0fc228761f9f12517b0c14b7a0842cd5941b0f6930ed4c8a7d7423ca1e5523ec3032a62e01c0595be6b334de93f9d640b3fede3e8d29" TargetMode="External"/><Relationship Id="rId24" Type="http://schemas.openxmlformats.org/officeDocument/2006/relationships/hyperlink" Target="https://www.transparentno.hr/pregled/10216651302/4afced238abdadbf9feeb2f58c7f834c7854ab6b355029d9e1b47ff1542a90d07deb4f1e54b3f4a8b8aec8baacc50b2c9f28c5d4e5463fc4d59393937770dfd5" TargetMode="External"/><Relationship Id="rId32" Type="http://schemas.openxmlformats.org/officeDocument/2006/relationships/hyperlink" Target="https://www.transparentno.hr/pregled/18787746778/1f916873fc6fe3914027069e463596f4f2faebe06de101571cc08b2d5728098fdcf754fcce5efe39abb4077ae51cef430e055ee16fd34cefcada2bad9d84530d" TargetMode="External"/><Relationship Id="rId37" Type="http://schemas.openxmlformats.org/officeDocument/2006/relationships/hyperlink" Target="https://www.transparentno.hr/pregled/24384351607/df474fe1b096210858b0f7eb7a05a9202cf215750a7ab15988c3e8880ff23a1b5dae88cfe4ff23c345bb6d9c9d01254ea9d2a0f8c56791065b31617f51d8c5dc" TargetMode="External"/><Relationship Id="rId40" Type="http://schemas.openxmlformats.org/officeDocument/2006/relationships/hyperlink" Target="http://rgfi.fina.hr/JavnaObjava-web/jsp/prijavaKorisnika.js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69267044125/4e6617c29a79ed6b31ba1d59529d00e340ebb41ffbd339c2af378855b37ac22ceba28319a64bbb0fc072baab8937aa0027fc14a70e2019e28a04f24ade963820" TargetMode="External"/><Relationship Id="rId23" Type="http://schemas.openxmlformats.org/officeDocument/2006/relationships/hyperlink" Target="https://www.transparentno.hr/pregled/86296111348/c7353c55ec2cdc041a9524cc7bef5b35d35ea164006de4b52b5c62fd1d855a7c26779c3fe50805ae718478c52a386d374975445c97369f3dd65cc30cbbcfac81" TargetMode="External"/><Relationship Id="rId28" Type="http://schemas.openxmlformats.org/officeDocument/2006/relationships/hyperlink" Target="https://www.transparentno.hr/pregled/69629777390/c36aee77a9fbd957498ac10d3b97b584b8d2d4475557cdf45f4ff4db0d095724c5b2568207eede989f3e14b53e5f3e3167122a35856b0eb7048a4f5bee14d8f9" TargetMode="External"/><Relationship Id="rId36" Type="http://schemas.openxmlformats.org/officeDocument/2006/relationships/hyperlink" Target="https://www.transparentno.hr/pregled/59295916756/735d6a93a5400226446c48d5d8a7eedd28fd618a37f385016d945a53da09924c612f013b594dc8b0a6f49d6f337841b2edc7c86f07141899d845772fb58ec69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transparentno.hr/pregled/82023167977/d3ca4588c07c8d5222bb0fc228761f9f12517b0c14b7a0842cd5941b0f6930ed4c8a7d7423ca1e5523ec3032a62e01c0595be6b334de93f9d640b3fede3e8d29" TargetMode="External"/><Relationship Id="rId31" Type="http://schemas.openxmlformats.org/officeDocument/2006/relationships/hyperlink" Target="https://www.transparentno.hr/pregled/57233130801/85ded5812679f72f7ab9b714a77d843a19e9abc9320466f59e2be05bf725077bc5265f39a2bd436bf8b86baa4038dc1a6a2bd4bb885b8c5b978dd34bd02d9005" TargetMode="External"/><Relationship Id="rId44" Type="http://schemas.openxmlformats.org/officeDocument/2006/relationships/hyperlink" Target="http://www.fina.hr/Default.aspx?sec=97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ransparentno.hr/pregled/78608890872/1ac22c18eb0d1a79005412535d1d37c6a576d374a44b78e47d0a5af987ddd1cf96ede6c11122d334639d6c253cc9536e4a9e5d7b3a4d9a6f464761d608f9bd60" TargetMode="External"/><Relationship Id="rId22" Type="http://schemas.openxmlformats.org/officeDocument/2006/relationships/hyperlink" Target="https://www.transparentno.hr/pregled/97617417987/af852b6969089a79c508cbf2c8b331d89789747ff2b791d75cae07162a5485658d65294fe4a1bca70d41667df77e03704737c8e14dfef249a0f8a131bce1ce08" TargetMode="External"/><Relationship Id="rId27" Type="http://schemas.openxmlformats.org/officeDocument/2006/relationships/hyperlink" Target="https://www.transparentno.hr/pregled/70166062414/aabbcd2b69f8c43057804d63813adeafe35075f3261ef9e995ef2145796fefdc1fe9b21eaa69759c080631fea121bd9e7b6f11cfb3250a301f788290eb0ae2a2" TargetMode="External"/><Relationship Id="rId30" Type="http://schemas.openxmlformats.org/officeDocument/2006/relationships/hyperlink" Target="https://www.transparentno.hr/pregled/70501591875/5be4914b95d518a38ee897aff8a1f437a6a6bc9a5d9005ffc2f89c32cf60342dae8af49315b954cdcc15e5654e1f4d6a727df46fc98d299fdbdfad2dd004278e" TargetMode="External"/><Relationship Id="rId35" Type="http://schemas.openxmlformats.org/officeDocument/2006/relationships/hyperlink" Target="https://www.transparentno.hr/pregled/54885635763/94746f3b62e811f1d054eb3e378c2eb2d14ed8c53feea90388766484d0763badcdab466768d3421271b32b192c73fba4d47a173bc7f7290ba086a8c4ff89be1e" TargetMode="External"/><Relationship Id="rId43" Type="http://schemas.openxmlformats.org/officeDocument/2006/relationships/hyperlink" Target="https://jrr.fina.hr/" TargetMode="External"/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59295916756/735d6a93a5400226446c48d5d8a7eedd28fd618a37f385016d945a53da09924c612f013b594dc8b0a6f49d6f337841b2edc7c86f07141899d845772fb58ec690" TargetMode="External"/><Relationship Id="rId17" Type="http://schemas.openxmlformats.org/officeDocument/2006/relationships/hyperlink" Target="https://www.transparentno.hr/pregled/39410844220/e13ff6f726edf268c1521e2d1b86da2117313e50281e578002536554bd6ec8f5cdb3d70672810b81a207ca527be69ff81b30c931aca1a6a3eb9efe1869aa1ce0" TargetMode="External"/><Relationship Id="rId25" Type="http://schemas.openxmlformats.org/officeDocument/2006/relationships/hyperlink" Target="https://www.transparentno.hr/pregled/23929649122/7157149d7aa3b6c5ec5983d737430a90b9f69d3eee7e26cdb9c9a7268636a0aa163e58b18387623f750250464edf4941081975c30a1b50e8e87c064a1a79e3fb" TargetMode="External"/><Relationship Id="rId33" Type="http://schemas.openxmlformats.org/officeDocument/2006/relationships/hyperlink" Target="https://www.transparentno.hr/pregled/43331467622/6985fd943d9dd98511f3cc6b742a53da032a22ea1e67378e2d4e430059658fe93a640df266d89eb3eb3a6ffe7f62574dfbae1f2a5387cd4c8017ad9bbe97f2d9" TargetMode="External"/><Relationship Id="rId38" Type="http://schemas.openxmlformats.org/officeDocument/2006/relationships/hyperlink" Target="https://www.transparentno.hr/pregled/57802034237/0b196ba66533f72ff7d5969cab1d9b21280e5fdf6104d16f2d6ffb033c9a5061d4265d6ebc95fae0d2ba8e0b042ce628e905900ed304a68c7c312ca67501b5bd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ransparentno.hr/pregled/71762969400/1d00253a7895b03b8ad076d8a3690000ec2807f580452d37a47a72d9d0abed9072f443b5d44211007cf252108e80bc6cc46c5c23d36cc10bd15bf5f082d24b8f" TargetMode="External"/><Relationship Id="rId41" Type="http://schemas.openxmlformats.org/officeDocument/2006/relationships/hyperlink" Target="https://www.transparentno.h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s.hr/Hrv/important/Nomen/NKD_2007/NKD%202007_struktura%20s%20objasnjenjim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78F1-5952-4EAA-A626-5DEBD224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2093</Words>
  <Characters>11936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admin</cp:lastModifiedBy>
  <cp:revision>3</cp:revision>
  <cp:lastPrinted>2013-09-26T07:27:00Z</cp:lastPrinted>
  <dcterms:created xsi:type="dcterms:W3CDTF">2017-12-13T14:41:00Z</dcterms:created>
  <dcterms:modified xsi:type="dcterms:W3CDTF">2017-12-14T08:50:00Z</dcterms:modified>
</cp:coreProperties>
</file>