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0508E0">
      <w:pPr>
        <w:spacing w:before="240"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INFORMACIJA O BROJU NOVOOSNOVANIH DRUŠTAVA I OBRTA PUTEM SERVISA HITRO.HR</w:t>
      </w:r>
    </w:p>
    <w:p w:rsidR="00F802B6" w:rsidRDefault="00F802B6" w:rsidP="000508E0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0508E0" w:rsidRPr="009A7F59" w:rsidRDefault="000508E0" w:rsidP="000508E0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putem servisa za HITRO.HR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068 društava i obrta dok je tijekom 2015. godine broj ukupno osnovanih društava i obrta putem servisa 5.778.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grafikonu 1. prezentirani su podaci o broju otvorenih subjekata u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kada je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otvoren 2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31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obrt, 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73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4.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064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dok su u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2.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prezentirani podaci za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odin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u, kada je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181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 te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osnovano 1.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958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3.639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j.d.o.o.-a.</w:t>
      </w:r>
    </w:p>
    <w:p w:rsidR="00BD2048" w:rsidRPr="000508E0" w:rsidRDefault="00F802B6" w:rsidP="00B60D95">
      <w:pPr>
        <w:spacing w:before="180" w:after="6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Grafikon 1</w:t>
      </w:r>
      <w:r w:rsidR="0057176B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="00BD2048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i 2</w:t>
      </w: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="007D7D9E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6650A8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B</w:t>
      </w: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roj otvorenih </w:t>
      </w:r>
      <w:r w:rsidR="006D5E63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društava i obrta</w:t>
      </w: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9A7F59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4</w:t>
      </w: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. i </w:t>
      </w:r>
      <w:r w:rsidR="00BD2048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201</w:t>
      </w:r>
      <w:r w:rsidR="009A7F59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5</w:t>
      </w:r>
      <w:r w:rsidR="00BD2048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p w:rsidR="00CD384C" w:rsidRPr="006650A8" w:rsidRDefault="006650A8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 w:rsidRPr="006650A8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79A57F03" wp14:editId="5D069E9C">
            <wp:simplePos x="0" y="0"/>
            <wp:positionH relativeFrom="column">
              <wp:posOffset>3175</wp:posOffset>
            </wp:positionH>
            <wp:positionV relativeFrom="paragraph">
              <wp:posOffset>10795</wp:posOffset>
            </wp:positionV>
            <wp:extent cx="3024000" cy="2808000"/>
            <wp:effectExtent l="0" t="0" r="24130" b="11430"/>
            <wp:wrapTight wrapText="bothSides">
              <wp:wrapPolygon edited="0">
                <wp:start x="0" y="0"/>
                <wp:lineTo x="0" y="21541"/>
                <wp:lineTo x="21636" y="21541"/>
                <wp:lineTo x="21636" y="0"/>
                <wp:lineTo x="0" y="0"/>
              </wp:wrapPolygon>
            </wp:wrapTight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048" w:rsidRPr="006650A8">
        <w:rPr>
          <w:noProof/>
          <w:color w:val="0F243E"/>
          <w:sz w:val="24"/>
          <w:szCs w:val="24"/>
          <w:lang w:eastAsia="hr-HR"/>
        </w:rPr>
        <w:drawing>
          <wp:inline distT="0" distB="0" distL="0" distR="0" wp14:anchorId="7FEF46FC" wp14:editId="19832F81">
            <wp:extent cx="3024000" cy="2815200"/>
            <wp:effectExtent l="0" t="0" r="24130" b="234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Izvor: Fina, HITRO.HR</w:t>
      </w:r>
    </w:p>
    <w:p w:rsidR="000508E0" w:rsidRPr="009A7F59" w:rsidRDefault="000508E0" w:rsidP="000508E0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U razdoblju od 1. siječnja do </w:t>
      </w:r>
      <w:r w:rsidR="00EA7573">
        <w:rPr>
          <w:rFonts w:ascii="Arial" w:hAnsi="Arial" w:cs="Arial"/>
          <w:color w:val="244061" w:themeColor="accent1" w:themeShade="80"/>
          <w:sz w:val="20"/>
          <w:szCs w:val="20"/>
        </w:rPr>
        <w:t>31. prosinca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putem servisa </w:t>
      </w:r>
      <w:proofErr w:type="spellStart"/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otvoreno </w:t>
      </w:r>
      <w:r w:rsidR="00EA7573">
        <w:rPr>
          <w:rFonts w:ascii="Arial" w:hAnsi="Arial" w:cs="Arial"/>
          <w:color w:val="244061" w:themeColor="accent1" w:themeShade="80"/>
          <w:sz w:val="20"/>
          <w:szCs w:val="20"/>
        </w:rPr>
        <w:t>6.559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trgovačkih društava i obrta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Od toga je </w:t>
      </w:r>
      <w:r w:rsidR="00EA7573">
        <w:rPr>
          <w:rFonts w:ascii="Arial" w:hAnsi="Arial" w:cs="Arial"/>
          <w:color w:val="244061" w:themeColor="accent1" w:themeShade="80"/>
          <w:sz w:val="20"/>
          <w:szCs w:val="20"/>
        </w:rPr>
        <w:t>otvoreno 197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EA7573">
        <w:rPr>
          <w:rFonts w:ascii="Arial" w:hAnsi="Arial" w:cs="Arial"/>
          <w:color w:val="244061" w:themeColor="accent1" w:themeShade="80"/>
          <w:sz w:val="20"/>
          <w:szCs w:val="20"/>
        </w:rPr>
        <w:t>a i osnovano 2.266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EA7573">
        <w:rPr>
          <w:rFonts w:ascii="Arial" w:hAnsi="Arial" w:cs="Arial"/>
          <w:color w:val="244061" w:themeColor="accent1" w:themeShade="80"/>
          <w:sz w:val="20"/>
          <w:szCs w:val="20"/>
        </w:rPr>
        <w:t>4.096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jednostavnih društva s ograničenom odgovornošću (j.d.o.o.).</w:t>
      </w:r>
    </w:p>
    <w:p w:rsidR="00851EE0" w:rsidRPr="000508E0" w:rsidRDefault="00851EE0" w:rsidP="00B60D95">
      <w:pPr>
        <w:tabs>
          <w:tab w:val="left" w:pos="1134"/>
        </w:tabs>
        <w:spacing w:before="180" w:after="60" w:line="240" w:lineRule="auto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Grafikon 3.</w:t>
      </w:r>
      <w:r w:rsidR="007D7D9E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B</w:t>
      </w: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roj otvorenih </w:t>
      </w:r>
      <w:r w:rsidR="006D5E63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društava i obrta</w:t>
      </w: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od 1. siječnja do </w:t>
      </w:r>
      <w:r w:rsidR="00EA7573">
        <w:rPr>
          <w:rFonts w:ascii="Arial" w:hAnsi="Arial" w:cs="Arial"/>
          <w:b/>
          <w:color w:val="244061" w:themeColor="accent1" w:themeShade="80"/>
          <w:sz w:val="18"/>
          <w:szCs w:val="18"/>
        </w:rPr>
        <w:t>31. prosinca</w:t>
      </w: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201</w:t>
      </w:r>
      <w:r w:rsidR="00782351"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6</w:t>
      </w:r>
      <w:r w:rsidRPr="000508E0">
        <w:rPr>
          <w:rFonts w:ascii="Arial" w:hAnsi="Arial" w:cs="Arial"/>
          <w:b/>
          <w:color w:val="244061" w:themeColor="accent1" w:themeShade="80"/>
          <w:sz w:val="18"/>
          <w:szCs w:val="18"/>
        </w:rPr>
        <w:t>. godine</w:t>
      </w:r>
    </w:p>
    <w:p w:rsidR="00B76001" w:rsidRDefault="00CB5A9F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0BBF2130">
            <wp:extent cx="4728950" cy="24975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950" cy="249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Izvor: Fina, HITRO.HR</w:t>
      </w:r>
    </w:p>
    <w:p w:rsidR="00EA7573" w:rsidRPr="00EA7573" w:rsidRDefault="00EA7573" w:rsidP="00EA7573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A75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Pr="00EA75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Pr="00EA757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 2016</w:t>
      </w:r>
      <w:r w:rsidRPr="00EA7573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ukupno je otvoreno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6.559</w:t>
      </w:r>
      <w:r w:rsidRPr="00EA7573">
        <w:rPr>
          <w:rFonts w:ascii="Arial" w:hAnsi="Arial" w:cs="Arial"/>
          <w:color w:val="244061" w:themeColor="accent1" w:themeShade="80"/>
          <w:sz w:val="20"/>
          <w:szCs w:val="20"/>
        </w:rPr>
        <w:t xml:space="preserve"> poslovnih subjekata što p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redstavlja povećanje</w:t>
      </w:r>
      <w:r w:rsidRPr="00EA7573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781 </w:t>
      </w:r>
      <w:r w:rsidR="00C6607E">
        <w:rPr>
          <w:rFonts w:ascii="Arial" w:hAnsi="Arial" w:cs="Arial"/>
          <w:color w:val="244061" w:themeColor="accent1" w:themeShade="80"/>
          <w:sz w:val="20"/>
          <w:szCs w:val="20"/>
        </w:rPr>
        <w:t>subjekta,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odnosno 13,52</w:t>
      </w:r>
      <w:r w:rsidRPr="00EA7573">
        <w:rPr>
          <w:rFonts w:ascii="Arial" w:hAnsi="Arial" w:cs="Arial"/>
          <w:color w:val="244061" w:themeColor="accent1" w:themeShade="80"/>
          <w:sz w:val="20"/>
          <w:szCs w:val="20"/>
        </w:rPr>
        <w:t xml:space="preserve"> % </w:t>
      </w:r>
      <w:r w:rsidR="00C6607E">
        <w:rPr>
          <w:rFonts w:ascii="Arial" w:hAnsi="Arial" w:cs="Arial"/>
          <w:color w:val="244061" w:themeColor="accent1" w:themeShade="80"/>
          <w:sz w:val="20"/>
          <w:szCs w:val="20"/>
        </w:rPr>
        <w:t xml:space="preserve">više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 odnosu na 2015</w:t>
      </w:r>
      <w:r w:rsidRPr="00EA7573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  <w:bookmarkStart w:id="0" w:name="_GoBack"/>
      <w:bookmarkEnd w:id="0"/>
    </w:p>
    <w:p w:rsidR="00374BDB" w:rsidRDefault="00374BDB" w:rsidP="000508E0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</w:p>
    <w:sectPr w:rsidR="00374BDB" w:rsidSect="000508E0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8D" w:rsidRDefault="00F9708D" w:rsidP="006650A8">
      <w:pPr>
        <w:spacing w:after="0" w:line="240" w:lineRule="auto"/>
      </w:pPr>
      <w:r>
        <w:separator/>
      </w:r>
    </w:p>
  </w:endnote>
  <w:endnote w:type="continuationSeparator" w:id="0">
    <w:p w:rsidR="00F9708D" w:rsidRDefault="00F9708D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8D" w:rsidRDefault="00F9708D" w:rsidP="006650A8">
      <w:pPr>
        <w:spacing w:after="0" w:line="240" w:lineRule="auto"/>
      </w:pPr>
      <w:r>
        <w:separator/>
      </w:r>
    </w:p>
  </w:footnote>
  <w:footnote w:type="continuationSeparator" w:id="0">
    <w:p w:rsidR="00F9708D" w:rsidRDefault="00F9708D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B15C923" wp14:editId="4DD218AF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508E0"/>
    <w:rsid w:val="000650A5"/>
    <w:rsid w:val="0006656B"/>
    <w:rsid w:val="000940B1"/>
    <w:rsid w:val="000E2873"/>
    <w:rsid w:val="0010782E"/>
    <w:rsid w:val="001136B9"/>
    <w:rsid w:val="00144152"/>
    <w:rsid w:val="00146204"/>
    <w:rsid w:val="00150BFA"/>
    <w:rsid w:val="00186861"/>
    <w:rsid w:val="001B4BAF"/>
    <w:rsid w:val="001B7E93"/>
    <w:rsid w:val="00234DBC"/>
    <w:rsid w:val="00243857"/>
    <w:rsid w:val="00243A37"/>
    <w:rsid w:val="0025224B"/>
    <w:rsid w:val="00270E84"/>
    <w:rsid w:val="00296334"/>
    <w:rsid w:val="00297562"/>
    <w:rsid w:val="002B5F77"/>
    <w:rsid w:val="00305B5D"/>
    <w:rsid w:val="00374BDB"/>
    <w:rsid w:val="00381C7D"/>
    <w:rsid w:val="003968C0"/>
    <w:rsid w:val="003B7C7A"/>
    <w:rsid w:val="003C5906"/>
    <w:rsid w:val="00426758"/>
    <w:rsid w:val="00437AB8"/>
    <w:rsid w:val="00440927"/>
    <w:rsid w:val="00472DD8"/>
    <w:rsid w:val="004B63DE"/>
    <w:rsid w:val="0054209B"/>
    <w:rsid w:val="00560273"/>
    <w:rsid w:val="00561E79"/>
    <w:rsid w:val="00564239"/>
    <w:rsid w:val="0057176B"/>
    <w:rsid w:val="0058198A"/>
    <w:rsid w:val="005B19B8"/>
    <w:rsid w:val="005F1974"/>
    <w:rsid w:val="006650A8"/>
    <w:rsid w:val="006671C3"/>
    <w:rsid w:val="00670900"/>
    <w:rsid w:val="006C5561"/>
    <w:rsid w:val="006C712A"/>
    <w:rsid w:val="006D5E63"/>
    <w:rsid w:val="006F0C52"/>
    <w:rsid w:val="00736AF6"/>
    <w:rsid w:val="00782351"/>
    <w:rsid w:val="007A4158"/>
    <w:rsid w:val="007D7D9E"/>
    <w:rsid w:val="007F562E"/>
    <w:rsid w:val="007F6302"/>
    <w:rsid w:val="00803090"/>
    <w:rsid w:val="00851EE0"/>
    <w:rsid w:val="008558B3"/>
    <w:rsid w:val="0090195F"/>
    <w:rsid w:val="00951685"/>
    <w:rsid w:val="00971C91"/>
    <w:rsid w:val="00985A21"/>
    <w:rsid w:val="0099612D"/>
    <w:rsid w:val="009A7F59"/>
    <w:rsid w:val="009B261A"/>
    <w:rsid w:val="009E2AD6"/>
    <w:rsid w:val="009E423B"/>
    <w:rsid w:val="00AC4756"/>
    <w:rsid w:val="00AC5ABF"/>
    <w:rsid w:val="00AF7387"/>
    <w:rsid w:val="00B60D95"/>
    <w:rsid w:val="00B76001"/>
    <w:rsid w:val="00BB6724"/>
    <w:rsid w:val="00BD2048"/>
    <w:rsid w:val="00BE1488"/>
    <w:rsid w:val="00BE2712"/>
    <w:rsid w:val="00C17C0B"/>
    <w:rsid w:val="00C17E41"/>
    <w:rsid w:val="00C50992"/>
    <w:rsid w:val="00C6607E"/>
    <w:rsid w:val="00C96AE1"/>
    <w:rsid w:val="00CA39B9"/>
    <w:rsid w:val="00CA7BB2"/>
    <w:rsid w:val="00CB36CC"/>
    <w:rsid w:val="00CB5A9F"/>
    <w:rsid w:val="00CC69EF"/>
    <w:rsid w:val="00CD384C"/>
    <w:rsid w:val="00CE35AD"/>
    <w:rsid w:val="00D04E61"/>
    <w:rsid w:val="00D13459"/>
    <w:rsid w:val="00D16DCD"/>
    <w:rsid w:val="00D17FB4"/>
    <w:rsid w:val="00D23FD1"/>
    <w:rsid w:val="00D76CA3"/>
    <w:rsid w:val="00DF3B51"/>
    <w:rsid w:val="00E30434"/>
    <w:rsid w:val="00E35CFC"/>
    <w:rsid w:val="00E44C76"/>
    <w:rsid w:val="00E72494"/>
    <w:rsid w:val="00E777BC"/>
    <w:rsid w:val="00E94360"/>
    <w:rsid w:val="00E9549B"/>
    <w:rsid w:val="00EA10EE"/>
    <w:rsid w:val="00EA7573"/>
    <w:rsid w:val="00F0246D"/>
    <w:rsid w:val="00F45271"/>
    <w:rsid w:val="00F61D12"/>
    <w:rsid w:val="00F802B6"/>
    <w:rsid w:val="00F8412E"/>
    <w:rsid w:val="00F9708D"/>
    <w:rsid w:val="00FC1061"/>
    <w:rsid w:val="00FE3612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>
                <a:solidFill>
                  <a:schemeClr val="accent1">
                    <a:lumMod val="50000"/>
                  </a:schemeClr>
                </a:solidFill>
              </a:rPr>
              <a:t>Broj </a:t>
            </a:r>
            <a:r>
              <a:rPr lang="hr-HR" sz="1000">
                <a:solidFill>
                  <a:schemeClr val="accent1">
                    <a:lumMod val="50000"/>
                  </a:schemeClr>
                </a:solidFill>
              </a:rPr>
              <a:t>osnovanih</a:t>
            </a:r>
            <a:r>
              <a:rPr lang="hr-HR" sz="1000" baseline="0">
                <a:solidFill>
                  <a:schemeClr val="accent1">
                    <a:lumMod val="50000"/>
                  </a:schemeClr>
                </a:solidFill>
              </a:rPr>
              <a:t> </a:t>
            </a:r>
            <a:r>
              <a:rPr lang="hr-HR" sz="1000">
                <a:solidFill>
                  <a:schemeClr val="accent1">
                    <a:lumMod val="50000"/>
                  </a:schemeClr>
                </a:solidFill>
              </a:rPr>
              <a:t>društava i obrta</a:t>
            </a:r>
            <a:r>
              <a:rPr lang="en-US" sz="1000">
                <a:solidFill>
                  <a:schemeClr val="accent1">
                    <a:lumMod val="50000"/>
                  </a:schemeClr>
                </a:solidFill>
              </a:rPr>
              <a:t> u 201</a:t>
            </a:r>
            <a:r>
              <a:rPr lang="hr-HR" sz="1000">
                <a:solidFill>
                  <a:schemeClr val="accent1">
                    <a:lumMod val="50000"/>
                  </a:schemeClr>
                </a:solidFill>
              </a:rPr>
              <a:t>4</a:t>
            </a:r>
            <a:r>
              <a:rPr lang="en-US" sz="1000">
                <a:solidFill>
                  <a:schemeClr val="accent1">
                    <a:lumMod val="50000"/>
                  </a:schemeClr>
                </a:solidFill>
              </a:rPr>
              <a:t>. g</a:t>
            </a:r>
            <a:r>
              <a:rPr lang="hr-HR" sz="1000">
                <a:solidFill>
                  <a:schemeClr val="accent1">
                    <a:lumMod val="50000"/>
                  </a:schemeClr>
                </a:solidFill>
              </a:rPr>
              <a:t>.</a:t>
            </a:r>
            <a:endParaRPr lang="en-US" sz="1000">
              <a:solidFill>
                <a:schemeClr val="accent1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7.9182488532007669E-2"/>
          <c:y val="2.6741738693789457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4535781151365718"/>
          <c:y val="0.30058220634067323"/>
          <c:w val="0.57993665171261677"/>
          <c:h val="0.5864165501813236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osnovanih društava i obrta u 2014. godini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1</a:t>
                    </a:r>
                    <a:r>
                      <a:rPr lang="hr-HR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.773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4</a:t>
                    </a:r>
                    <a:r>
                      <a:rPr lang="hr-HR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.064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hr-HR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231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chemeClr val="accent1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1773</c:v>
                </c:pt>
                <c:pt idx="1">
                  <c:v>4064</c:v>
                </c:pt>
                <c:pt idx="2">
                  <c:v>231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solidFill>
                <a:schemeClr val="tx2">
                  <a:lumMod val="50000"/>
                </a:schemeClr>
              </a:solidFill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000">
                <a:solidFill>
                  <a:schemeClr val="accent1">
                    <a:lumMod val="50000"/>
                  </a:schemeClr>
                </a:solidFill>
              </a:defRPr>
            </a:pPr>
            <a:r>
              <a:rPr lang="en-US" sz="1000">
                <a:solidFill>
                  <a:schemeClr val="accent1">
                    <a:lumMod val="50000"/>
                  </a:schemeClr>
                </a:solidFill>
              </a:rPr>
              <a:t>Broj </a:t>
            </a:r>
            <a:r>
              <a:rPr lang="hr-HR" sz="1000">
                <a:solidFill>
                  <a:schemeClr val="accent1">
                    <a:lumMod val="50000"/>
                  </a:schemeClr>
                </a:solidFill>
              </a:rPr>
              <a:t>osnovanih društava i obrta</a:t>
            </a:r>
            <a:r>
              <a:rPr lang="en-US" sz="1000">
                <a:solidFill>
                  <a:schemeClr val="accent1">
                    <a:lumMod val="50000"/>
                  </a:schemeClr>
                </a:solidFill>
              </a:rPr>
              <a:t> u 201</a:t>
            </a:r>
            <a:r>
              <a:rPr lang="hr-HR" sz="1000">
                <a:solidFill>
                  <a:schemeClr val="accent1">
                    <a:lumMod val="50000"/>
                  </a:schemeClr>
                </a:solidFill>
              </a:rPr>
              <a:t>5</a:t>
            </a:r>
            <a:r>
              <a:rPr lang="en-US" sz="1000">
                <a:solidFill>
                  <a:schemeClr val="accent1">
                    <a:lumMod val="50000"/>
                  </a:schemeClr>
                </a:solidFill>
              </a:rPr>
              <a:t>. g</a:t>
            </a:r>
            <a:r>
              <a:rPr lang="hr-HR" sz="1000">
                <a:solidFill>
                  <a:schemeClr val="accent1">
                    <a:lumMod val="50000"/>
                  </a:schemeClr>
                </a:solidFill>
              </a:rPr>
              <a:t>.</a:t>
            </a:r>
            <a:endParaRPr lang="en-US" sz="1000">
              <a:solidFill>
                <a:schemeClr val="accent1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11604314816609708"/>
          <c:y val="2.693577694847697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605740331817593E-2"/>
          <c:y val="0.30216241626513102"/>
          <c:w val="0.56007528426416564"/>
          <c:h val="0.5872388723798426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osnovanih društava i obrta u 2015. godini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1</a:t>
                    </a:r>
                    <a:r>
                      <a:rPr lang="hr-HR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.958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hr-HR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3.639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hr-HR" b="1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t>181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chemeClr val="accent1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1958</c:v>
                </c:pt>
                <c:pt idx="1">
                  <c:v>3639</c:v>
                </c:pt>
                <c:pt idx="2">
                  <c:v>181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7932528765229636"/>
          <c:y val="0.39260378940338303"/>
          <c:w val="0.19485715640966567"/>
          <c:h val="0.24474956082779298"/>
        </c:manualLayout>
      </c:layout>
      <c:overlay val="0"/>
      <c:txPr>
        <a:bodyPr/>
        <a:lstStyle/>
        <a:p>
          <a:pPr>
            <a:defRPr>
              <a:solidFill>
                <a:schemeClr val="tx2">
                  <a:lumMod val="50000"/>
                </a:schemeClr>
              </a:solidFill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012B-2330-4BAF-B650-0474A35C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Dario Rukavina</cp:lastModifiedBy>
  <cp:revision>3</cp:revision>
  <cp:lastPrinted>2016-04-12T07:16:00Z</cp:lastPrinted>
  <dcterms:created xsi:type="dcterms:W3CDTF">2017-01-13T07:50:00Z</dcterms:created>
  <dcterms:modified xsi:type="dcterms:W3CDTF">2017-01-13T08:06:00Z</dcterms:modified>
</cp:coreProperties>
</file>